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page" w:tblpX="2989" w:tblpY="-11788"/>
        <w:tblOverlap w:val="never"/>
        <w:tblW w:w="7338" w:type="dxa"/>
        <w:tblLayout w:type="fixed"/>
        <w:tblLook w:val="04A0"/>
      </w:tblPr>
      <w:tblGrid>
        <w:gridCol w:w="158"/>
        <w:gridCol w:w="7180"/>
      </w:tblGrid>
      <w:tr w:rsidR="00E233A6" w:rsidRPr="001368E0" w:rsidTr="001368E0">
        <w:trPr>
          <w:trHeight w:val="6379"/>
        </w:trPr>
        <w:tc>
          <w:tcPr>
            <w:tcW w:w="7338" w:type="dxa"/>
            <w:gridSpan w:val="2"/>
            <w:tcBorders>
              <w:bottom w:val="single" w:sz="2" w:space="0" w:color="BFBFBF"/>
            </w:tcBorders>
          </w:tcPr>
          <w:p w:rsidR="002139A4" w:rsidRPr="001368E0" w:rsidRDefault="002139A4" w:rsidP="00593D34">
            <w:pPr>
              <w:spacing w:before="120" w:after="0" w:line="252" w:lineRule="auto"/>
              <w:jc w:val="center"/>
            </w:pPr>
          </w:p>
          <w:p w:rsidR="002139A4" w:rsidRPr="001368E0" w:rsidRDefault="002139A4" w:rsidP="00593D34">
            <w:pPr>
              <w:spacing w:before="120" w:after="0" w:line="252" w:lineRule="auto"/>
              <w:jc w:val="center"/>
            </w:pPr>
          </w:p>
          <w:tbl>
            <w:tblPr>
              <w:tblpPr w:leftFromText="141" w:rightFromText="141" w:vertAnchor="page" w:horzAnchor="page" w:tblpX="21" w:tblpY="762"/>
              <w:tblOverlap w:val="never"/>
              <w:tblW w:w="7230" w:type="dxa"/>
              <w:tblLayout w:type="fixed"/>
              <w:tblCellMar>
                <w:left w:w="0" w:type="dxa"/>
                <w:right w:w="0" w:type="dxa"/>
              </w:tblCellMar>
              <w:tblLook w:val="04A0"/>
            </w:tblPr>
            <w:tblGrid>
              <w:gridCol w:w="7230"/>
            </w:tblGrid>
            <w:tr w:rsidR="008167C2" w:rsidRPr="001368E0" w:rsidTr="001368E0">
              <w:trPr>
                <w:trHeight w:val="288"/>
              </w:trPr>
              <w:tc>
                <w:tcPr>
                  <w:tcW w:w="7230" w:type="dxa"/>
                  <w:shd w:val="clear" w:color="auto" w:fill="983620"/>
                </w:tcPr>
                <w:p w:rsidR="008167C2" w:rsidRPr="001368E0" w:rsidRDefault="008167C2" w:rsidP="00593D34">
                  <w:pPr>
                    <w:pStyle w:val="NoSpacing"/>
                    <w:spacing w:before="120" w:line="252" w:lineRule="auto"/>
                    <w:ind w:left="-567" w:right="-1132"/>
                    <w:jc w:val="center"/>
                  </w:pPr>
                </w:p>
              </w:tc>
            </w:tr>
            <w:tr w:rsidR="008167C2" w:rsidRPr="001368E0" w:rsidTr="008167C2">
              <w:tc>
                <w:tcPr>
                  <w:tcW w:w="7230" w:type="dxa"/>
                </w:tcPr>
                <w:p w:rsidR="008167C2" w:rsidRPr="001368E0" w:rsidRDefault="008167C2" w:rsidP="00593D34">
                  <w:pPr>
                    <w:pStyle w:val="NoSpacing"/>
                    <w:spacing w:before="120" w:line="252" w:lineRule="auto"/>
                    <w:jc w:val="center"/>
                  </w:pPr>
                </w:p>
                <w:p w:rsidR="008167C2" w:rsidRPr="001368E0" w:rsidRDefault="008167C2" w:rsidP="00593D34">
                  <w:pPr>
                    <w:pStyle w:val="NoSpacing"/>
                    <w:spacing w:before="120" w:line="252" w:lineRule="auto"/>
                    <w:jc w:val="center"/>
                  </w:pPr>
                </w:p>
              </w:tc>
            </w:tr>
          </w:tbl>
          <w:p w:rsidR="008167C2" w:rsidRPr="001368E0" w:rsidRDefault="00E233A6" w:rsidP="00593D34">
            <w:pPr>
              <w:spacing w:before="120" w:after="0" w:line="252" w:lineRule="auto"/>
              <w:jc w:val="center"/>
              <w:rPr>
                <w:sz w:val="44"/>
                <w:szCs w:val="44"/>
                <w:lang w:val="en-GB"/>
              </w:rPr>
            </w:pPr>
            <w:r w:rsidRPr="001368E0">
              <w:rPr>
                <w:sz w:val="44"/>
                <w:szCs w:val="44"/>
                <w:lang w:val="en-GB"/>
              </w:rPr>
              <w:t>Eu</w:t>
            </w:r>
            <w:r w:rsidR="00B532EF" w:rsidRPr="001368E0">
              <w:rPr>
                <w:sz w:val="44"/>
                <w:szCs w:val="44"/>
                <w:lang w:val="en-GB"/>
              </w:rPr>
              <w:t xml:space="preserve">ropean Neighbourhood </w:t>
            </w:r>
            <w:r w:rsidR="001262C5" w:rsidRPr="001368E0">
              <w:rPr>
                <w:sz w:val="44"/>
                <w:szCs w:val="44"/>
                <w:lang w:val="en-GB"/>
              </w:rPr>
              <w:t xml:space="preserve">Instrument </w:t>
            </w:r>
            <w:r w:rsidRPr="001368E0">
              <w:rPr>
                <w:sz w:val="44"/>
                <w:szCs w:val="44"/>
                <w:lang w:val="en-GB"/>
              </w:rPr>
              <w:t>Cross-Border Cooperation</w:t>
            </w:r>
          </w:p>
          <w:p w:rsidR="00E233A6" w:rsidRPr="001368E0" w:rsidRDefault="006102F6" w:rsidP="008354B0">
            <w:pPr>
              <w:spacing w:before="120" w:after="0" w:line="252" w:lineRule="auto"/>
              <w:jc w:val="center"/>
              <w:rPr>
                <w:sz w:val="52"/>
                <w:szCs w:val="52"/>
              </w:rPr>
            </w:pPr>
            <w:r>
              <w:rPr>
                <w:noProof/>
                <w:lang w:val="ro-RO" w:eastAsia="ro-RO"/>
              </w:rPr>
              <w:drawing>
                <wp:inline distT="0" distB="0" distL="0" distR="0">
                  <wp:extent cx="914400" cy="619125"/>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srcRect/>
                          <a:stretch>
                            <a:fillRect/>
                          </a:stretch>
                        </pic:blipFill>
                        <pic:spPr bwMode="auto">
                          <a:xfrm>
                            <a:off x="0" y="0"/>
                            <a:ext cx="914400" cy="619125"/>
                          </a:xfrm>
                          <a:prstGeom prst="rect">
                            <a:avLst/>
                          </a:prstGeom>
                          <a:noFill/>
                          <a:ln w="9525">
                            <a:noFill/>
                            <a:miter lim="800000"/>
                            <a:headEnd/>
                            <a:tailEnd/>
                          </a:ln>
                        </pic:spPr>
                      </pic:pic>
                    </a:graphicData>
                  </a:graphic>
                </wp:inline>
              </w:drawing>
            </w:r>
          </w:p>
        </w:tc>
      </w:tr>
      <w:tr w:rsidR="00E233A6" w:rsidRPr="001368E0" w:rsidTr="001368E0">
        <w:trPr>
          <w:gridBefore w:val="1"/>
          <w:wBefore w:w="158" w:type="dxa"/>
          <w:trHeight w:val="1121"/>
        </w:trPr>
        <w:tc>
          <w:tcPr>
            <w:tcW w:w="7180" w:type="dxa"/>
            <w:tcBorders>
              <w:top w:val="single" w:sz="2" w:space="0" w:color="BFBFBF"/>
              <w:bottom w:val="single" w:sz="2" w:space="0" w:color="BFBFBF"/>
            </w:tcBorders>
            <w:vAlign w:val="bottom"/>
          </w:tcPr>
          <w:p w:rsidR="00E233A6" w:rsidRPr="001368E0" w:rsidRDefault="00C91ECF" w:rsidP="007F322A">
            <w:pPr>
              <w:pStyle w:val="Title"/>
              <w:spacing w:before="0" w:after="120" w:line="252" w:lineRule="auto"/>
              <w:jc w:val="center"/>
              <w:rPr>
                <w:b/>
                <w:sz w:val="64"/>
                <w:szCs w:val="64"/>
                <w:lang w:val="en-GB"/>
              </w:rPr>
            </w:pPr>
            <w:r w:rsidRPr="001368E0">
              <w:rPr>
                <w:b/>
                <w:sz w:val="56"/>
                <w:szCs w:val="56"/>
              </w:rPr>
              <w:t>Black Sea Basin 2014-2020</w:t>
            </w:r>
          </w:p>
        </w:tc>
      </w:tr>
      <w:tr w:rsidR="00E233A6" w:rsidRPr="00FE24B4" w:rsidTr="001368E0">
        <w:trPr>
          <w:gridBefore w:val="1"/>
          <w:wBefore w:w="158" w:type="dxa"/>
        </w:trPr>
        <w:tc>
          <w:tcPr>
            <w:tcW w:w="7180" w:type="dxa"/>
            <w:tcBorders>
              <w:top w:val="single" w:sz="2" w:space="0" w:color="BFBFBF"/>
            </w:tcBorders>
          </w:tcPr>
          <w:p w:rsidR="00E233A6" w:rsidRPr="001368E0" w:rsidRDefault="006102F6" w:rsidP="00E11448">
            <w:pPr>
              <w:pStyle w:val="Footer"/>
              <w:spacing w:before="120" w:line="252" w:lineRule="auto"/>
              <w:jc w:val="center"/>
              <w:rPr>
                <w:b/>
                <w:sz w:val="28"/>
                <w:szCs w:val="28"/>
                <w:lang w:val="en-GB"/>
              </w:rPr>
            </w:pPr>
            <w:r>
              <w:rPr>
                <w:noProof/>
                <w:lang w:val="ro-RO" w:eastAsia="ro-RO"/>
              </w:rPr>
              <w:drawing>
                <wp:anchor distT="0" distB="0" distL="114300" distR="114300" simplePos="0" relativeHeight="251662848" behindDoc="0" locked="0" layoutInCell="1" allowOverlap="1">
                  <wp:simplePos x="0" y="0"/>
                  <wp:positionH relativeFrom="column">
                    <wp:posOffset>974090</wp:posOffset>
                  </wp:positionH>
                  <wp:positionV relativeFrom="paragraph">
                    <wp:posOffset>1022985</wp:posOffset>
                  </wp:positionV>
                  <wp:extent cx="2603500" cy="1892300"/>
                  <wp:effectExtent l="19050" t="0" r="6350" b="0"/>
                  <wp:wrapThrough wrapText="bothSides">
                    <wp:wrapPolygon edited="0">
                      <wp:start x="-158" y="0"/>
                      <wp:lineTo x="-158" y="21310"/>
                      <wp:lineTo x="21653" y="21310"/>
                      <wp:lineTo x="21653" y="0"/>
                      <wp:lineTo x="-158" y="0"/>
                    </wp:wrapPolygon>
                  </wp:wrapThrough>
                  <wp:docPr id="51" name="Image 1176" descr="Description: logo ZMN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6" descr="Description: logo ZMN cut"/>
                          <pic:cNvPicPr>
                            <a:picLocks noChangeAspect="1" noChangeArrowheads="1"/>
                          </pic:cNvPicPr>
                        </pic:nvPicPr>
                        <pic:blipFill>
                          <a:blip r:embed="rId9"/>
                          <a:srcRect/>
                          <a:stretch>
                            <a:fillRect/>
                          </a:stretch>
                        </pic:blipFill>
                        <pic:spPr bwMode="auto">
                          <a:xfrm>
                            <a:off x="0" y="0"/>
                            <a:ext cx="2603500" cy="1892300"/>
                          </a:xfrm>
                          <a:prstGeom prst="rect">
                            <a:avLst/>
                          </a:prstGeom>
                          <a:noFill/>
                          <a:ln w="9525">
                            <a:noFill/>
                            <a:miter lim="800000"/>
                            <a:headEnd/>
                            <a:tailEnd/>
                          </a:ln>
                        </pic:spPr>
                      </pic:pic>
                    </a:graphicData>
                  </a:graphic>
                </wp:anchor>
              </w:drawing>
            </w:r>
            <w:r w:rsidR="00387067" w:rsidRPr="001368E0">
              <w:rPr>
                <w:sz w:val="28"/>
                <w:szCs w:val="28"/>
                <w:lang w:val="en-GB"/>
              </w:rPr>
              <w:t xml:space="preserve">Joint Operational Programme - </w:t>
            </w:r>
            <w:r w:rsidR="001648E2" w:rsidRPr="001368E0">
              <w:rPr>
                <w:sz w:val="28"/>
                <w:szCs w:val="28"/>
                <w:lang w:val="en-GB"/>
              </w:rPr>
              <w:t xml:space="preserve">DRAFT </w:t>
            </w:r>
            <w:r w:rsidR="00594731" w:rsidRPr="001368E0">
              <w:rPr>
                <w:sz w:val="28"/>
                <w:szCs w:val="28"/>
                <w:lang w:val="en-GB"/>
              </w:rPr>
              <w:t>16</w:t>
            </w:r>
            <w:r w:rsidR="00E233A6" w:rsidRPr="001368E0">
              <w:rPr>
                <w:sz w:val="28"/>
                <w:szCs w:val="28"/>
                <w:lang w:val="en-GB"/>
              </w:rPr>
              <w:t xml:space="preserve"> March 2015</w:t>
            </w:r>
          </w:p>
          <w:p w:rsidR="00EC28E8" w:rsidRPr="001368E0" w:rsidRDefault="00EC28E8" w:rsidP="00E11448">
            <w:pPr>
              <w:pStyle w:val="Footer"/>
              <w:spacing w:before="120" w:line="252" w:lineRule="auto"/>
              <w:jc w:val="center"/>
              <w:rPr>
                <w:b/>
                <w:sz w:val="28"/>
                <w:szCs w:val="28"/>
                <w:lang w:val="en-GB"/>
              </w:rPr>
            </w:pPr>
          </w:p>
          <w:p w:rsidR="00EC28E8" w:rsidRPr="001368E0" w:rsidRDefault="00EC28E8" w:rsidP="00E11448">
            <w:pPr>
              <w:pStyle w:val="Footer"/>
              <w:spacing w:before="120" w:line="252" w:lineRule="auto"/>
              <w:jc w:val="center"/>
              <w:rPr>
                <w:b/>
                <w:sz w:val="28"/>
                <w:szCs w:val="28"/>
                <w:lang w:val="en-GB"/>
              </w:rPr>
            </w:pPr>
          </w:p>
          <w:p w:rsidR="00E233A6" w:rsidRPr="001368E0" w:rsidRDefault="00E233A6" w:rsidP="00E11448">
            <w:pPr>
              <w:pStyle w:val="Footer"/>
              <w:spacing w:before="120" w:line="252" w:lineRule="auto"/>
              <w:jc w:val="center"/>
              <w:rPr>
                <w:b/>
                <w:sz w:val="24"/>
                <w:lang w:val="en-GB"/>
              </w:rPr>
            </w:pPr>
          </w:p>
        </w:tc>
      </w:tr>
    </w:tbl>
    <w:p w:rsidR="00612000" w:rsidRPr="00FF4598" w:rsidRDefault="00AB0047" w:rsidP="00B57423">
      <w:pPr>
        <w:pStyle w:val="TOCHeading"/>
        <w:spacing w:before="120" w:after="0" w:line="252" w:lineRule="auto"/>
        <w:rPr>
          <w:lang w:val="en-GB"/>
        </w:rPr>
      </w:pPr>
      <w:r w:rsidRPr="00FF4598">
        <w:rPr>
          <w:lang w:val="en-GB"/>
        </w:rPr>
        <w:lastRenderedPageBreak/>
        <w:t>Table of Contents</w:t>
      </w:r>
    </w:p>
    <w:p w:rsidR="00283D41" w:rsidRPr="00F06BD2" w:rsidRDefault="00AB0047">
      <w:pPr>
        <w:pStyle w:val="TOC1"/>
        <w:tabs>
          <w:tab w:val="right" w:leader="dot" w:pos="9350"/>
        </w:tabs>
        <w:rPr>
          <w:noProof/>
          <w:color w:val="auto"/>
          <w:lang w:val="en-GB" w:eastAsia="ja-JP"/>
        </w:rPr>
      </w:pPr>
      <w:r w:rsidRPr="001368E0">
        <w:fldChar w:fldCharType="begin"/>
      </w:r>
      <w:r w:rsidR="00755E63">
        <w:rPr>
          <w:lang w:val="en-GB"/>
        </w:rPr>
        <w:instrText>TOC</w:instrText>
      </w:r>
      <w:r w:rsidRPr="00FF4598">
        <w:rPr>
          <w:lang w:val="en-GB"/>
        </w:rPr>
        <w:instrText xml:space="preserve"> \o "1-3" \h \z \u</w:instrText>
      </w:r>
      <w:r w:rsidRPr="001368E0">
        <w:fldChar w:fldCharType="separate"/>
      </w:r>
      <w:r w:rsidR="00283D41" w:rsidRPr="00F06BD2">
        <w:rPr>
          <w:noProof/>
          <w:lang w:val="en-GB"/>
        </w:rPr>
        <w:t>Black Sea Basin 2014-2020</w:t>
      </w:r>
      <w:r w:rsidR="00283D41" w:rsidRPr="00F06BD2">
        <w:rPr>
          <w:noProof/>
          <w:lang w:val="en-GB"/>
        </w:rPr>
        <w:tab/>
      </w:r>
      <w:r w:rsidR="00283D41" w:rsidRPr="00283D41">
        <w:rPr>
          <w:noProof/>
        </w:rPr>
        <w:fldChar w:fldCharType="begin"/>
      </w:r>
      <w:r w:rsidR="00283D41" w:rsidRPr="00F06BD2">
        <w:rPr>
          <w:noProof/>
          <w:lang w:val="en-GB"/>
        </w:rPr>
        <w:instrText xml:space="preserve"> PAGEREF _Toc288133419 \h </w:instrText>
      </w:r>
      <w:r w:rsidR="00283D41" w:rsidRPr="00283D41">
        <w:rPr>
          <w:noProof/>
        </w:rPr>
      </w:r>
      <w:r w:rsidR="00283D41" w:rsidRPr="00283D41">
        <w:rPr>
          <w:noProof/>
        </w:rPr>
        <w:fldChar w:fldCharType="separate"/>
      </w:r>
      <w:r w:rsidR="00283D41" w:rsidRPr="00F06BD2">
        <w:rPr>
          <w:noProof/>
          <w:lang w:val="en-GB"/>
        </w:rPr>
        <w:t>1</w:t>
      </w:r>
      <w:r w:rsidR="00283D41" w:rsidRPr="00283D41">
        <w:rPr>
          <w:noProof/>
        </w:rPr>
        <w:fldChar w:fldCharType="end"/>
      </w:r>
    </w:p>
    <w:p w:rsidR="00283D41" w:rsidRPr="00F06BD2" w:rsidRDefault="00283D41">
      <w:pPr>
        <w:pStyle w:val="TOC1"/>
        <w:tabs>
          <w:tab w:val="left" w:pos="325"/>
          <w:tab w:val="right" w:leader="dot" w:pos="9350"/>
        </w:tabs>
        <w:rPr>
          <w:noProof/>
          <w:color w:val="auto"/>
          <w:lang w:val="en-GB" w:eastAsia="ja-JP"/>
        </w:rPr>
      </w:pPr>
      <w:r w:rsidRPr="00197A31">
        <w:rPr>
          <w:rFonts w:ascii="Verdana" w:hAnsi="Verdana"/>
          <w:noProof/>
          <w:lang w:val="en-GB"/>
        </w:rPr>
        <w:t>◦</w:t>
      </w:r>
      <w:r w:rsidRPr="00197A31">
        <w:rPr>
          <w:noProof/>
          <w:color w:val="auto"/>
          <w:lang w:val="en-GB" w:eastAsia="ja-JP"/>
        </w:rPr>
        <w:tab/>
      </w:r>
      <w:r w:rsidRPr="00197A31">
        <w:rPr>
          <w:noProof/>
          <w:lang w:val="en-GB"/>
        </w:rPr>
        <w:t>Executive summary</w:t>
      </w:r>
      <w:r w:rsidRPr="00F06BD2">
        <w:rPr>
          <w:noProof/>
          <w:lang w:val="en-GB"/>
        </w:rPr>
        <w:tab/>
      </w:r>
      <w:r w:rsidRPr="00283D41">
        <w:rPr>
          <w:noProof/>
        </w:rPr>
        <w:fldChar w:fldCharType="begin"/>
      </w:r>
      <w:r w:rsidRPr="00F06BD2">
        <w:rPr>
          <w:noProof/>
          <w:lang w:val="en-GB"/>
        </w:rPr>
        <w:instrText xml:space="preserve"> PAGEREF _Toc288133420 \h </w:instrText>
      </w:r>
      <w:r w:rsidRPr="00283D41">
        <w:rPr>
          <w:noProof/>
        </w:rPr>
      </w:r>
      <w:r w:rsidRPr="00283D41">
        <w:rPr>
          <w:noProof/>
        </w:rPr>
        <w:fldChar w:fldCharType="separate"/>
      </w:r>
      <w:r w:rsidRPr="00F06BD2">
        <w:rPr>
          <w:noProof/>
          <w:lang w:val="en-GB"/>
        </w:rPr>
        <w:t>1</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Introduction: Description of programme preparation steps</w:t>
      </w:r>
      <w:r w:rsidRPr="00F06BD2">
        <w:rPr>
          <w:noProof/>
          <w:lang w:val="en-GB"/>
        </w:rPr>
        <w:tab/>
      </w:r>
      <w:r w:rsidRPr="00283D41">
        <w:rPr>
          <w:noProof/>
        </w:rPr>
        <w:fldChar w:fldCharType="begin"/>
      </w:r>
      <w:r w:rsidRPr="00F06BD2">
        <w:rPr>
          <w:noProof/>
          <w:lang w:val="en-GB"/>
        </w:rPr>
        <w:instrText xml:space="preserve"> PAGEREF _Toc288133421 \h </w:instrText>
      </w:r>
      <w:r w:rsidRPr="00283D41">
        <w:rPr>
          <w:noProof/>
        </w:rPr>
      </w:r>
      <w:r w:rsidRPr="00283D41">
        <w:rPr>
          <w:noProof/>
        </w:rPr>
        <w:fldChar w:fldCharType="separate"/>
      </w:r>
      <w:r w:rsidRPr="00F06BD2">
        <w:rPr>
          <w:noProof/>
          <w:lang w:val="en-GB"/>
        </w:rPr>
        <w:t>1</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Summary of programme strategy</w:t>
      </w:r>
      <w:r w:rsidRPr="00F06BD2">
        <w:rPr>
          <w:noProof/>
          <w:lang w:val="en-GB"/>
        </w:rPr>
        <w:tab/>
      </w:r>
      <w:r w:rsidRPr="00283D41">
        <w:rPr>
          <w:noProof/>
        </w:rPr>
        <w:fldChar w:fldCharType="begin"/>
      </w:r>
      <w:r w:rsidRPr="00F06BD2">
        <w:rPr>
          <w:noProof/>
          <w:lang w:val="en-GB"/>
        </w:rPr>
        <w:instrText xml:space="preserve"> PAGEREF _Toc288133422 \h </w:instrText>
      </w:r>
      <w:r w:rsidRPr="00283D41">
        <w:rPr>
          <w:noProof/>
        </w:rPr>
      </w:r>
      <w:r w:rsidRPr="00283D41">
        <w:rPr>
          <w:noProof/>
        </w:rPr>
        <w:fldChar w:fldCharType="separate"/>
      </w:r>
      <w:r w:rsidRPr="00F06BD2">
        <w:rPr>
          <w:noProof/>
          <w:lang w:val="en-GB"/>
        </w:rPr>
        <w:t>3</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Summary of programme management and implementation</w:t>
      </w:r>
      <w:r w:rsidRPr="00F06BD2">
        <w:rPr>
          <w:noProof/>
          <w:lang w:val="en-GB"/>
        </w:rPr>
        <w:tab/>
      </w:r>
      <w:r w:rsidRPr="00283D41">
        <w:rPr>
          <w:noProof/>
        </w:rPr>
        <w:fldChar w:fldCharType="begin"/>
      </w:r>
      <w:r w:rsidRPr="00F06BD2">
        <w:rPr>
          <w:noProof/>
          <w:lang w:val="en-GB"/>
        </w:rPr>
        <w:instrText xml:space="preserve"> PAGEREF _Toc288133423 \h </w:instrText>
      </w:r>
      <w:r w:rsidRPr="00283D41">
        <w:rPr>
          <w:noProof/>
        </w:rPr>
      </w:r>
      <w:r w:rsidRPr="00283D41">
        <w:rPr>
          <w:noProof/>
        </w:rPr>
        <w:fldChar w:fldCharType="separate"/>
      </w:r>
      <w:r w:rsidRPr="00F06BD2">
        <w:rPr>
          <w:noProof/>
          <w:lang w:val="en-GB"/>
        </w:rPr>
        <w:t>4</w:t>
      </w:r>
      <w:r w:rsidRPr="00283D41">
        <w:rPr>
          <w:noProof/>
        </w:rPr>
        <w:fldChar w:fldCharType="end"/>
      </w:r>
    </w:p>
    <w:p w:rsidR="00283D41" w:rsidRPr="00F06BD2" w:rsidRDefault="00283D41">
      <w:pPr>
        <w:pStyle w:val="TOC1"/>
        <w:tabs>
          <w:tab w:val="left" w:pos="325"/>
          <w:tab w:val="right" w:leader="dot" w:pos="9350"/>
        </w:tabs>
        <w:rPr>
          <w:noProof/>
          <w:color w:val="auto"/>
          <w:lang w:val="en-GB" w:eastAsia="ja-JP"/>
        </w:rPr>
      </w:pPr>
      <w:r w:rsidRPr="00283D41">
        <w:rPr>
          <w:rFonts w:ascii="Verdana" w:hAnsi="Verdana"/>
          <w:noProof/>
          <w:lang w:val="en-GB"/>
        </w:rPr>
        <w:t>◦</w:t>
      </w:r>
      <w:r w:rsidRPr="00F06BD2">
        <w:rPr>
          <w:noProof/>
          <w:color w:val="auto"/>
          <w:lang w:val="en-GB" w:eastAsia="ja-JP"/>
        </w:rPr>
        <w:tab/>
      </w:r>
      <w:r w:rsidRPr="00283D41">
        <w:rPr>
          <w:noProof/>
          <w:lang w:val="en-GB"/>
        </w:rPr>
        <w:t>Description of the Programme area</w:t>
      </w:r>
      <w:r w:rsidRPr="00F06BD2">
        <w:rPr>
          <w:noProof/>
          <w:lang w:val="en-GB"/>
        </w:rPr>
        <w:tab/>
      </w:r>
      <w:r w:rsidRPr="00283D41">
        <w:rPr>
          <w:noProof/>
        </w:rPr>
        <w:fldChar w:fldCharType="begin"/>
      </w:r>
      <w:r w:rsidRPr="00F06BD2">
        <w:rPr>
          <w:noProof/>
          <w:lang w:val="en-GB"/>
        </w:rPr>
        <w:instrText xml:space="preserve"> PAGEREF _Toc288133424 \h </w:instrText>
      </w:r>
      <w:r w:rsidRPr="00283D41">
        <w:rPr>
          <w:noProof/>
        </w:rPr>
      </w:r>
      <w:r w:rsidRPr="00283D41">
        <w:rPr>
          <w:noProof/>
        </w:rPr>
        <w:fldChar w:fldCharType="separate"/>
      </w:r>
      <w:r w:rsidRPr="00F06BD2">
        <w:rPr>
          <w:noProof/>
          <w:lang w:val="en-GB"/>
        </w:rPr>
        <w:t>6</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Participating countries and Programme area</w:t>
      </w:r>
      <w:r w:rsidRPr="00F06BD2">
        <w:rPr>
          <w:noProof/>
          <w:lang w:val="en-GB"/>
        </w:rPr>
        <w:tab/>
      </w:r>
      <w:r w:rsidRPr="00283D41">
        <w:rPr>
          <w:noProof/>
        </w:rPr>
        <w:fldChar w:fldCharType="begin"/>
      </w:r>
      <w:r w:rsidRPr="00F06BD2">
        <w:rPr>
          <w:noProof/>
          <w:lang w:val="en-GB"/>
        </w:rPr>
        <w:instrText xml:space="preserve"> PAGEREF _Toc288133425 \h </w:instrText>
      </w:r>
      <w:r w:rsidRPr="00283D41">
        <w:rPr>
          <w:noProof/>
        </w:rPr>
      </w:r>
      <w:r w:rsidRPr="00283D41">
        <w:rPr>
          <w:noProof/>
        </w:rPr>
        <w:fldChar w:fldCharType="separate"/>
      </w:r>
      <w:r w:rsidRPr="00F06BD2">
        <w:rPr>
          <w:noProof/>
          <w:lang w:val="en-GB"/>
        </w:rPr>
        <w:t>6</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Core regions</w:t>
      </w:r>
      <w:r w:rsidRPr="00F06BD2">
        <w:rPr>
          <w:noProof/>
          <w:lang w:val="en-GB"/>
        </w:rPr>
        <w:tab/>
      </w:r>
      <w:r w:rsidRPr="00283D41">
        <w:rPr>
          <w:noProof/>
        </w:rPr>
        <w:fldChar w:fldCharType="begin"/>
      </w:r>
      <w:r w:rsidRPr="00F06BD2">
        <w:rPr>
          <w:noProof/>
          <w:lang w:val="en-GB"/>
        </w:rPr>
        <w:instrText xml:space="preserve"> PAGEREF _Toc288133426 \h </w:instrText>
      </w:r>
      <w:r w:rsidRPr="00283D41">
        <w:rPr>
          <w:noProof/>
        </w:rPr>
      </w:r>
      <w:r w:rsidRPr="00283D41">
        <w:rPr>
          <w:noProof/>
        </w:rPr>
        <w:fldChar w:fldCharType="separate"/>
      </w:r>
      <w:r w:rsidRPr="00F06BD2">
        <w:rPr>
          <w:noProof/>
          <w:lang w:val="en-GB"/>
        </w:rPr>
        <w:t>6</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Map of the programme area</w:t>
      </w:r>
      <w:r w:rsidRPr="00F06BD2">
        <w:rPr>
          <w:noProof/>
          <w:lang w:val="en-GB"/>
        </w:rPr>
        <w:tab/>
      </w:r>
      <w:r w:rsidRPr="00283D41">
        <w:rPr>
          <w:noProof/>
        </w:rPr>
        <w:fldChar w:fldCharType="begin"/>
      </w:r>
      <w:r w:rsidRPr="00F06BD2">
        <w:rPr>
          <w:noProof/>
          <w:lang w:val="en-GB"/>
        </w:rPr>
        <w:instrText xml:space="preserve"> PAGEREF _Toc288133427 \h </w:instrText>
      </w:r>
      <w:r w:rsidRPr="00283D41">
        <w:rPr>
          <w:noProof/>
        </w:rPr>
      </w:r>
      <w:r w:rsidRPr="00283D41">
        <w:rPr>
          <w:noProof/>
        </w:rPr>
        <w:fldChar w:fldCharType="separate"/>
      </w:r>
      <w:r w:rsidRPr="00F06BD2">
        <w:rPr>
          <w:noProof/>
          <w:lang w:val="en-GB"/>
        </w:rPr>
        <w:t>7</w:t>
      </w:r>
      <w:r w:rsidRPr="00283D41">
        <w:rPr>
          <w:noProof/>
        </w:rPr>
        <w:fldChar w:fldCharType="end"/>
      </w:r>
    </w:p>
    <w:p w:rsidR="00283D41" w:rsidRPr="00F06BD2" w:rsidRDefault="00283D41">
      <w:pPr>
        <w:pStyle w:val="TOC1"/>
        <w:tabs>
          <w:tab w:val="left" w:pos="325"/>
          <w:tab w:val="right" w:leader="dot" w:pos="9350"/>
        </w:tabs>
        <w:rPr>
          <w:noProof/>
          <w:color w:val="auto"/>
          <w:lang w:val="en-GB" w:eastAsia="ja-JP"/>
        </w:rPr>
      </w:pPr>
      <w:r w:rsidRPr="00F06BD2">
        <w:rPr>
          <w:rFonts w:ascii="Verdana" w:hAnsi="Verdana"/>
          <w:noProof/>
          <w:lang w:val="en-GB"/>
        </w:rPr>
        <w:t>◦</w:t>
      </w:r>
      <w:r w:rsidRPr="00F06BD2">
        <w:rPr>
          <w:noProof/>
          <w:color w:val="auto"/>
          <w:lang w:val="en-GB" w:eastAsia="ja-JP"/>
        </w:rPr>
        <w:tab/>
      </w:r>
      <w:r w:rsidRPr="00283D41">
        <w:rPr>
          <w:noProof/>
          <w:lang w:val="en-GB"/>
        </w:rPr>
        <w:t>Programme overall strategic framework</w:t>
      </w:r>
      <w:r w:rsidRPr="00F06BD2">
        <w:rPr>
          <w:noProof/>
          <w:lang w:val="en-GB"/>
        </w:rPr>
        <w:tab/>
      </w:r>
      <w:r w:rsidRPr="00283D41">
        <w:rPr>
          <w:noProof/>
        </w:rPr>
        <w:fldChar w:fldCharType="begin"/>
      </w:r>
      <w:r w:rsidRPr="00F06BD2">
        <w:rPr>
          <w:noProof/>
          <w:lang w:val="en-GB"/>
        </w:rPr>
        <w:instrText xml:space="preserve"> PAGEREF _Toc288133428 \h </w:instrText>
      </w:r>
      <w:r w:rsidRPr="00283D41">
        <w:rPr>
          <w:noProof/>
        </w:rPr>
      </w:r>
      <w:r w:rsidRPr="00283D41">
        <w:rPr>
          <w:noProof/>
        </w:rPr>
        <w:fldChar w:fldCharType="separate"/>
      </w:r>
      <w:r w:rsidRPr="00F06BD2">
        <w:rPr>
          <w:noProof/>
          <w:lang w:val="en-GB"/>
        </w:rPr>
        <w:t>8</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EU strategy for ENI CBC</w:t>
      </w:r>
      <w:r w:rsidRPr="00F06BD2">
        <w:rPr>
          <w:noProof/>
          <w:lang w:val="en-GB"/>
        </w:rPr>
        <w:tab/>
      </w:r>
      <w:r w:rsidRPr="00283D41">
        <w:rPr>
          <w:noProof/>
        </w:rPr>
        <w:fldChar w:fldCharType="begin"/>
      </w:r>
      <w:r w:rsidRPr="00F06BD2">
        <w:rPr>
          <w:noProof/>
          <w:lang w:val="en-GB"/>
        </w:rPr>
        <w:instrText xml:space="preserve"> PAGEREF _Toc288133429 \h </w:instrText>
      </w:r>
      <w:r w:rsidRPr="00283D41">
        <w:rPr>
          <w:noProof/>
        </w:rPr>
      </w:r>
      <w:r w:rsidRPr="00283D41">
        <w:rPr>
          <w:noProof/>
        </w:rPr>
        <w:fldChar w:fldCharType="separate"/>
      </w:r>
      <w:r w:rsidRPr="00F06BD2">
        <w:rPr>
          <w:noProof/>
          <w:lang w:val="en-GB"/>
        </w:rPr>
        <w:t>8</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EU strategic framework for the Black Sea Basin</w:t>
      </w:r>
      <w:r w:rsidRPr="00F06BD2">
        <w:rPr>
          <w:noProof/>
          <w:lang w:val="en-GB"/>
        </w:rPr>
        <w:tab/>
      </w:r>
      <w:r w:rsidRPr="00283D41">
        <w:rPr>
          <w:noProof/>
        </w:rPr>
        <w:fldChar w:fldCharType="begin"/>
      </w:r>
      <w:r w:rsidRPr="00F06BD2">
        <w:rPr>
          <w:noProof/>
          <w:lang w:val="en-GB"/>
        </w:rPr>
        <w:instrText xml:space="preserve"> PAGEREF _Toc288133430 \h </w:instrText>
      </w:r>
      <w:r w:rsidRPr="00283D41">
        <w:rPr>
          <w:noProof/>
        </w:rPr>
      </w:r>
      <w:r w:rsidRPr="00283D41">
        <w:rPr>
          <w:noProof/>
        </w:rPr>
        <w:fldChar w:fldCharType="separate"/>
      </w:r>
      <w:r w:rsidRPr="00F06BD2">
        <w:rPr>
          <w:noProof/>
          <w:lang w:val="en-GB"/>
        </w:rPr>
        <w:t>10</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Other relevant EU policies and initiatives</w:t>
      </w:r>
      <w:r w:rsidRPr="00F06BD2">
        <w:rPr>
          <w:noProof/>
          <w:lang w:val="en-GB"/>
        </w:rPr>
        <w:tab/>
      </w:r>
      <w:r w:rsidRPr="00283D41">
        <w:rPr>
          <w:noProof/>
        </w:rPr>
        <w:fldChar w:fldCharType="begin"/>
      </w:r>
      <w:r w:rsidRPr="00F06BD2">
        <w:rPr>
          <w:noProof/>
          <w:lang w:val="en-GB"/>
        </w:rPr>
        <w:instrText xml:space="preserve"> PAGEREF _Toc288133431 \h </w:instrText>
      </w:r>
      <w:r w:rsidRPr="00283D41">
        <w:rPr>
          <w:noProof/>
        </w:rPr>
      </w:r>
      <w:r w:rsidRPr="00283D41">
        <w:rPr>
          <w:noProof/>
        </w:rPr>
        <w:fldChar w:fldCharType="separate"/>
      </w:r>
      <w:r w:rsidRPr="00F06BD2">
        <w:rPr>
          <w:noProof/>
          <w:lang w:val="en-GB"/>
        </w:rPr>
        <w:t>10</w:t>
      </w:r>
      <w:r w:rsidRPr="00283D41">
        <w:rPr>
          <w:noProof/>
        </w:rPr>
        <w:fldChar w:fldCharType="end"/>
      </w:r>
    </w:p>
    <w:p w:rsidR="00283D41" w:rsidRPr="00F06BD2" w:rsidRDefault="00283D41">
      <w:pPr>
        <w:pStyle w:val="TOC1"/>
        <w:tabs>
          <w:tab w:val="left" w:pos="325"/>
          <w:tab w:val="right" w:leader="dot" w:pos="9350"/>
        </w:tabs>
        <w:rPr>
          <w:noProof/>
          <w:color w:val="auto"/>
          <w:lang w:val="en-GB" w:eastAsia="ja-JP"/>
        </w:rPr>
      </w:pPr>
      <w:r w:rsidRPr="00283D41">
        <w:rPr>
          <w:rFonts w:ascii="Verdana" w:hAnsi="Verdana"/>
          <w:noProof/>
          <w:lang w:val="en-GB"/>
        </w:rPr>
        <w:t>◦</w:t>
      </w:r>
      <w:r w:rsidRPr="00F06BD2">
        <w:rPr>
          <w:noProof/>
          <w:color w:val="auto"/>
          <w:lang w:val="en-GB" w:eastAsia="ja-JP"/>
        </w:rPr>
        <w:tab/>
      </w:r>
      <w:r w:rsidRPr="00283D41">
        <w:rPr>
          <w:noProof/>
          <w:lang w:val="en-GB"/>
        </w:rPr>
        <w:t>Black Sea Basin socio-economic and SWOT analysis</w:t>
      </w:r>
      <w:r w:rsidRPr="00F06BD2">
        <w:rPr>
          <w:noProof/>
          <w:lang w:val="en-GB"/>
        </w:rPr>
        <w:tab/>
      </w:r>
      <w:r w:rsidRPr="00283D41">
        <w:rPr>
          <w:noProof/>
        </w:rPr>
        <w:fldChar w:fldCharType="begin"/>
      </w:r>
      <w:r w:rsidRPr="00F06BD2">
        <w:rPr>
          <w:noProof/>
          <w:lang w:val="en-GB"/>
        </w:rPr>
        <w:instrText xml:space="preserve"> PAGEREF _Toc288133432 \h </w:instrText>
      </w:r>
      <w:r w:rsidRPr="00283D41">
        <w:rPr>
          <w:noProof/>
        </w:rPr>
      </w:r>
      <w:r w:rsidRPr="00283D41">
        <w:rPr>
          <w:noProof/>
        </w:rPr>
        <w:fldChar w:fldCharType="separate"/>
      </w:r>
      <w:r w:rsidRPr="00F06BD2">
        <w:rPr>
          <w:noProof/>
          <w:lang w:val="en-GB"/>
        </w:rPr>
        <w:t>13</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Territory and demography</w:t>
      </w:r>
      <w:r w:rsidRPr="00F06BD2">
        <w:rPr>
          <w:noProof/>
          <w:lang w:val="en-GB"/>
        </w:rPr>
        <w:tab/>
      </w:r>
      <w:r w:rsidRPr="00283D41">
        <w:rPr>
          <w:noProof/>
        </w:rPr>
        <w:fldChar w:fldCharType="begin"/>
      </w:r>
      <w:r w:rsidRPr="00F06BD2">
        <w:rPr>
          <w:noProof/>
          <w:lang w:val="en-GB"/>
        </w:rPr>
        <w:instrText xml:space="preserve"> PAGEREF _Toc288133433 \h </w:instrText>
      </w:r>
      <w:r w:rsidRPr="00283D41">
        <w:rPr>
          <w:noProof/>
        </w:rPr>
      </w:r>
      <w:r w:rsidRPr="00283D41">
        <w:rPr>
          <w:noProof/>
        </w:rPr>
        <w:fldChar w:fldCharType="separate"/>
      </w:r>
      <w:r w:rsidRPr="00F06BD2">
        <w:rPr>
          <w:noProof/>
          <w:lang w:val="en-GB"/>
        </w:rPr>
        <w:t>13</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Economy</w:t>
      </w:r>
      <w:r w:rsidRPr="00F06BD2">
        <w:rPr>
          <w:noProof/>
          <w:lang w:val="en-GB"/>
        </w:rPr>
        <w:tab/>
      </w:r>
      <w:r w:rsidRPr="00283D41">
        <w:rPr>
          <w:noProof/>
        </w:rPr>
        <w:fldChar w:fldCharType="begin"/>
      </w:r>
      <w:r w:rsidRPr="00F06BD2">
        <w:rPr>
          <w:noProof/>
          <w:lang w:val="en-GB"/>
        </w:rPr>
        <w:instrText xml:space="preserve"> PAGEREF _Toc288133434 \h </w:instrText>
      </w:r>
      <w:r w:rsidRPr="00283D41">
        <w:rPr>
          <w:noProof/>
        </w:rPr>
      </w:r>
      <w:r w:rsidRPr="00283D41">
        <w:rPr>
          <w:noProof/>
        </w:rPr>
        <w:fldChar w:fldCharType="separate"/>
      </w:r>
      <w:r w:rsidRPr="00F06BD2">
        <w:rPr>
          <w:noProof/>
          <w:lang w:val="en-GB"/>
        </w:rPr>
        <w:t>17</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Education and employment, R&amp;D, research</w:t>
      </w:r>
      <w:r w:rsidRPr="00F06BD2">
        <w:rPr>
          <w:noProof/>
          <w:lang w:val="en-GB"/>
        </w:rPr>
        <w:tab/>
      </w:r>
      <w:r w:rsidRPr="00283D41">
        <w:rPr>
          <w:noProof/>
        </w:rPr>
        <w:fldChar w:fldCharType="begin"/>
      </w:r>
      <w:r w:rsidRPr="00F06BD2">
        <w:rPr>
          <w:noProof/>
          <w:lang w:val="en-GB"/>
        </w:rPr>
        <w:instrText xml:space="preserve"> PAGEREF _Toc288133435 \h </w:instrText>
      </w:r>
      <w:r w:rsidRPr="00283D41">
        <w:rPr>
          <w:noProof/>
        </w:rPr>
      </w:r>
      <w:r w:rsidRPr="00283D41">
        <w:rPr>
          <w:noProof/>
        </w:rPr>
        <w:fldChar w:fldCharType="separate"/>
      </w:r>
      <w:r w:rsidRPr="00F06BD2">
        <w:rPr>
          <w:noProof/>
          <w:lang w:val="en-GB"/>
        </w:rPr>
        <w:t>27</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Environment</w:t>
      </w:r>
      <w:r w:rsidRPr="00F06BD2">
        <w:rPr>
          <w:noProof/>
          <w:lang w:val="en-GB"/>
        </w:rPr>
        <w:tab/>
      </w:r>
      <w:r w:rsidRPr="00283D41">
        <w:rPr>
          <w:noProof/>
        </w:rPr>
        <w:fldChar w:fldCharType="begin"/>
      </w:r>
      <w:r w:rsidRPr="00F06BD2">
        <w:rPr>
          <w:noProof/>
          <w:lang w:val="en-GB"/>
        </w:rPr>
        <w:instrText xml:space="preserve"> PAGEREF _Toc288133436 \h </w:instrText>
      </w:r>
      <w:r w:rsidRPr="00283D41">
        <w:rPr>
          <w:noProof/>
        </w:rPr>
      </w:r>
      <w:r w:rsidRPr="00283D41">
        <w:rPr>
          <w:noProof/>
        </w:rPr>
        <w:fldChar w:fldCharType="separate"/>
      </w:r>
      <w:r w:rsidRPr="00F06BD2">
        <w:rPr>
          <w:noProof/>
          <w:lang w:val="en-GB"/>
        </w:rPr>
        <w:t>31</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Health, safety and security</w:t>
      </w:r>
      <w:r w:rsidRPr="00F06BD2">
        <w:rPr>
          <w:noProof/>
          <w:lang w:val="en-GB"/>
        </w:rPr>
        <w:tab/>
      </w:r>
      <w:r w:rsidRPr="00283D41">
        <w:rPr>
          <w:noProof/>
        </w:rPr>
        <w:fldChar w:fldCharType="begin"/>
      </w:r>
      <w:r w:rsidRPr="00F06BD2">
        <w:rPr>
          <w:noProof/>
          <w:lang w:val="en-GB"/>
        </w:rPr>
        <w:instrText xml:space="preserve"> PAGEREF _Toc288133437 \h </w:instrText>
      </w:r>
      <w:r w:rsidRPr="00283D41">
        <w:rPr>
          <w:noProof/>
        </w:rPr>
      </w:r>
      <w:r w:rsidRPr="00283D41">
        <w:rPr>
          <w:noProof/>
        </w:rPr>
        <w:fldChar w:fldCharType="separate"/>
      </w:r>
      <w:r w:rsidRPr="00F06BD2">
        <w:rPr>
          <w:noProof/>
          <w:lang w:val="en-GB"/>
        </w:rPr>
        <w:t>37</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Energy, transport and communication networks</w:t>
      </w:r>
      <w:r w:rsidRPr="00F06BD2">
        <w:rPr>
          <w:noProof/>
          <w:lang w:val="en-GB"/>
        </w:rPr>
        <w:tab/>
      </w:r>
      <w:r w:rsidRPr="00283D41">
        <w:rPr>
          <w:noProof/>
        </w:rPr>
        <w:fldChar w:fldCharType="begin"/>
      </w:r>
      <w:r w:rsidRPr="00F06BD2">
        <w:rPr>
          <w:noProof/>
          <w:lang w:val="en-GB"/>
        </w:rPr>
        <w:instrText xml:space="preserve"> PAGEREF _Toc288133438 \h </w:instrText>
      </w:r>
      <w:r w:rsidRPr="00283D41">
        <w:rPr>
          <w:noProof/>
        </w:rPr>
      </w:r>
      <w:r w:rsidRPr="00283D41">
        <w:rPr>
          <w:noProof/>
        </w:rPr>
        <w:fldChar w:fldCharType="separate"/>
      </w:r>
      <w:r w:rsidRPr="00F06BD2">
        <w:rPr>
          <w:noProof/>
          <w:lang w:val="en-GB"/>
        </w:rPr>
        <w:t>43</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Culture, civil society and self-government</w:t>
      </w:r>
      <w:r w:rsidRPr="00F06BD2">
        <w:rPr>
          <w:noProof/>
          <w:lang w:val="en-GB"/>
        </w:rPr>
        <w:tab/>
      </w:r>
      <w:r w:rsidRPr="00283D41">
        <w:rPr>
          <w:noProof/>
        </w:rPr>
        <w:fldChar w:fldCharType="begin"/>
      </w:r>
      <w:r w:rsidRPr="00F06BD2">
        <w:rPr>
          <w:noProof/>
          <w:lang w:val="en-GB"/>
        </w:rPr>
        <w:instrText xml:space="preserve"> PAGEREF _Toc288133439 \h </w:instrText>
      </w:r>
      <w:r w:rsidRPr="00283D41">
        <w:rPr>
          <w:noProof/>
        </w:rPr>
      </w:r>
      <w:r w:rsidRPr="00283D41">
        <w:rPr>
          <w:noProof/>
        </w:rPr>
        <w:fldChar w:fldCharType="separate"/>
      </w:r>
      <w:r w:rsidRPr="00F06BD2">
        <w:rPr>
          <w:noProof/>
          <w:lang w:val="en-GB"/>
        </w:rPr>
        <w:t>48</w:t>
      </w:r>
      <w:r w:rsidRPr="00283D41">
        <w:rPr>
          <w:noProof/>
        </w:rPr>
        <w:fldChar w:fldCharType="end"/>
      </w:r>
    </w:p>
    <w:p w:rsidR="00283D41" w:rsidRPr="00F06BD2" w:rsidRDefault="00283D41">
      <w:pPr>
        <w:pStyle w:val="TOC1"/>
        <w:tabs>
          <w:tab w:val="left" w:pos="325"/>
          <w:tab w:val="right" w:leader="dot" w:pos="9350"/>
        </w:tabs>
        <w:rPr>
          <w:noProof/>
          <w:color w:val="auto"/>
          <w:lang w:val="en-GB" w:eastAsia="ja-JP"/>
        </w:rPr>
      </w:pPr>
      <w:r w:rsidRPr="00283D41">
        <w:rPr>
          <w:rFonts w:ascii="Verdana" w:hAnsi="Verdana"/>
          <w:noProof/>
          <w:lang w:val="en-GB"/>
        </w:rPr>
        <w:t>◦</w:t>
      </w:r>
      <w:r w:rsidRPr="00F06BD2">
        <w:rPr>
          <w:noProof/>
          <w:color w:val="auto"/>
          <w:lang w:val="en-GB" w:eastAsia="ja-JP"/>
        </w:rPr>
        <w:tab/>
      </w:r>
      <w:r w:rsidRPr="00283D41">
        <w:rPr>
          <w:noProof/>
          <w:lang w:val="en-GB"/>
        </w:rPr>
        <w:t>Black Sea Basin strategic analysis and consultations</w:t>
      </w:r>
      <w:r w:rsidRPr="00F06BD2">
        <w:rPr>
          <w:noProof/>
          <w:lang w:val="en-GB"/>
        </w:rPr>
        <w:tab/>
      </w:r>
      <w:r w:rsidRPr="00283D41">
        <w:rPr>
          <w:noProof/>
        </w:rPr>
        <w:fldChar w:fldCharType="begin"/>
      </w:r>
      <w:r w:rsidRPr="00F06BD2">
        <w:rPr>
          <w:noProof/>
          <w:lang w:val="en-GB"/>
        </w:rPr>
        <w:instrText xml:space="preserve"> PAGEREF _Toc288133440 \h </w:instrText>
      </w:r>
      <w:r w:rsidRPr="00283D41">
        <w:rPr>
          <w:noProof/>
        </w:rPr>
      </w:r>
      <w:r w:rsidRPr="00283D41">
        <w:rPr>
          <w:noProof/>
        </w:rPr>
        <w:fldChar w:fldCharType="separate"/>
      </w:r>
      <w:r w:rsidRPr="00F06BD2">
        <w:rPr>
          <w:noProof/>
          <w:lang w:val="en-GB"/>
        </w:rPr>
        <w:t>51</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Past experience analysis</w:t>
      </w:r>
      <w:r w:rsidRPr="00F06BD2">
        <w:rPr>
          <w:noProof/>
          <w:lang w:val="en-GB"/>
        </w:rPr>
        <w:tab/>
      </w:r>
      <w:r w:rsidRPr="00283D41">
        <w:rPr>
          <w:noProof/>
        </w:rPr>
        <w:fldChar w:fldCharType="begin"/>
      </w:r>
      <w:r w:rsidRPr="00F06BD2">
        <w:rPr>
          <w:noProof/>
          <w:lang w:val="en-GB"/>
        </w:rPr>
        <w:instrText xml:space="preserve"> PAGEREF _Toc288133441 \h </w:instrText>
      </w:r>
      <w:r w:rsidRPr="00283D41">
        <w:rPr>
          <w:noProof/>
        </w:rPr>
      </w:r>
      <w:r w:rsidRPr="00283D41">
        <w:rPr>
          <w:noProof/>
        </w:rPr>
        <w:fldChar w:fldCharType="separate"/>
      </w:r>
      <w:r w:rsidRPr="00F06BD2">
        <w:rPr>
          <w:noProof/>
          <w:lang w:val="en-GB"/>
        </w:rPr>
        <w:t>51</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Stakeholder consultations</w:t>
      </w:r>
      <w:r w:rsidRPr="00F06BD2">
        <w:rPr>
          <w:noProof/>
          <w:lang w:val="en-GB"/>
        </w:rPr>
        <w:tab/>
      </w:r>
      <w:r w:rsidRPr="00283D41">
        <w:rPr>
          <w:noProof/>
        </w:rPr>
        <w:fldChar w:fldCharType="begin"/>
      </w:r>
      <w:r w:rsidRPr="00F06BD2">
        <w:rPr>
          <w:noProof/>
          <w:lang w:val="en-GB"/>
        </w:rPr>
        <w:instrText xml:space="preserve"> PAGEREF _Toc288133442 \h </w:instrText>
      </w:r>
      <w:r w:rsidRPr="00283D41">
        <w:rPr>
          <w:noProof/>
        </w:rPr>
      </w:r>
      <w:r w:rsidRPr="00283D41">
        <w:rPr>
          <w:noProof/>
        </w:rPr>
        <w:fldChar w:fldCharType="separate"/>
      </w:r>
      <w:r w:rsidRPr="00F06BD2">
        <w:rPr>
          <w:noProof/>
          <w:lang w:val="en-GB"/>
        </w:rPr>
        <w:t>53</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Consistency with other EU programmes</w:t>
      </w:r>
      <w:r w:rsidRPr="00F06BD2">
        <w:rPr>
          <w:noProof/>
          <w:lang w:val="en-GB"/>
        </w:rPr>
        <w:tab/>
      </w:r>
      <w:r w:rsidRPr="00283D41">
        <w:rPr>
          <w:noProof/>
        </w:rPr>
        <w:fldChar w:fldCharType="begin"/>
      </w:r>
      <w:r w:rsidRPr="00F06BD2">
        <w:rPr>
          <w:noProof/>
          <w:lang w:val="en-GB"/>
        </w:rPr>
        <w:instrText xml:space="preserve"> PAGEREF _Toc288133443 \h </w:instrText>
      </w:r>
      <w:r w:rsidRPr="00283D41">
        <w:rPr>
          <w:noProof/>
        </w:rPr>
      </w:r>
      <w:r w:rsidRPr="00283D41">
        <w:rPr>
          <w:noProof/>
        </w:rPr>
        <w:fldChar w:fldCharType="separate"/>
      </w:r>
      <w:r w:rsidRPr="00F06BD2">
        <w:rPr>
          <w:noProof/>
          <w:lang w:val="en-GB"/>
        </w:rPr>
        <w:t>55</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Summary of strategy identification</w:t>
      </w:r>
      <w:r w:rsidRPr="00F06BD2">
        <w:rPr>
          <w:noProof/>
          <w:lang w:val="en-GB"/>
        </w:rPr>
        <w:tab/>
      </w:r>
      <w:r w:rsidRPr="00283D41">
        <w:rPr>
          <w:noProof/>
        </w:rPr>
        <w:fldChar w:fldCharType="begin"/>
      </w:r>
      <w:r w:rsidRPr="00F06BD2">
        <w:rPr>
          <w:noProof/>
          <w:lang w:val="en-GB"/>
        </w:rPr>
        <w:instrText xml:space="preserve"> PAGEREF _Toc288133444 \h </w:instrText>
      </w:r>
      <w:r w:rsidRPr="00283D41">
        <w:rPr>
          <w:noProof/>
        </w:rPr>
      </w:r>
      <w:r w:rsidRPr="00283D41">
        <w:rPr>
          <w:noProof/>
        </w:rPr>
        <w:fldChar w:fldCharType="separate"/>
      </w:r>
      <w:r w:rsidRPr="00F06BD2">
        <w:rPr>
          <w:noProof/>
          <w:lang w:val="en-GB"/>
        </w:rPr>
        <w:t>58</w:t>
      </w:r>
      <w:r w:rsidRPr="00283D41">
        <w:rPr>
          <w:noProof/>
        </w:rPr>
        <w:fldChar w:fldCharType="end"/>
      </w:r>
    </w:p>
    <w:p w:rsidR="00283D41" w:rsidRPr="00F06BD2" w:rsidRDefault="00283D41">
      <w:pPr>
        <w:pStyle w:val="TOC1"/>
        <w:tabs>
          <w:tab w:val="left" w:pos="325"/>
          <w:tab w:val="right" w:leader="dot" w:pos="9350"/>
        </w:tabs>
        <w:rPr>
          <w:noProof/>
          <w:color w:val="auto"/>
          <w:lang w:val="en-GB" w:eastAsia="ja-JP"/>
        </w:rPr>
      </w:pPr>
      <w:r w:rsidRPr="00283D41">
        <w:rPr>
          <w:rFonts w:ascii="Verdana" w:hAnsi="Verdana"/>
          <w:noProof/>
          <w:lang w:val="en-GB"/>
        </w:rPr>
        <w:t>◦</w:t>
      </w:r>
      <w:r w:rsidRPr="00F06BD2">
        <w:rPr>
          <w:noProof/>
          <w:color w:val="auto"/>
          <w:lang w:val="en-GB" w:eastAsia="ja-JP"/>
        </w:rPr>
        <w:tab/>
      </w:r>
      <w:r w:rsidRPr="00283D41">
        <w:rPr>
          <w:noProof/>
          <w:lang w:val="en-GB"/>
        </w:rPr>
        <w:t>Black Sea Basin ENI CBC programme strategy</w:t>
      </w:r>
      <w:r w:rsidRPr="00F06BD2">
        <w:rPr>
          <w:noProof/>
          <w:lang w:val="en-GB"/>
        </w:rPr>
        <w:tab/>
      </w:r>
      <w:r w:rsidRPr="00283D41">
        <w:rPr>
          <w:noProof/>
        </w:rPr>
        <w:fldChar w:fldCharType="begin"/>
      </w:r>
      <w:r w:rsidRPr="00F06BD2">
        <w:rPr>
          <w:noProof/>
          <w:lang w:val="en-GB"/>
        </w:rPr>
        <w:instrText xml:space="preserve"> PAGEREF _Toc288133445 \h </w:instrText>
      </w:r>
      <w:r w:rsidRPr="00283D41">
        <w:rPr>
          <w:noProof/>
        </w:rPr>
      </w:r>
      <w:r w:rsidRPr="00283D41">
        <w:rPr>
          <w:noProof/>
        </w:rPr>
        <w:fldChar w:fldCharType="separate"/>
      </w:r>
      <w:r w:rsidRPr="00F06BD2">
        <w:rPr>
          <w:noProof/>
          <w:lang w:val="en-GB"/>
        </w:rPr>
        <w:t>59</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US"/>
        </w:rPr>
        <w:t>Wider objective</w:t>
      </w:r>
      <w:r w:rsidRPr="00F06BD2">
        <w:rPr>
          <w:noProof/>
          <w:lang w:val="en-GB"/>
        </w:rPr>
        <w:tab/>
      </w:r>
      <w:r w:rsidRPr="00283D41">
        <w:rPr>
          <w:noProof/>
        </w:rPr>
        <w:fldChar w:fldCharType="begin"/>
      </w:r>
      <w:r w:rsidRPr="00F06BD2">
        <w:rPr>
          <w:noProof/>
          <w:lang w:val="en-GB"/>
        </w:rPr>
        <w:instrText xml:space="preserve"> PAGEREF _Toc288133446 \h </w:instrText>
      </w:r>
      <w:r w:rsidRPr="00283D41">
        <w:rPr>
          <w:noProof/>
        </w:rPr>
      </w:r>
      <w:r w:rsidRPr="00283D41">
        <w:rPr>
          <w:noProof/>
        </w:rPr>
        <w:fldChar w:fldCharType="separate"/>
      </w:r>
      <w:r w:rsidRPr="00F06BD2">
        <w:rPr>
          <w:noProof/>
          <w:lang w:val="en-GB"/>
        </w:rPr>
        <w:t>59</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US"/>
        </w:rPr>
        <w:t>Horizontal issues and modalities</w:t>
      </w:r>
      <w:r w:rsidRPr="00F06BD2">
        <w:rPr>
          <w:noProof/>
          <w:lang w:val="en-GB"/>
        </w:rPr>
        <w:tab/>
      </w:r>
      <w:r w:rsidRPr="00283D41">
        <w:rPr>
          <w:noProof/>
        </w:rPr>
        <w:fldChar w:fldCharType="begin"/>
      </w:r>
      <w:r w:rsidRPr="00F06BD2">
        <w:rPr>
          <w:noProof/>
          <w:lang w:val="en-GB"/>
        </w:rPr>
        <w:instrText xml:space="preserve"> PAGEREF _Toc288133447 \h </w:instrText>
      </w:r>
      <w:r w:rsidRPr="00283D41">
        <w:rPr>
          <w:noProof/>
        </w:rPr>
      </w:r>
      <w:r w:rsidRPr="00283D41">
        <w:rPr>
          <w:noProof/>
        </w:rPr>
        <w:fldChar w:fldCharType="separate"/>
      </w:r>
      <w:r w:rsidRPr="00F06BD2">
        <w:rPr>
          <w:noProof/>
          <w:lang w:val="en-GB"/>
        </w:rPr>
        <w:t>59</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Thematic objectives and priorities</w:t>
      </w:r>
      <w:r w:rsidRPr="00F06BD2">
        <w:rPr>
          <w:noProof/>
          <w:lang w:val="en-GB"/>
        </w:rPr>
        <w:tab/>
      </w:r>
      <w:r w:rsidRPr="00283D41">
        <w:rPr>
          <w:noProof/>
        </w:rPr>
        <w:fldChar w:fldCharType="begin"/>
      </w:r>
      <w:r w:rsidRPr="00F06BD2">
        <w:rPr>
          <w:noProof/>
          <w:lang w:val="en-GB"/>
        </w:rPr>
        <w:instrText xml:space="preserve"> PAGEREF _Toc288133448 \h </w:instrText>
      </w:r>
      <w:r w:rsidRPr="00283D41">
        <w:rPr>
          <w:noProof/>
        </w:rPr>
      </w:r>
      <w:r w:rsidRPr="00283D41">
        <w:rPr>
          <w:noProof/>
        </w:rPr>
        <w:fldChar w:fldCharType="separate"/>
      </w:r>
      <w:r w:rsidRPr="00F06BD2">
        <w:rPr>
          <w:noProof/>
          <w:lang w:val="en-GB"/>
        </w:rPr>
        <w:t>59</w:t>
      </w:r>
      <w:r w:rsidRPr="00283D41">
        <w:rPr>
          <w:noProof/>
        </w:rPr>
        <w:fldChar w:fldCharType="end"/>
      </w:r>
    </w:p>
    <w:p w:rsidR="00283D41" w:rsidRPr="00F06BD2" w:rsidRDefault="00283D41">
      <w:pPr>
        <w:pStyle w:val="TOC3"/>
        <w:tabs>
          <w:tab w:val="right" w:leader="dot" w:pos="9350"/>
        </w:tabs>
        <w:rPr>
          <w:noProof/>
          <w:sz w:val="24"/>
          <w:lang w:val="en-GB" w:eastAsia="ja-JP"/>
        </w:rPr>
      </w:pPr>
      <w:r w:rsidRPr="00197A31">
        <w:rPr>
          <w:noProof/>
          <w:lang w:val="en-GB"/>
        </w:rPr>
        <w:t>Objectively verifiable indicators</w:t>
      </w:r>
      <w:r w:rsidRPr="00F06BD2">
        <w:rPr>
          <w:noProof/>
          <w:lang w:val="en-GB"/>
        </w:rPr>
        <w:tab/>
      </w:r>
      <w:r w:rsidRPr="00283D41">
        <w:rPr>
          <w:noProof/>
        </w:rPr>
        <w:fldChar w:fldCharType="begin"/>
      </w:r>
      <w:r w:rsidRPr="00F06BD2">
        <w:rPr>
          <w:noProof/>
          <w:lang w:val="en-GB"/>
        </w:rPr>
        <w:instrText xml:space="preserve"> PAGEREF _Toc288133449 \h </w:instrText>
      </w:r>
      <w:r w:rsidRPr="00283D41">
        <w:rPr>
          <w:noProof/>
        </w:rPr>
      </w:r>
      <w:r w:rsidRPr="00283D41">
        <w:rPr>
          <w:noProof/>
        </w:rPr>
        <w:fldChar w:fldCharType="separate"/>
      </w:r>
      <w:r w:rsidRPr="00F06BD2">
        <w:rPr>
          <w:noProof/>
          <w:lang w:val="en-GB"/>
        </w:rPr>
        <w:t>65</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Risk analysis and mitigating measures</w:t>
      </w:r>
      <w:r w:rsidRPr="00F06BD2">
        <w:rPr>
          <w:noProof/>
          <w:lang w:val="en-GB"/>
        </w:rPr>
        <w:tab/>
      </w:r>
      <w:r w:rsidRPr="00283D41">
        <w:rPr>
          <w:noProof/>
        </w:rPr>
        <w:fldChar w:fldCharType="begin"/>
      </w:r>
      <w:r w:rsidRPr="00F06BD2">
        <w:rPr>
          <w:noProof/>
          <w:lang w:val="en-GB"/>
        </w:rPr>
        <w:instrText xml:space="preserve"> PAGEREF _Toc288133450 \h </w:instrText>
      </w:r>
      <w:r w:rsidRPr="00283D41">
        <w:rPr>
          <w:noProof/>
        </w:rPr>
      </w:r>
      <w:r w:rsidRPr="00283D41">
        <w:rPr>
          <w:noProof/>
        </w:rPr>
        <w:fldChar w:fldCharType="separate"/>
      </w:r>
      <w:r w:rsidRPr="00F06BD2">
        <w:rPr>
          <w:noProof/>
          <w:lang w:val="en-GB"/>
        </w:rPr>
        <w:t>67</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Programme logical framework</w:t>
      </w:r>
      <w:r w:rsidRPr="00F06BD2">
        <w:rPr>
          <w:noProof/>
          <w:lang w:val="en-GB"/>
        </w:rPr>
        <w:tab/>
      </w:r>
      <w:r w:rsidRPr="00283D41">
        <w:rPr>
          <w:noProof/>
        </w:rPr>
        <w:fldChar w:fldCharType="begin"/>
      </w:r>
      <w:r w:rsidRPr="00F06BD2">
        <w:rPr>
          <w:noProof/>
          <w:lang w:val="en-GB"/>
        </w:rPr>
        <w:instrText xml:space="preserve"> PAGEREF _Toc288133451 \h </w:instrText>
      </w:r>
      <w:r w:rsidRPr="00283D41">
        <w:rPr>
          <w:noProof/>
        </w:rPr>
      </w:r>
      <w:r w:rsidRPr="00283D41">
        <w:rPr>
          <w:noProof/>
        </w:rPr>
        <w:fldChar w:fldCharType="separate"/>
      </w:r>
      <w:r w:rsidRPr="00F06BD2">
        <w:rPr>
          <w:noProof/>
          <w:lang w:val="en-GB"/>
        </w:rPr>
        <w:t>69</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lastRenderedPageBreak/>
        <w:t>Nature of projects and types of support</w:t>
      </w:r>
      <w:r w:rsidRPr="00F06BD2">
        <w:rPr>
          <w:noProof/>
          <w:lang w:val="en-GB"/>
        </w:rPr>
        <w:tab/>
      </w:r>
      <w:r w:rsidRPr="00283D41">
        <w:rPr>
          <w:noProof/>
        </w:rPr>
        <w:fldChar w:fldCharType="begin"/>
      </w:r>
      <w:r w:rsidRPr="00F06BD2">
        <w:rPr>
          <w:noProof/>
          <w:lang w:val="en-GB"/>
        </w:rPr>
        <w:instrText xml:space="preserve"> PAGEREF _Toc288133452 \h </w:instrText>
      </w:r>
      <w:r w:rsidRPr="00283D41">
        <w:rPr>
          <w:noProof/>
        </w:rPr>
      </w:r>
      <w:r w:rsidRPr="00283D41">
        <w:rPr>
          <w:noProof/>
        </w:rPr>
        <w:fldChar w:fldCharType="separate"/>
      </w:r>
      <w:r w:rsidRPr="00F06BD2">
        <w:rPr>
          <w:noProof/>
          <w:lang w:val="en-GB"/>
        </w:rPr>
        <w:t>73</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Mainstreaming of cross-cutting issues</w:t>
      </w:r>
      <w:r w:rsidRPr="00F06BD2">
        <w:rPr>
          <w:noProof/>
          <w:lang w:val="en-GB"/>
        </w:rPr>
        <w:tab/>
      </w:r>
      <w:r w:rsidRPr="00283D41">
        <w:rPr>
          <w:noProof/>
        </w:rPr>
        <w:fldChar w:fldCharType="begin"/>
      </w:r>
      <w:r w:rsidRPr="00F06BD2">
        <w:rPr>
          <w:noProof/>
          <w:lang w:val="en-GB"/>
        </w:rPr>
        <w:instrText xml:space="preserve"> PAGEREF _Toc288133453 \h </w:instrText>
      </w:r>
      <w:r w:rsidRPr="00283D41">
        <w:rPr>
          <w:noProof/>
        </w:rPr>
      </w:r>
      <w:r w:rsidRPr="00283D41">
        <w:rPr>
          <w:noProof/>
        </w:rPr>
        <w:fldChar w:fldCharType="separate"/>
      </w:r>
      <w:r w:rsidRPr="00F06BD2">
        <w:rPr>
          <w:noProof/>
          <w:lang w:val="en-GB"/>
        </w:rPr>
        <w:t>74</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Complementarities and synergies</w:t>
      </w:r>
      <w:r w:rsidRPr="00F06BD2">
        <w:rPr>
          <w:noProof/>
          <w:lang w:val="en-GB"/>
        </w:rPr>
        <w:tab/>
      </w:r>
      <w:r w:rsidRPr="00283D41">
        <w:rPr>
          <w:noProof/>
        </w:rPr>
        <w:fldChar w:fldCharType="begin"/>
      </w:r>
      <w:r w:rsidRPr="00F06BD2">
        <w:rPr>
          <w:noProof/>
          <w:lang w:val="en-GB"/>
        </w:rPr>
        <w:instrText xml:space="preserve"> PAGEREF _Toc288133454 \h </w:instrText>
      </w:r>
      <w:r w:rsidRPr="00283D41">
        <w:rPr>
          <w:noProof/>
        </w:rPr>
      </w:r>
      <w:r w:rsidRPr="00283D41">
        <w:rPr>
          <w:noProof/>
        </w:rPr>
        <w:fldChar w:fldCharType="separate"/>
      </w:r>
      <w:r w:rsidRPr="00F06BD2">
        <w:rPr>
          <w:noProof/>
          <w:lang w:val="en-GB"/>
        </w:rPr>
        <w:t>76</w:t>
      </w:r>
      <w:r w:rsidRPr="00283D41">
        <w:rPr>
          <w:noProof/>
        </w:rPr>
        <w:fldChar w:fldCharType="end"/>
      </w:r>
    </w:p>
    <w:p w:rsidR="00283D41" w:rsidRPr="00F06BD2" w:rsidRDefault="00283D41">
      <w:pPr>
        <w:pStyle w:val="TOC1"/>
        <w:tabs>
          <w:tab w:val="left" w:pos="325"/>
          <w:tab w:val="right" w:leader="dot" w:pos="9350"/>
        </w:tabs>
        <w:rPr>
          <w:noProof/>
          <w:color w:val="auto"/>
          <w:lang w:val="en-GB" w:eastAsia="ja-JP"/>
        </w:rPr>
      </w:pPr>
      <w:r w:rsidRPr="00283D41">
        <w:rPr>
          <w:rFonts w:ascii="Verdana" w:hAnsi="Verdana"/>
          <w:noProof/>
          <w:lang w:val="en-GB"/>
        </w:rPr>
        <w:t>◦</w:t>
      </w:r>
      <w:r w:rsidRPr="00F06BD2">
        <w:rPr>
          <w:noProof/>
          <w:color w:val="auto"/>
          <w:lang w:val="en-GB" w:eastAsia="ja-JP"/>
        </w:rPr>
        <w:tab/>
      </w:r>
      <w:r w:rsidRPr="00283D41">
        <w:rPr>
          <w:noProof/>
          <w:lang w:val="en-GB"/>
        </w:rPr>
        <w:t>Programme structures and national bodies</w:t>
      </w:r>
      <w:r w:rsidRPr="00F06BD2">
        <w:rPr>
          <w:noProof/>
          <w:lang w:val="en-GB"/>
        </w:rPr>
        <w:tab/>
      </w:r>
      <w:r w:rsidRPr="00283D41">
        <w:rPr>
          <w:noProof/>
        </w:rPr>
        <w:fldChar w:fldCharType="begin"/>
      </w:r>
      <w:r w:rsidRPr="00F06BD2">
        <w:rPr>
          <w:noProof/>
          <w:lang w:val="en-GB"/>
        </w:rPr>
        <w:instrText xml:space="preserve"> PAGEREF _Toc288133455 \h </w:instrText>
      </w:r>
      <w:r w:rsidRPr="00283D41">
        <w:rPr>
          <w:noProof/>
        </w:rPr>
      </w:r>
      <w:r w:rsidRPr="00283D41">
        <w:rPr>
          <w:noProof/>
        </w:rPr>
        <w:fldChar w:fldCharType="separate"/>
      </w:r>
      <w:r w:rsidRPr="00F06BD2">
        <w:rPr>
          <w:noProof/>
          <w:lang w:val="en-GB"/>
        </w:rPr>
        <w:t>79</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Joint Monitoring Committee (JMC)</w:t>
      </w:r>
      <w:r w:rsidRPr="00F06BD2">
        <w:rPr>
          <w:noProof/>
          <w:lang w:val="en-GB"/>
        </w:rPr>
        <w:tab/>
      </w:r>
      <w:r w:rsidRPr="00283D41">
        <w:rPr>
          <w:noProof/>
        </w:rPr>
        <w:fldChar w:fldCharType="begin"/>
      </w:r>
      <w:r w:rsidRPr="00F06BD2">
        <w:rPr>
          <w:noProof/>
          <w:lang w:val="en-GB"/>
        </w:rPr>
        <w:instrText xml:space="preserve"> PAGEREF _Toc288133456 \h </w:instrText>
      </w:r>
      <w:r w:rsidRPr="00283D41">
        <w:rPr>
          <w:noProof/>
        </w:rPr>
      </w:r>
      <w:r w:rsidRPr="00283D41">
        <w:rPr>
          <w:noProof/>
        </w:rPr>
        <w:fldChar w:fldCharType="separate"/>
      </w:r>
      <w:r w:rsidRPr="00F06BD2">
        <w:rPr>
          <w:noProof/>
          <w:lang w:val="en-GB"/>
        </w:rPr>
        <w:t>79</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Managing Authority (MA)</w:t>
      </w:r>
      <w:r w:rsidRPr="00F06BD2">
        <w:rPr>
          <w:noProof/>
          <w:lang w:val="en-GB"/>
        </w:rPr>
        <w:tab/>
      </w:r>
      <w:r w:rsidRPr="00283D41">
        <w:rPr>
          <w:noProof/>
        </w:rPr>
        <w:fldChar w:fldCharType="begin"/>
      </w:r>
      <w:r w:rsidRPr="00F06BD2">
        <w:rPr>
          <w:noProof/>
          <w:lang w:val="en-GB"/>
        </w:rPr>
        <w:instrText xml:space="preserve"> PAGEREF _Toc288133457 \h </w:instrText>
      </w:r>
      <w:r w:rsidRPr="00283D41">
        <w:rPr>
          <w:noProof/>
        </w:rPr>
      </w:r>
      <w:r w:rsidRPr="00283D41">
        <w:rPr>
          <w:noProof/>
        </w:rPr>
        <w:fldChar w:fldCharType="separate"/>
      </w:r>
      <w:r w:rsidRPr="00F06BD2">
        <w:rPr>
          <w:noProof/>
          <w:lang w:val="en-GB"/>
        </w:rPr>
        <w:t>80</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Audit Authority (AA) and Group of Auditors (GoAs)</w:t>
      </w:r>
      <w:r w:rsidRPr="00F06BD2">
        <w:rPr>
          <w:noProof/>
          <w:lang w:val="en-GB"/>
        </w:rPr>
        <w:tab/>
      </w:r>
      <w:r w:rsidRPr="00283D41">
        <w:rPr>
          <w:noProof/>
        </w:rPr>
        <w:fldChar w:fldCharType="begin"/>
      </w:r>
      <w:r w:rsidRPr="00F06BD2">
        <w:rPr>
          <w:noProof/>
          <w:lang w:val="en-GB"/>
        </w:rPr>
        <w:instrText xml:space="preserve"> PAGEREF _Toc288133458 \h </w:instrText>
      </w:r>
      <w:r w:rsidRPr="00283D41">
        <w:rPr>
          <w:noProof/>
        </w:rPr>
      </w:r>
      <w:r w:rsidRPr="00283D41">
        <w:rPr>
          <w:noProof/>
        </w:rPr>
        <w:fldChar w:fldCharType="separate"/>
      </w:r>
      <w:r w:rsidRPr="00F06BD2">
        <w:rPr>
          <w:noProof/>
          <w:lang w:val="en-GB"/>
        </w:rPr>
        <w:t>82</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National Authorities (NAs)</w:t>
      </w:r>
      <w:r w:rsidRPr="00F06BD2">
        <w:rPr>
          <w:noProof/>
          <w:lang w:val="en-GB"/>
        </w:rPr>
        <w:tab/>
      </w:r>
      <w:r w:rsidRPr="00283D41">
        <w:rPr>
          <w:noProof/>
        </w:rPr>
        <w:fldChar w:fldCharType="begin"/>
      </w:r>
      <w:r w:rsidRPr="00F06BD2">
        <w:rPr>
          <w:noProof/>
          <w:lang w:val="en-GB"/>
        </w:rPr>
        <w:instrText xml:space="preserve"> PAGEREF _Toc288133459 \h </w:instrText>
      </w:r>
      <w:r w:rsidRPr="00283D41">
        <w:rPr>
          <w:noProof/>
        </w:rPr>
      </w:r>
      <w:r w:rsidRPr="00283D41">
        <w:rPr>
          <w:noProof/>
        </w:rPr>
        <w:fldChar w:fldCharType="separate"/>
      </w:r>
      <w:r w:rsidRPr="00F06BD2">
        <w:rPr>
          <w:noProof/>
          <w:lang w:val="en-GB"/>
        </w:rPr>
        <w:t>84</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Control Contact Points (CCPs)</w:t>
      </w:r>
      <w:r w:rsidRPr="00F06BD2">
        <w:rPr>
          <w:noProof/>
          <w:lang w:val="en-GB"/>
        </w:rPr>
        <w:tab/>
      </w:r>
      <w:r w:rsidRPr="00283D41">
        <w:rPr>
          <w:noProof/>
        </w:rPr>
        <w:fldChar w:fldCharType="begin"/>
      </w:r>
      <w:r w:rsidRPr="00F06BD2">
        <w:rPr>
          <w:noProof/>
          <w:lang w:val="en-GB"/>
        </w:rPr>
        <w:instrText xml:space="preserve"> PAGEREF _Toc288133460 \h </w:instrText>
      </w:r>
      <w:r w:rsidRPr="00283D41">
        <w:rPr>
          <w:noProof/>
        </w:rPr>
      </w:r>
      <w:r w:rsidRPr="00283D41">
        <w:rPr>
          <w:noProof/>
        </w:rPr>
        <w:fldChar w:fldCharType="separate"/>
      </w:r>
      <w:r w:rsidRPr="00F06BD2">
        <w:rPr>
          <w:noProof/>
          <w:lang w:val="en-GB"/>
        </w:rPr>
        <w:t>85</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Joint Technical Secretariat (JTS)</w:t>
      </w:r>
      <w:r w:rsidRPr="00F06BD2">
        <w:rPr>
          <w:noProof/>
          <w:lang w:val="en-GB"/>
        </w:rPr>
        <w:tab/>
      </w:r>
      <w:r w:rsidRPr="00283D41">
        <w:rPr>
          <w:noProof/>
        </w:rPr>
        <w:fldChar w:fldCharType="begin"/>
      </w:r>
      <w:r w:rsidRPr="00F06BD2">
        <w:rPr>
          <w:noProof/>
          <w:lang w:val="en-GB"/>
        </w:rPr>
        <w:instrText xml:space="preserve"> PAGEREF _Toc288133461 \h </w:instrText>
      </w:r>
      <w:r w:rsidRPr="00283D41">
        <w:rPr>
          <w:noProof/>
        </w:rPr>
      </w:r>
      <w:r w:rsidRPr="00283D41">
        <w:rPr>
          <w:noProof/>
        </w:rPr>
        <w:fldChar w:fldCharType="separate"/>
      </w:r>
      <w:r w:rsidRPr="00F06BD2">
        <w:rPr>
          <w:noProof/>
          <w:lang w:val="en-GB"/>
        </w:rPr>
        <w:t>86</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Other structures supporting national authorities</w:t>
      </w:r>
      <w:r w:rsidRPr="00F06BD2">
        <w:rPr>
          <w:noProof/>
          <w:lang w:val="en-GB"/>
        </w:rPr>
        <w:tab/>
      </w:r>
      <w:r w:rsidRPr="00283D41">
        <w:rPr>
          <w:noProof/>
        </w:rPr>
        <w:fldChar w:fldCharType="begin"/>
      </w:r>
      <w:r w:rsidRPr="00F06BD2">
        <w:rPr>
          <w:noProof/>
          <w:lang w:val="en-GB"/>
        </w:rPr>
        <w:instrText xml:space="preserve"> PAGEREF _Toc288133462 \h </w:instrText>
      </w:r>
      <w:r w:rsidRPr="00283D41">
        <w:rPr>
          <w:noProof/>
        </w:rPr>
      </w:r>
      <w:r w:rsidRPr="00283D41">
        <w:rPr>
          <w:noProof/>
        </w:rPr>
        <w:fldChar w:fldCharType="separate"/>
      </w:r>
      <w:r w:rsidRPr="00F06BD2">
        <w:rPr>
          <w:noProof/>
          <w:lang w:val="en-GB"/>
        </w:rPr>
        <w:t>87</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Selection Committee (SC)</w:t>
      </w:r>
      <w:r w:rsidRPr="00F06BD2">
        <w:rPr>
          <w:noProof/>
          <w:lang w:val="en-GB"/>
        </w:rPr>
        <w:tab/>
      </w:r>
      <w:r w:rsidRPr="00283D41">
        <w:rPr>
          <w:noProof/>
        </w:rPr>
        <w:fldChar w:fldCharType="begin"/>
      </w:r>
      <w:r w:rsidRPr="00F06BD2">
        <w:rPr>
          <w:noProof/>
          <w:lang w:val="en-GB"/>
        </w:rPr>
        <w:instrText xml:space="preserve"> PAGEREF _Toc288133463 \h </w:instrText>
      </w:r>
      <w:r w:rsidRPr="00283D41">
        <w:rPr>
          <w:noProof/>
        </w:rPr>
      </w:r>
      <w:r w:rsidRPr="00283D41">
        <w:rPr>
          <w:noProof/>
        </w:rPr>
        <w:fldChar w:fldCharType="separate"/>
      </w:r>
      <w:r w:rsidRPr="00F06BD2">
        <w:rPr>
          <w:noProof/>
          <w:lang w:val="en-GB"/>
        </w:rPr>
        <w:t>88</w:t>
      </w:r>
      <w:r w:rsidRPr="00283D41">
        <w:rPr>
          <w:noProof/>
        </w:rPr>
        <w:fldChar w:fldCharType="end"/>
      </w:r>
    </w:p>
    <w:p w:rsidR="00283D41" w:rsidRPr="00F06BD2" w:rsidRDefault="00283D41">
      <w:pPr>
        <w:pStyle w:val="TOC1"/>
        <w:tabs>
          <w:tab w:val="left" w:pos="325"/>
          <w:tab w:val="right" w:leader="dot" w:pos="9350"/>
        </w:tabs>
        <w:rPr>
          <w:noProof/>
          <w:color w:val="auto"/>
          <w:lang w:val="en-GB" w:eastAsia="ja-JP"/>
        </w:rPr>
      </w:pPr>
      <w:r w:rsidRPr="00283D41">
        <w:rPr>
          <w:rFonts w:ascii="Verdana" w:hAnsi="Verdana"/>
          <w:noProof/>
          <w:lang w:val="en-GB"/>
        </w:rPr>
        <w:t>◦</w:t>
      </w:r>
      <w:r w:rsidRPr="00F06BD2">
        <w:rPr>
          <w:noProof/>
          <w:color w:val="auto"/>
          <w:lang w:val="en-GB" w:eastAsia="ja-JP"/>
        </w:rPr>
        <w:tab/>
      </w:r>
      <w:r w:rsidRPr="00283D41">
        <w:rPr>
          <w:noProof/>
          <w:lang w:val="en-GB"/>
        </w:rPr>
        <w:t>Project evaluation and selection procedures</w:t>
      </w:r>
      <w:r w:rsidRPr="00F06BD2">
        <w:rPr>
          <w:noProof/>
          <w:lang w:val="en-GB"/>
        </w:rPr>
        <w:tab/>
      </w:r>
      <w:r w:rsidRPr="00283D41">
        <w:rPr>
          <w:noProof/>
        </w:rPr>
        <w:fldChar w:fldCharType="begin"/>
      </w:r>
      <w:r w:rsidRPr="00F06BD2">
        <w:rPr>
          <w:noProof/>
          <w:lang w:val="en-GB"/>
        </w:rPr>
        <w:instrText xml:space="preserve"> PAGEREF _Toc288133464 \h </w:instrText>
      </w:r>
      <w:r w:rsidRPr="00283D41">
        <w:rPr>
          <w:noProof/>
        </w:rPr>
      </w:r>
      <w:r w:rsidRPr="00283D41">
        <w:rPr>
          <w:noProof/>
        </w:rPr>
        <w:fldChar w:fldCharType="separate"/>
      </w:r>
      <w:r w:rsidRPr="00F06BD2">
        <w:rPr>
          <w:noProof/>
          <w:lang w:val="en-GB"/>
        </w:rPr>
        <w:t>89</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Actors involved, roles and responsibilities</w:t>
      </w:r>
      <w:r w:rsidRPr="00F06BD2">
        <w:rPr>
          <w:noProof/>
          <w:lang w:val="en-GB"/>
        </w:rPr>
        <w:tab/>
      </w:r>
      <w:r w:rsidRPr="00283D41">
        <w:rPr>
          <w:noProof/>
        </w:rPr>
        <w:fldChar w:fldCharType="begin"/>
      </w:r>
      <w:r w:rsidRPr="00F06BD2">
        <w:rPr>
          <w:noProof/>
          <w:lang w:val="en-GB"/>
        </w:rPr>
        <w:instrText xml:space="preserve"> PAGEREF _Toc288133465 \h </w:instrText>
      </w:r>
      <w:r w:rsidRPr="00283D41">
        <w:rPr>
          <w:noProof/>
        </w:rPr>
      </w:r>
      <w:r w:rsidRPr="00283D41">
        <w:rPr>
          <w:noProof/>
        </w:rPr>
        <w:fldChar w:fldCharType="separate"/>
      </w:r>
      <w:r w:rsidRPr="00F06BD2">
        <w:rPr>
          <w:noProof/>
          <w:lang w:val="en-GB"/>
        </w:rPr>
        <w:t>89</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Description of the evaluation and selection process</w:t>
      </w:r>
      <w:r w:rsidRPr="00F06BD2">
        <w:rPr>
          <w:noProof/>
          <w:lang w:val="en-GB"/>
        </w:rPr>
        <w:tab/>
      </w:r>
      <w:r w:rsidRPr="00283D41">
        <w:rPr>
          <w:noProof/>
        </w:rPr>
        <w:fldChar w:fldCharType="begin"/>
      </w:r>
      <w:r w:rsidRPr="00F06BD2">
        <w:rPr>
          <w:noProof/>
          <w:lang w:val="en-GB"/>
        </w:rPr>
        <w:instrText xml:space="preserve"> PAGEREF _Toc288133466 \h </w:instrText>
      </w:r>
      <w:r w:rsidRPr="00283D41">
        <w:rPr>
          <w:noProof/>
        </w:rPr>
      </w:r>
      <w:r w:rsidRPr="00283D41">
        <w:rPr>
          <w:noProof/>
        </w:rPr>
        <w:fldChar w:fldCharType="separate"/>
      </w:r>
      <w:r w:rsidRPr="00F06BD2">
        <w:rPr>
          <w:noProof/>
          <w:lang w:val="en-GB"/>
        </w:rPr>
        <w:t>89</w:t>
      </w:r>
      <w:r w:rsidRPr="00283D41">
        <w:rPr>
          <w:noProof/>
        </w:rPr>
        <w:fldChar w:fldCharType="end"/>
      </w:r>
    </w:p>
    <w:p w:rsidR="00283D41" w:rsidRPr="00F06BD2" w:rsidRDefault="00283D41">
      <w:pPr>
        <w:pStyle w:val="TOC1"/>
        <w:tabs>
          <w:tab w:val="left" w:pos="325"/>
          <w:tab w:val="right" w:leader="dot" w:pos="9350"/>
        </w:tabs>
        <w:rPr>
          <w:noProof/>
          <w:color w:val="auto"/>
          <w:lang w:val="en-GB" w:eastAsia="ja-JP"/>
        </w:rPr>
      </w:pPr>
      <w:r w:rsidRPr="00283D41">
        <w:rPr>
          <w:rFonts w:ascii="Verdana" w:hAnsi="Verdana"/>
          <w:noProof/>
          <w:lang w:val="en-GB"/>
        </w:rPr>
        <w:t>◦</w:t>
      </w:r>
      <w:r w:rsidRPr="00F06BD2">
        <w:rPr>
          <w:noProof/>
          <w:color w:val="auto"/>
          <w:lang w:val="en-GB" w:eastAsia="ja-JP"/>
        </w:rPr>
        <w:tab/>
      </w:r>
      <w:r w:rsidRPr="00283D41">
        <w:rPr>
          <w:noProof/>
          <w:lang w:val="en-GB"/>
        </w:rPr>
        <w:t>Programme implementation</w:t>
      </w:r>
      <w:r w:rsidRPr="00F06BD2">
        <w:rPr>
          <w:noProof/>
          <w:lang w:val="en-GB"/>
        </w:rPr>
        <w:tab/>
      </w:r>
      <w:r w:rsidRPr="00283D41">
        <w:rPr>
          <w:noProof/>
        </w:rPr>
        <w:fldChar w:fldCharType="begin"/>
      </w:r>
      <w:r w:rsidRPr="00F06BD2">
        <w:rPr>
          <w:noProof/>
          <w:lang w:val="en-GB"/>
        </w:rPr>
        <w:instrText xml:space="preserve"> PAGEREF _Toc288133467 \h </w:instrText>
      </w:r>
      <w:r w:rsidRPr="00283D41">
        <w:rPr>
          <w:noProof/>
        </w:rPr>
      </w:r>
      <w:r w:rsidRPr="00283D41">
        <w:rPr>
          <w:noProof/>
        </w:rPr>
        <w:fldChar w:fldCharType="separate"/>
      </w:r>
      <w:r w:rsidRPr="00F06BD2">
        <w:rPr>
          <w:noProof/>
          <w:lang w:val="en-GB"/>
        </w:rPr>
        <w:t>92</w:t>
      </w:r>
      <w:r w:rsidRPr="00283D41">
        <w:rPr>
          <w:noProof/>
        </w:rPr>
        <w:fldChar w:fldCharType="end"/>
      </w:r>
    </w:p>
    <w:p w:rsidR="00283D41" w:rsidRPr="00F06BD2" w:rsidRDefault="00283D41">
      <w:pPr>
        <w:pStyle w:val="TOC3"/>
        <w:tabs>
          <w:tab w:val="right" w:leader="dot" w:pos="9350"/>
        </w:tabs>
        <w:rPr>
          <w:noProof/>
          <w:sz w:val="24"/>
          <w:lang w:val="en-GB" w:eastAsia="ja-JP"/>
        </w:rPr>
      </w:pPr>
      <w:r w:rsidRPr="00197A31">
        <w:rPr>
          <w:noProof/>
          <w:lang w:val="en-GB"/>
        </w:rPr>
        <w:t>Description of the management and control systems</w:t>
      </w:r>
      <w:r w:rsidRPr="00F06BD2">
        <w:rPr>
          <w:noProof/>
          <w:lang w:val="en-GB"/>
        </w:rPr>
        <w:tab/>
      </w:r>
      <w:r w:rsidRPr="00283D41">
        <w:rPr>
          <w:noProof/>
        </w:rPr>
        <w:fldChar w:fldCharType="begin"/>
      </w:r>
      <w:r w:rsidRPr="00F06BD2">
        <w:rPr>
          <w:noProof/>
          <w:lang w:val="en-GB"/>
        </w:rPr>
        <w:instrText xml:space="preserve"> PAGEREF _Toc288133468 \h </w:instrText>
      </w:r>
      <w:r w:rsidRPr="00283D41">
        <w:rPr>
          <w:noProof/>
        </w:rPr>
      </w:r>
      <w:r w:rsidRPr="00283D41">
        <w:rPr>
          <w:noProof/>
        </w:rPr>
        <w:fldChar w:fldCharType="separate"/>
      </w:r>
      <w:r w:rsidRPr="00F06BD2">
        <w:rPr>
          <w:noProof/>
          <w:lang w:val="en-GB"/>
        </w:rPr>
        <w:t>92</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Time-frame for programme implementation</w:t>
      </w:r>
      <w:r w:rsidRPr="00F06BD2">
        <w:rPr>
          <w:noProof/>
          <w:lang w:val="en-GB"/>
        </w:rPr>
        <w:tab/>
      </w:r>
      <w:r w:rsidRPr="00283D41">
        <w:rPr>
          <w:noProof/>
        </w:rPr>
        <w:fldChar w:fldCharType="begin"/>
      </w:r>
      <w:r w:rsidRPr="00F06BD2">
        <w:rPr>
          <w:noProof/>
          <w:lang w:val="en-GB"/>
        </w:rPr>
        <w:instrText xml:space="preserve"> PAGEREF _Toc288133469 \h </w:instrText>
      </w:r>
      <w:r w:rsidRPr="00283D41">
        <w:rPr>
          <w:noProof/>
        </w:rPr>
      </w:r>
      <w:r w:rsidRPr="00283D41">
        <w:rPr>
          <w:noProof/>
        </w:rPr>
        <w:fldChar w:fldCharType="separate"/>
      </w:r>
      <w:r w:rsidRPr="00F06BD2">
        <w:rPr>
          <w:noProof/>
          <w:lang w:val="en-GB"/>
        </w:rPr>
        <w:t>92</w:t>
      </w:r>
      <w:r w:rsidRPr="00283D41">
        <w:rPr>
          <w:noProof/>
        </w:rPr>
        <w:fldChar w:fldCharType="end"/>
      </w:r>
    </w:p>
    <w:p w:rsidR="00283D41" w:rsidRPr="00197A31" w:rsidRDefault="00283D41">
      <w:pPr>
        <w:pStyle w:val="TOC3"/>
        <w:tabs>
          <w:tab w:val="right" w:leader="dot" w:pos="9350"/>
        </w:tabs>
        <w:rPr>
          <w:noProof/>
          <w:sz w:val="24"/>
          <w:lang w:val="en-GB" w:eastAsia="ja-JP"/>
        </w:rPr>
      </w:pPr>
      <w:r w:rsidRPr="00197A31">
        <w:rPr>
          <w:noProof/>
          <w:lang w:val="en-GB"/>
        </w:rPr>
        <w:t>Technical assistance (TA)</w:t>
      </w:r>
      <w:r w:rsidRPr="00197A31">
        <w:rPr>
          <w:noProof/>
          <w:lang w:val="en-GB"/>
        </w:rPr>
        <w:tab/>
      </w:r>
      <w:r w:rsidRPr="00197A31">
        <w:rPr>
          <w:noProof/>
        </w:rPr>
        <w:fldChar w:fldCharType="begin"/>
      </w:r>
      <w:r w:rsidRPr="00197A31">
        <w:rPr>
          <w:noProof/>
          <w:lang w:val="en-GB"/>
        </w:rPr>
        <w:instrText xml:space="preserve"> PAGEREF _Toc288133470 \h </w:instrText>
      </w:r>
      <w:r w:rsidRPr="00197A31">
        <w:rPr>
          <w:noProof/>
        </w:rPr>
      </w:r>
      <w:r w:rsidRPr="00197A31">
        <w:rPr>
          <w:noProof/>
        </w:rPr>
        <w:fldChar w:fldCharType="separate"/>
      </w:r>
      <w:r w:rsidRPr="00197A31">
        <w:rPr>
          <w:noProof/>
          <w:lang w:val="en-GB"/>
        </w:rPr>
        <w:t>92</w:t>
      </w:r>
      <w:r w:rsidRPr="00197A31">
        <w:rPr>
          <w:noProof/>
        </w:rPr>
        <w:fldChar w:fldCharType="end"/>
      </w:r>
    </w:p>
    <w:p w:rsidR="00283D41" w:rsidRPr="00197A31" w:rsidRDefault="00283D41">
      <w:pPr>
        <w:pStyle w:val="TOC3"/>
        <w:tabs>
          <w:tab w:val="right" w:leader="dot" w:pos="9350"/>
        </w:tabs>
        <w:rPr>
          <w:noProof/>
          <w:sz w:val="24"/>
          <w:lang w:val="en-GB" w:eastAsia="ja-JP"/>
        </w:rPr>
      </w:pPr>
      <w:r w:rsidRPr="00197A31">
        <w:rPr>
          <w:noProof/>
          <w:lang w:val="en-GB"/>
        </w:rPr>
        <w:t>Monitoring and Evaluation</w:t>
      </w:r>
      <w:r w:rsidRPr="00197A31">
        <w:rPr>
          <w:noProof/>
          <w:lang w:val="en-GB"/>
        </w:rPr>
        <w:tab/>
      </w:r>
      <w:r w:rsidRPr="00197A31">
        <w:rPr>
          <w:noProof/>
        </w:rPr>
        <w:fldChar w:fldCharType="begin"/>
      </w:r>
      <w:r w:rsidRPr="00197A31">
        <w:rPr>
          <w:noProof/>
          <w:lang w:val="en-GB"/>
        </w:rPr>
        <w:instrText xml:space="preserve"> PAGEREF _Toc288133471 \h </w:instrText>
      </w:r>
      <w:r w:rsidRPr="00197A31">
        <w:rPr>
          <w:noProof/>
        </w:rPr>
      </w:r>
      <w:r w:rsidRPr="00197A31">
        <w:rPr>
          <w:noProof/>
        </w:rPr>
        <w:fldChar w:fldCharType="separate"/>
      </w:r>
      <w:r w:rsidRPr="00197A31">
        <w:rPr>
          <w:noProof/>
          <w:lang w:val="en-GB"/>
        </w:rPr>
        <w:t>94</w:t>
      </w:r>
      <w:r w:rsidRPr="00197A31">
        <w:rPr>
          <w:noProof/>
        </w:rPr>
        <w:fldChar w:fldCharType="end"/>
      </w:r>
    </w:p>
    <w:p w:rsidR="00283D41" w:rsidRPr="00197A31" w:rsidRDefault="00283D41">
      <w:pPr>
        <w:pStyle w:val="TOC3"/>
        <w:tabs>
          <w:tab w:val="right" w:leader="dot" w:pos="9350"/>
        </w:tabs>
        <w:rPr>
          <w:noProof/>
          <w:sz w:val="24"/>
          <w:lang w:val="en-GB" w:eastAsia="ja-JP"/>
        </w:rPr>
      </w:pPr>
      <w:r w:rsidRPr="00197A31">
        <w:rPr>
          <w:noProof/>
          <w:lang w:val="en-GB"/>
        </w:rPr>
        <w:t>Communication</w:t>
      </w:r>
      <w:r w:rsidRPr="00197A31">
        <w:rPr>
          <w:noProof/>
          <w:lang w:val="en-GB"/>
        </w:rPr>
        <w:tab/>
      </w:r>
      <w:r w:rsidRPr="00197A31">
        <w:rPr>
          <w:noProof/>
        </w:rPr>
        <w:fldChar w:fldCharType="begin"/>
      </w:r>
      <w:r w:rsidRPr="00197A31">
        <w:rPr>
          <w:noProof/>
          <w:lang w:val="en-GB"/>
        </w:rPr>
        <w:instrText xml:space="preserve"> PAGEREF _Toc288133472 \h </w:instrText>
      </w:r>
      <w:r w:rsidRPr="00197A31">
        <w:rPr>
          <w:noProof/>
        </w:rPr>
      </w:r>
      <w:r w:rsidRPr="00197A31">
        <w:rPr>
          <w:noProof/>
        </w:rPr>
        <w:fldChar w:fldCharType="separate"/>
      </w:r>
      <w:r w:rsidRPr="00197A31">
        <w:rPr>
          <w:noProof/>
          <w:lang w:val="en-GB"/>
        </w:rPr>
        <w:t>95</w:t>
      </w:r>
      <w:r w:rsidRPr="00197A31">
        <w:rPr>
          <w:noProof/>
        </w:rPr>
        <w:fldChar w:fldCharType="end"/>
      </w:r>
    </w:p>
    <w:p w:rsidR="00283D41" w:rsidRPr="00197A31" w:rsidRDefault="00283D41">
      <w:pPr>
        <w:pStyle w:val="TOC3"/>
        <w:tabs>
          <w:tab w:val="right" w:leader="dot" w:pos="9350"/>
        </w:tabs>
        <w:rPr>
          <w:noProof/>
          <w:sz w:val="24"/>
          <w:lang w:val="en-GB" w:eastAsia="ja-JP"/>
        </w:rPr>
      </w:pPr>
      <w:r w:rsidRPr="00197A31">
        <w:rPr>
          <w:noProof/>
          <w:lang w:val="en-GB"/>
        </w:rPr>
        <w:t>Strategic Environmental Assessment</w:t>
      </w:r>
      <w:r w:rsidRPr="00197A31">
        <w:rPr>
          <w:noProof/>
          <w:lang w:val="en-GB"/>
        </w:rPr>
        <w:tab/>
      </w:r>
      <w:r w:rsidRPr="00197A31">
        <w:rPr>
          <w:noProof/>
        </w:rPr>
        <w:fldChar w:fldCharType="begin"/>
      </w:r>
      <w:r w:rsidRPr="00197A31">
        <w:rPr>
          <w:noProof/>
          <w:lang w:val="en-GB"/>
        </w:rPr>
        <w:instrText xml:space="preserve"> PAGEREF _Toc288133473 \h </w:instrText>
      </w:r>
      <w:r w:rsidRPr="00197A31">
        <w:rPr>
          <w:noProof/>
        </w:rPr>
      </w:r>
      <w:r w:rsidRPr="00197A31">
        <w:rPr>
          <w:noProof/>
        </w:rPr>
        <w:fldChar w:fldCharType="separate"/>
      </w:r>
      <w:r w:rsidRPr="00197A31">
        <w:rPr>
          <w:noProof/>
          <w:lang w:val="en-GB"/>
        </w:rPr>
        <w:t>95</w:t>
      </w:r>
      <w:r w:rsidRPr="00197A31">
        <w:rPr>
          <w:noProof/>
        </w:rPr>
        <w:fldChar w:fldCharType="end"/>
      </w:r>
    </w:p>
    <w:p w:rsidR="00283D41" w:rsidRPr="004725B0" w:rsidRDefault="00283D41">
      <w:pPr>
        <w:pStyle w:val="TOC3"/>
        <w:tabs>
          <w:tab w:val="right" w:leader="dot" w:pos="9350"/>
        </w:tabs>
        <w:rPr>
          <w:noProof/>
          <w:sz w:val="24"/>
          <w:lang w:val="en-GB" w:eastAsia="ja-JP"/>
        </w:rPr>
      </w:pPr>
      <w:r w:rsidRPr="00197A31">
        <w:rPr>
          <w:noProof/>
          <w:lang w:val="en-GB"/>
        </w:rPr>
        <w:t>Financial plan</w:t>
      </w:r>
      <w:r w:rsidRPr="004725B0">
        <w:rPr>
          <w:noProof/>
          <w:lang w:val="en-GB"/>
        </w:rPr>
        <w:tab/>
      </w:r>
      <w:r w:rsidRPr="00283D41">
        <w:rPr>
          <w:noProof/>
        </w:rPr>
        <w:fldChar w:fldCharType="begin"/>
      </w:r>
      <w:r w:rsidRPr="004725B0">
        <w:rPr>
          <w:noProof/>
          <w:lang w:val="en-GB"/>
        </w:rPr>
        <w:instrText xml:space="preserve"> PAGEREF _Toc288133474 \h </w:instrText>
      </w:r>
      <w:r w:rsidRPr="00283D41">
        <w:rPr>
          <w:noProof/>
        </w:rPr>
      </w:r>
      <w:r w:rsidRPr="00283D41">
        <w:rPr>
          <w:noProof/>
        </w:rPr>
        <w:fldChar w:fldCharType="separate"/>
      </w:r>
      <w:r w:rsidRPr="004725B0">
        <w:rPr>
          <w:noProof/>
          <w:lang w:val="en-GB"/>
        </w:rPr>
        <w:t>98</w:t>
      </w:r>
      <w:r w:rsidRPr="00283D41">
        <w:rPr>
          <w:noProof/>
        </w:rPr>
        <w:fldChar w:fldCharType="end"/>
      </w:r>
    </w:p>
    <w:p w:rsidR="00283D41" w:rsidRPr="004725B0" w:rsidRDefault="00283D41">
      <w:pPr>
        <w:pStyle w:val="TOC3"/>
        <w:tabs>
          <w:tab w:val="right" w:leader="dot" w:pos="9350"/>
        </w:tabs>
        <w:rPr>
          <w:noProof/>
          <w:sz w:val="24"/>
          <w:lang w:val="en-GB" w:eastAsia="ja-JP"/>
        </w:rPr>
      </w:pPr>
      <w:r w:rsidRPr="00283D41">
        <w:rPr>
          <w:noProof/>
          <w:lang w:val="en-GB"/>
        </w:rPr>
        <w:t>Rules on eligibility of expenditure</w:t>
      </w:r>
      <w:r w:rsidRPr="004725B0">
        <w:rPr>
          <w:noProof/>
          <w:lang w:val="en-GB"/>
        </w:rPr>
        <w:tab/>
      </w:r>
      <w:r w:rsidRPr="00283D41">
        <w:rPr>
          <w:noProof/>
        </w:rPr>
        <w:fldChar w:fldCharType="begin"/>
      </w:r>
      <w:r w:rsidRPr="004725B0">
        <w:rPr>
          <w:noProof/>
          <w:lang w:val="en-GB"/>
        </w:rPr>
        <w:instrText xml:space="preserve"> PAGEREF _Toc288133475 \h </w:instrText>
      </w:r>
      <w:r w:rsidRPr="00283D41">
        <w:rPr>
          <w:noProof/>
        </w:rPr>
      </w:r>
      <w:r w:rsidRPr="00283D41">
        <w:rPr>
          <w:noProof/>
        </w:rPr>
        <w:fldChar w:fldCharType="separate"/>
      </w:r>
      <w:r w:rsidRPr="004725B0">
        <w:rPr>
          <w:noProof/>
          <w:lang w:val="en-GB"/>
        </w:rPr>
        <w:t>99</w:t>
      </w:r>
      <w:r w:rsidRPr="00283D41">
        <w:rPr>
          <w:noProof/>
        </w:rPr>
        <w:fldChar w:fldCharType="end"/>
      </w:r>
    </w:p>
    <w:p w:rsidR="00283D41" w:rsidRPr="00197A31" w:rsidRDefault="00283D41">
      <w:pPr>
        <w:pStyle w:val="TOC3"/>
        <w:tabs>
          <w:tab w:val="right" w:leader="dot" w:pos="9350"/>
        </w:tabs>
        <w:rPr>
          <w:noProof/>
          <w:sz w:val="24"/>
          <w:lang w:val="en-GB" w:eastAsia="ja-JP"/>
        </w:rPr>
      </w:pPr>
      <w:r w:rsidRPr="00197A31">
        <w:rPr>
          <w:noProof/>
          <w:lang w:val="en-GB"/>
        </w:rPr>
        <w:t>Apportionment of liabilities among participating countries</w:t>
      </w:r>
      <w:r w:rsidRPr="00197A31">
        <w:rPr>
          <w:noProof/>
          <w:lang w:val="en-GB"/>
        </w:rPr>
        <w:tab/>
      </w:r>
      <w:r w:rsidRPr="00197A31">
        <w:rPr>
          <w:noProof/>
        </w:rPr>
        <w:fldChar w:fldCharType="begin"/>
      </w:r>
      <w:r w:rsidRPr="00197A31">
        <w:rPr>
          <w:noProof/>
          <w:lang w:val="en-GB"/>
        </w:rPr>
        <w:instrText xml:space="preserve"> PAGEREF _Toc288133476 \h </w:instrText>
      </w:r>
      <w:r w:rsidRPr="00197A31">
        <w:rPr>
          <w:noProof/>
        </w:rPr>
      </w:r>
      <w:r w:rsidRPr="00197A31">
        <w:rPr>
          <w:noProof/>
        </w:rPr>
        <w:fldChar w:fldCharType="separate"/>
      </w:r>
      <w:r w:rsidRPr="00197A31">
        <w:rPr>
          <w:noProof/>
          <w:lang w:val="en-GB"/>
        </w:rPr>
        <w:t>99</w:t>
      </w:r>
      <w:r w:rsidRPr="00197A31">
        <w:rPr>
          <w:noProof/>
        </w:rPr>
        <w:fldChar w:fldCharType="end"/>
      </w:r>
    </w:p>
    <w:p w:rsidR="00283D41" w:rsidRPr="00197A31" w:rsidRDefault="00283D41">
      <w:pPr>
        <w:pStyle w:val="TOC3"/>
        <w:tabs>
          <w:tab w:val="right" w:leader="dot" w:pos="9350"/>
        </w:tabs>
        <w:rPr>
          <w:noProof/>
          <w:sz w:val="24"/>
          <w:lang w:val="en-GB" w:eastAsia="ja-JP"/>
        </w:rPr>
      </w:pPr>
      <w:r w:rsidRPr="00197A31">
        <w:rPr>
          <w:noProof/>
          <w:lang w:val="en-GB"/>
        </w:rPr>
        <w:t>Rules of transfer, use and monitoring of co-financing</w:t>
      </w:r>
      <w:r w:rsidRPr="00197A31">
        <w:rPr>
          <w:noProof/>
          <w:lang w:val="en-GB"/>
        </w:rPr>
        <w:tab/>
      </w:r>
      <w:r w:rsidRPr="00197A31">
        <w:rPr>
          <w:noProof/>
        </w:rPr>
        <w:fldChar w:fldCharType="begin"/>
      </w:r>
      <w:r w:rsidRPr="00197A31">
        <w:rPr>
          <w:noProof/>
          <w:lang w:val="en-GB"/>
        </w:rPr>
        <w:instrText xml:space="preserve"> PAGEREF _Toc288133477 \h </w:instrText>
      </w:r>
      <w:r w:rsidRPr="00197A31">
        <w:rPr>
          <w:noProof/>
        </w:rPr>
      </w:r>
      <w:r w:rsidRPr="00197A31">
        <w:rPr>
          <w:noProof/>
        </w:rPr>
        <w:fldChar w:fldCharType="separate"/>
      </w:r>
      <w:r w:rsidRPr="00197A31">
        <w:rPr>
          <w:noProof/>
          <w:lang w:val="en-GB"/>
        </w:rPr>
        <w:t>100</w:t>
      </w:r>
      <w:r w:rsidRPr="00197A31">
        <w:rPr>
          <w:noProof/>
        </w:rPr>
        <w:fldChar w:fldCharType="end"/>
      </w:r>
    </w:p>
    <w:p w:rsidR="00283D41" w:rsidRPr="00F06BD2" w:rsidRDefault="00283D41">
      <w:pPr>
        <w:pStyle w:val="TOC3"/>
        <w:tabs>
          <w:tab w:val="right" w:leader="dot" w:pos="9350"/>
        </w:tabs>
        <w:rPr>
          <w:noProof/>
          <w:sz w:val="24"/>
          <w:lang w:val="en-GB" w:eastAsia="ja-JP"/>
        </w:rPr>
      </w:pPr>
      <w:r w:rsidRPr="00197A31">
        <w:rPr>
          <w:noProof/>
          <w:lang w:val="en-GB"/>
        </w:rPr>
        <w:t>Reporting and exchange of computerised data between the Managing Authority and the EC</w:t>
      </w:r>
      <w:r w:rsidRPr="00F06BD2">
        <w:rPr>
          <w:noProof/>
          <w:lang w:val="en-GB"/>
        </w:rPr>
        <w:tab/>
      </w:r>
      <w:r w:rsidRPr="00283D41">
        <w:rPr>
          <w:noProof/>
        </w:rPr>
        <w:fldChar w:fldCharType="begin"/>
      </w:r>
      <w:r w:rsidRPr="00F06BD2">
        <w:rPr>
          <w:noProof/>
          <w:lang w:val="en-GB"/>
        </w:rPr>
        <w:instrText xml:space="preserve"> PAGEREF _Toc288133478 \h </w:instrText>
      </w:r>
      <w:r w:rsidRPr="00283D41">
        <w:rPr>
          <w:noProof/>
        </w:rPr>
      </w:r>
      <w:r w:rsidRPr="00283D41">
        <w:rPr>
          <w:noProof/>
        </w:rPr>
        <w:fldChar w:fldCharType="separate"/>
      </w:r>
      <w:r w:rsidRPr="00F06BD2">
        <w:rPr>
          <w:noProof/>
          <w:lang w:val="en-GB"/>
        </w:rPr>
        <w:t>100</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Programme language</w:t>
      </w:r>
      <w:r w:rsidRPr="00F06BD2">
        <w:rPr>
          <w:noProof/>
          <w:lang w:val="en-GB"/>
        </w:rPr>
        <w:tab/>
      </w:r>
      <w:r w:rsidRPr="00283D41">
        <w:rPr>
          <w:noProof/>
        </w:rPr>
        <w:fldChar w:fldCharType="begin"/>
      </w:r>
      <w:r w:rsidRPr="00F06BD2">
        <w:rPr>
          <w:noProof/>
          <w:lang w:val="en-GB"/>
        </w:rPr>
        <w:instrText xml:space="preserve"> PAGEREF _Toc288133479 \h </w:instrText>
      </w:r>
      <w:r w:rsidRPr="00283D41">
        <w:rPr>
          <w:noProof/>
        </w:rPr>
      </w:r>
      <w:r w:rsidRPr="00283D41">
        <w:rPr>
          <w:noProof/>
        </w:rPr>
        <w:fldChar w:fldCharType="separate"/>
      </w:r>
      <w:r w:rsidRPr="00F06BD2">
        <w:rPr>
          <w:noProof/>
          <w:lang w:val="en-GB"/>
        </w:rPr>
        <w:t>101</w:t>
      </w:r>
      <w:r w:rsidRPr="00283D41">
        <w:rPr>
          <w:noProof/>
        </w:rPr>
        <w:fldChar w:fldCharType="end"/>
      </w:r>
    </w:p>
    <w:p w:rsidR="00283D41" w:rsidRPr="00F06BD2" w:rsidRDefault="00283D41">
      <w:pPr>
        <w:pStyle w:val="TOC1"/>
        <w:tabs>
          <w:tab w:val="left" w:pos="325"/>
          <w:tab w:val="right" w:leader="dot" w:pos="9350"/>
        </w:tabs>
        <w:rPr>
          <w:noProof/>
          <w:color w:val="auto"/>
          <w:lang w:val="en-GB" w:eastAsia="ja-JP"/>
        </w:rPr>
      </w:pPr>
      <w:r w:rsidRPr="00283D41">
        <w:rPr>
          <w:rFonts w:ascii="Verdana" w:hAnsi="Verdana"/>
          <w:noProof/>
          <w:lang w:val="en-GB"/>
        </w:rPr>
        <w:t>◦</w:t>
      </w:r>
      <w:r w:rsidRPr="00F06BD2">
        <w:rPr>
          <w:noProof/>
          <w:color w:val="auto"/>
          <w:lang w:val="en-GB" w:eastAsia="ja-JP"/>
        </w:rPr>
        <w:tab/>
      </w:r>
      <w:r w:rsidRPr="00283D41">
        <w:rPr>
          <w:noProof/>
          <w:lang w:val="en-GB"/>
        </w:rPr>
        <w:t>ANNEXES</w:t>
      </w:r>
      <w:r w:rsidRPr="00F06BD2">
        <w:rPr>
          <w:noProof/>
          <w:lang w:val="en-GB"/>
        </w:rPr>
        <w:tab/>
      </w:r>
      <w:r w:rsidRPr="00283D41">
        <w:rPr>
          <w:noProof/>
        </w:rPr>
        <w:fldChar w:fldCharType="begin"/>
      </w:r>
      <w:r w:rsidRPr="00F06BD2">
        <w:rPr>
          <w:noProof/>
          <w:lang w:val="en-GB"/>
        </w:rPr>
        <w:instrText xml:space="preserve"> PAGEREF _Toc288133480 \h </w:instrText>
      </w:r>
      <w:r w:rsidRPr="00283D41">
        <w:rPr>
          <w:noProof/>
        </w:rPr>
      </w:r>
      <w:r w:rsidRPr="00283D41">
        <w:rPr>
          <w:noProof/>
        </w:rPr>
        <w:fldChar w:fldCharType="separate"/>
      </w:r>
      <w:r w:rsidRPr="00F06BD2">
        <w:rPr>
          <w:noProof/>
          <w:lang w:val="en-GB"/>
        </w:rPr>
        <w:t>102</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Annex 1 – Summary of mapping of projects awarded under the Black Sea Basin 2007-13 two calls for proposals and of the survey on current priorities and future needs</w:t>
      </w:r>
      <w:r w:rsidRPr="00F06BD2">
        <w:rPr>
          <w:noProof/>
          <w:lang w:val="en-GB"/>
        </w:rPr>
        <w:tab/>
      </w:r>
      <w:r w:rsidRPr="00283D41">
        <w:rPr>
          <w:noProof/>
        </w:rPr>
        <w:fldChar w:fldCharType="begin"/>
      </w:r>
      <w:r w:rsidRPr="00F06BD2">
        <w:rPr>
          <w:noProof/>
          <w:lang w:val="en-GB"/>
        </w:rPr>
        <w:instrText xml:space="preserve"> PAGEREF _Toc288133481 \h </w:instrText>
      </w:r>
      <w:r w:rsidRPr="00283D41">
        <w:rPr>
          <w:noProof/>
        </w:rPr>
      </w:r>
      <w:r w:rsidRPr="00283D41">
        <w:rPr>
          <w:noProof/>
        </w:rPr>
        <w:fldChar w:fldCharType="separate"/>
      </w:r>
      <w:r w:rsidRPr="00F06BD2">
        <w:rPr>
          <w:noProof/>
          <w:lang w:val="en-GB"/>
        </w:rPr>
        <w:t>102</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Annex 2 - Full SWOT and</w:t>
      </w:r>
      <w:r w:rsidRPr="00283D41">
        <w:rPr>
          <w:rFonts w:eastAsia="Times New Roman"/>
          <w:i/>
          <w:noProof/>
          <w:color w:val="000000"/>
          <w:lang w:val="en-GB"/>
        </w:rPr>
        <w:t xml:space="preserve"> </w:t>
      </w:r>
      <w:r w:rsidRPr="00283D41">
        <w:rPr>
          <w:noProof/>
          <w:lang w:val="en-GB"/>
        </w:rPr>
        <w:t>combined outcomes of SWOT and past experience analyses</w:t>
      </w:r>
      <w:r w:rsidRPr="00F06BD2">
        <w:rPr>
          <w:noProof/>
          <w:lang w:val="en-GB"/>
        </w:rPr>
        <w:tab/>
      </w:r>
      <w:r w:rsidRPr="00283D41">
        <w:rPr>
          <w:noProof/>
        </w:rPr>
        <w:fldChar w:fldCharType="begin"/>
      </w:r>
      <w:r w:rsidRPr="00F06BD2">
        <w:rPr>
          <w:noProof/>
          <w:lang w:val="en-GB"/>
        </w:rPr>
        <w:instrText xml:space="preserve"> PAGEREF _Toc288133482 \h </w:instrText>
      </w:r>
      <w:r w:rsidRPr="00283D41">
        <w:rPr>
          <w:noProof/>
        </w:rPr>
      </w:r>
      <w:r w:rsidRPr="00283D41">
        <w:rPr>
          <w:noProof/>
        </w:rPr>
        <w:fldChar w:fldCharType="separate"/>
      </w:r>
      <w:r w:rsidRPr="00F06BD2">
        <w:rPr>
          <w:noProof/>
          <w:lang w:val="en-GB"/>
        </w:rPr>
        <w:t>102</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Annex 2 - Outcomes from stakeholders consultations</w:t>
      </w:r>
      <w:r w:rsidRPr="00F06BD2">
        <w:rPr>
          <w:noProof/>
          <w:lang w:val="en-GB"/>
        </w:rPr>
        <w:tab/>
      </w:r>
      <w:r w:rsidRPr="00283D41">
        <w:rPr>
          <w:noProof/>
        </w:rPr>
        <w:fldChar w:fldCharType="begin"/>
      </w:r>
      <w:r w:rsidRPr="00F06BD2">
        <w:rPr>
          <w:noProof/>
          <w:lang w:val="en-GB"/>
        </w:rPr>
        <w:instrText xml:space="preserve"> PAGEREF _Toc288133483 \h </w:instrText>
      </w:r>
      <w:r w:rsidRPr="00283D41">
        <w:rPr>
          <w:noProof/>
        </w:rPr>
      </w:r>
      <w:r w:rsidRPr="00283D41">
        <w:rPr>
          <w:noProof/>
        </w:rPr>
        <w:fldChar w:fldCharType="separate"/>
      </w:r>
      <w:r w:rsidRPr="00F06BD2">
        <w:rPr>
          <w:noProof/>
          <w:lang w:val="en-GB"/>
        </w:rPr>
        <w:t>102</w:t>
      </w:r>
      <w:r w:rsidRPr="00283D41">
        <w:rPr>
          <w:noProof/>
        </w:rPr>
        <w:fldChar w:fldCharType="end"/>
      </w:r>
    </w:p>
    <w:p w:rsidR="00283D41" w:rsidRPr="00F06BD2" w:rsidRDefault="00283D41">
      <w:pPr>
        <w:pStyle w:val="TOC3"/>
        <w:tabs>
          <w:tab w:val="right" w:leader="dot" w:pos="9350"/>
        </w:tabs>
        <w:rPr>
          <w:noProof/>
          <w:sz w:val="24"/>
          <w:lang w:val="en-GB" w:eastAsia="ja-JP"/>
        </w:rPr>
      </w:pPr>
      <w:r w:rsidRPr="00283D41">
        <w:rPr>
          <w:noProof/>
          <w:lang w:val="en-GB"/>
        </w:rPr>
        <w:t>Annex 3 – Monitoring and evaluation system and plan</w:t>
      </w:r>
      <w:r w:rsidRPr="00F06BD2">
        <w:rPr>
          <w:noProof/>
          <w:lang w:val="en-GB"/>
        </w:rPr>
        <w:tab/>
      </w:r>
      <w:r w:rsidRPr="00283D41">
        <w:rPr>
          <w:noProof/>
        </w:rPr>
        <w:fldChar w:fldCharType="begin"/>
      </w:r>
      <w:r w:rsidRPr="00F06BD2">
        <w:rPr>
          <w:noProof/>
          <w:lang w:val="en-GB"/>
        </w:rPr>
        <w:instrText xml:space="preserve"> PAGEREF _Toc288133484 \h </w:instrText>
      </w:r>
      <w:r w:rsidRPr="00283D41">
        <w:rPr>
          <w:noProof/>
        </w:rPr>
      </w:r>
      <w:r w:rsidRPr="00283D41">
        <w:rPr>
          <w:noProof/>
        </w:rPr>
        <w:fldChar w:fldCharType="separate"/>
      </w:r>
      <w:r w:rsidRPr="00F06BD2">
        <w:rPr>
          <w:noProof/>
          <w:lang w:val="en-GB"/>
        </w:rPr>
        <w:t>102</w:t>
      </w:r>
      <w:r w:rsidRPr="00283D41">
        <w:rPr>
          <w:noProof/>
        </w:rPr>
        <w:fldChar w:fldCharType="end"/>
      </w:r>
    </w:p>
    <w:p w:rsidR="00283D41" w:rsidRPr="00F06BD2" w:rsidRDefault="00283D41">
      <w:pPr>
        <w:pStyle w:val="TOC3"/>
        <w:tabs>
          <w:tab w:val="right" w:leader="dot" w:pos="9350"/>
        </w:tabs>
        <w:rPr>
          <w:noProof/>
          <w:sz w:val="24"/>
          <w:lang w:val="en-GB" w:eastAsia="ja-JP"/>
        </w:rPr>
      </w:pPr>
      <w:r w:rsidRPr="00C973D4">
        <w:rPr>
          <w:noProof/>
          <w:lang w:val="en-GB"/>
        </w:rPr>
        <w:t>Annex 4 – Communication strategy and annual information and communication plan 2016</w:t>
      </w:r>
      <w:r w:rsidRPr="00F06BD2">
        <w:rPr>
          <w:noProof/>
          <w:lang w:val="en-GB"/>
        </w:rPr>
        <w:tab/>
      </w:r>
      <w:r>
        <w:rPr>
          <w:noProof/>
        </w:rPr>
        <w:fldChar w:fldCharType="begin"/>
      </w:r>
      <w:r w:rsidRPr="00F06BD2">
        <w:rPr>
          <w:noProof/>
          <w:lang w:val="en-GB"/>
        </w:rPr>
        <w:instrText xml:space="preserve"> PAGEREF _Toc288133485 \h </w:instrText>
      </w:r>
      <w:r>
        <w:rPr>
          <w:noProof/>
        </w:rPr>
      </w:r>
      <w:r>
        <w:rPr>
          <w:noProof/>
        </w:rPr>
        <w:fldChar w:fldCharType="separate"/>
      </w:r>
      <w:r w:rsidRPr="00F06BD2">
        <w:rPr>
          <w:noProof/>
          <w:lang w:val="en-GB"/>
        </w:rPr>
        <w:t>102</w:t>
      </w:r>
      <w:r>
        <w:rPr>
          <w:noProof/>
        </w:rPr>
        <w:fldChar w:fldCharType="end"/>
      </w:r>
    </w:p>
    <w:p w:rsidR="00283D41" w:rsidRDefault="00283D41">
      <w:pPr>
        <w:pStyle w:val="TOC3"/>
        <w:tabs>
          <w:tab w:val="right" w:leader="dot" w:pos="9350"/>
        </w:tabs>
        <w:rPr>
          <w:noProof/>
          <w:sz w:val="24"/>
          <w:lang w:eastAsia="ja-JP"/>
        </w:rPr>
      </w:pPr>
      <w:r w:rsidRPr="00C973D4">
        <w:rPr>
          <w:noProof/>
          <w:lang w:val="en-GB"/>
        </w:rPr>
        <w:t>Annex 5 – Report on strategic environmental assessment</w:t>
      </w:r>
      <w:r>
        <w:rPr>
          <w:noProof/>
        </w:rPr>
        <w:tab/>
      </w:r>
      <w:r>
        <w:rPr>
          <w:noProof/>
        </w:rPr>
        <w:fldChar w:fldCharType="begin"/>
      </w:r>
      <w:r>
        <w:rPr>
          <w:noProof/>
        </w:rPr>
        <w:instrText xml:space="preserve"> PAGEREF _Toc288133486 \h </w:instrText>
      </w:r>
      <w:r>
        <w:rPr>
          <w:noProof/>
        </w:rPr>
      </w:r>
      <w:r>
        <w:rPr>
          <w:noProof/>
        </w:rPr>
        <w:fldChar w:fldCharType="separate"/>
      </w:r>
      <w:r>
        <w:rPr>
          <w:noProof/>
        </w:rPr>
        <w:t>102</w:t>
      </w:r>
      <w:r>
        <w:rPr>
          <w:noProof/>
        </w:rPr>
        <w:fldChar w:fldCharType="end"/>
      </w:r>
    </w:p>
    <w:p w:rsidR="00283D41" w:rsidRDefault="00283D41">
      <w:pPr>
        <w:pStyle w:val="TOC3"/>
        <w:tabs>
          <w:tab w:val="right" w:leader="dot" w:pos="9350"/>
        </w:tabs>
        <w:rPr>
          <w:noProof/>
          <w:sz w:val="24"/>
          <w:lang w:eastAsia="ja-JP"/>
        </w:rPr>
      </w:pPr>
      <w:r w:rsidRPr="00C973D4">
        <w:rPr>
          <w:noProof/>
        </w:rPr>
        <w:t>Notes and Sources</w:t>
      </w:r>
      <w:r>
        <w:rPr>
          <w:noProof/>
        </w:rPr>
        <w:tab/>
      </w:r>
      <w:r>
        <w:rPr>
          <w:noProof/>
        </w:rPr>
        <w:fldChar w:fldCharType="begin"/>
      </w:r>
      <w:r>
        <w:rPr>
          <w:noProof/>
        </w:rPr>
        <w:instrText xml:space="preserve"> PAGEREF _Toc288133487 \h </w:instrText>
      </w:r>
      <w:r>
        <w:rPr>
          <w:noProof/>
        </w:rPr>
      </w:r>
      <w:r>
        <w:rPr>
          <w:noProof/>
        </w:rPr>
        <w:fldChar w:fldCharType="separate"/>
      </w:r>
      <w:r>
        <w:rPr>
          <w:noProof/>
        </w:rPr>
        <w:t>103</w:t>
      </w:r>
      <w:r>
        <w:rPr>
          <w:noProof/>
        </w:rPr>
        <w:fldChar w:fldCharType="end"/>
      </w:r>
    </w:p>
    <w:p w:rsidR="00612000" w:rsidRDefault="00AB0047" w:rsidP="00B57423">
      <w:pPr>
        <w:spacing w:before="120" w:after="0" w:line="252" w:lineRule="auto"/>
        <w:sectPr w:rsidR="00612000" w:rsidSect="002A6A52">
          <w:footerReference w:type="even" r:id="rId10"/>
          <w:footerReference w:type="default" r:id="rId11"/>
          <w:footnotePr>
            <w:numFmt w:val="lowerRoman"/>
          </w:footnotePr>
          <w:endnotePr>
            <w:numFmt w:val="decimal"/>
          </w:endnotePr>
          <w:pgSz w:w="12240" w:h="15840" w:code="1"/>
          <w:pgMar w:top="1021" w:right="1440" w:bottom="1021" w:left="1440" w:header="1134" w:footer="567" w:gutter="0"/>
          <w:pgNumType w:fmt="lowerRoman" w:start="1"/>
          <w:cols w:space="720"/>
          <w:titlePg/>
          <w:docGrid w:linePitch="360"/>
        </w:sectPr>
      </w:pPr>
      <w:r w:rsidRPr="00FF4598">
        <w:rPr>
          <w:bCs/>
          <w:noProof/>
        </w:rPr>
        <w:lastRenderedPageBreak/>
        <w:fldChar w:fldCharType="end"/>
      </w:r>
    </w:p>
    <w:p w:rsidR="005C165A" w:rsidRPr="005C165A" w:rsidRDefault="00C91ECF" w:rsidP="005C165A">
      <w:pPr>
        <w:pStyle w:val="Heading1"/>
        <w:spacing w:before="0" w:after="0" w:line="252" w:lineRule="auto"/>
        <w:rPr>
          <w:lang w:val="en-GB"/>
        </w:rPr>
      </w:pPr>
      <w:bookmarkStart w:id="0" w:name="_Toc288133419"/>
      <w:r>
        <w:lastRenderedPageBreak/>
        <w:t>Black Sea Basin 2014-2020</w:t>
      </w:r>
      <w:bookmarkStart w:id="1" w:name="_Toc276156663"/>
      <w:bookmarkEnd w:id="0"/>
    </w:p>
    <w:p w:rsidR="005C165A" w:rsidRDefault="005C165A" w:rsidP="005C165A">
      <w:pPr>
        <w:pStyle w:val="Heading1"/>
        <w:spacing w:before="120" w:after="0" w:line="264" w:lineRule="auto"/>
        <w:ind w:left="1440"/>
        <w:jc w:val="left"/>
        <w:rPr>
          <w:sz w:val="40"/>
          <w:szCs w:val="40"/>
          <w:lang w:val="en-GB"/>
        </w:rPr>
      </w:pPr>
    </w:p>
    <w:p w:rsidR="004B63F2" w:rsidRPr="00197A31" w:rsidRDefault="004B63F2" w:rsidP="002D1AFC">
      <w:pPr>
        <w:pStyle w:val="Heading1"/>
        <w:numPr>
          <w:ilvl w:val="1"/>
          <w:numId w:val="3"/>
        </w:numPr>
        <w:spacing w:before="120" w:after="0" w:line="264" w:lineRule="auto"/>
        <w:jc w:val="left"/>
        <w:rPr>
          <w:sz w:val="40"/>
          <w:szCs w:val="40"/>
          <w:lang w:val="en-GB"/>
        </w:rPr>
      </w:pPr>
      <w:bookmarkStart w:id="2" w:name="_Toc288133420"/>
      <w:r w:rsidRPr="00197A31">
        <w:rPr>
          <w:sz w:val="40"/>
          <w:szCs w:val="40"/>
          <w:lang w:val="en-GB"/>
        </w:rPr>
        <w:t>Executive summary</w:t>
      </w:r>
      <w:bookmarkEnd w:id="2"/>
      <w:r w:rsidRPr="00197A31">
        <w:rPr>
          <w:sz w:val="40"/>
          <w:szCs w:val="40"/>
          <w:lang w:val="en-GB"/>
        </w:rPr>
        <w:t xml:space="preserve"> </w:t>
      </w:r>
    </w:p>
    <w:p w:rsidR="00EE745F" w:rsidRPr="004B36E7" w:rsidRDefault="00C602A1" w:rsidP="004B36E7">
      <w:pPr>
        <w:pStyle w:val="Heading3"/>
        <w:spacing w:before="360" w:after="120" w:line="252" w:lineRule="auto"/>
        <w:rPr>
          <w:b/>
          <w:sz w:val="28"/>
          <w:szCs w:val="28"/>
          <w:lang w:val="en-GB"/>
        </w:rPr>
      </w:pPr>
      <w:bookmarkStart w:id="3" w:name="_Toc288133421"/>
      <w:r>
        <w:rPr>
          <w:b/>
          <w:sz w:val="28"/>
          <w:szCs w:val="28"/>
          <w:lang w:val="en-GB"/>
        </w:rPr>
        <w:t xml:space="preserve">Introduction: </w:t>
      </w:r>
      <w:r w:rsidR="00C503ED">
        <w:rPr>
          <w:b/>
          <w:sz w:val="28"/>
          <w:szCs w:val="28"/>
          <w:lang w:val="en-GB"/>
        </w:rPr>
        <w:t>D</w:t>
      </w:r>
      <w:r>
        <w:rPr>
          <w:b/>
          <w:sz w:val="28"/>
          <w:szCs w:val="28"/>
          <w:lang w:val="en-GB"/>
        </w:rPr>
        <w:t xml:space="preserve">escription of </w:t>
      </w:r>
      <w:r w:rsidR="004B63F2" w:rsidRPr="004B36E7">
        <w:rPr>
          <w:b/>
          <w:sz w:val="28"/>
          <w:szCs w:val="28"/>
          <w:lang w:val="en-GB"/>
        </w:rPr>
        <w:t>programme preparation steps</w:t>
      </w:r>
      <w:bookmarkEnd w:id="3"/>
    </w:p>
    <w:p w:rsidR="00D85FDF" w:rsidRPr="00682784" w:rsidRDefault="00F93DA3" w:rsidP="00D85FDF">
      <w:pPr>
        <w:widowControl w:val="0"/>
        <w:autoSpaceDE w:val="0"/>
        <w:autoSpaceDN w:val="0"/>
        <w:adjustRightInd w:val="0"/>
        <w:spacing w:before="120" w:after="0" w:line="252" w:lineRule="auto"/>
        <w:jc w:val="both"/>
        <w:rPr>
          <w:sz w:val="22"/>
          <w:szCs w:val="22"/>
          <w:lang w:val="en-GB"/>
        </w:rPr>
      </w:pPr>
      <w:r w:rsidRPr="00682784">
        <w:rPr>
          <w:sz w:val="22"/>
          <w:szCs w:val="22"/>
          <w:lang w:val="en-GB"/>
        </w:rPr>
        <w:t>The B</w:t>
      </w:r>
      <w:r w:rsidR="000E2331" w:rsidRPr="00682784">
        <w:rPr>
          <w:sz w:val="22"/>
          <w:szCs w:val="22"/>
          <w:lang w:val="en-GB"/>
        </w:rPr>
        <w:t>lack Sea Basin P</w:t>
      </w:r>
      <w:r w:rsidRPr="00682784">
        <w:rPr>
          <w:sz w:val="22"/>
          <w:szCs w:val="22"/>
          <w:lang w:val="en-GB"/>
        </w:rPr>
        <w:t xml:space="preserve">rogramme 2014-2020 is part of </w:t>
      </w:r>
      <w:r w:rsidR="00C503ED">
        <w:rPr>
          <w:sz w:val="22"/>
          <w:szCs w:val="22"/>
          <w:lang w:val="en-GB"/>
        </w:rPr>
        <w:t xml:space="preserve">European Union’s </w:t>
      </w:r>
      <w:r w:rsidRPr="00682784">
        <w:rPr>
          <w:sz w:val="22"/>
          <w:szCs w:val="22"/>
          <w:lang w:val="en-GB"/>
        </w:rPr>
        <w:t>Cross-Border Cooperation</w:t>
      </w:r>
      <w:r w:rsidR="002308F0" w:rsidRPr="00682784">
        <w:rPr>
          <w:sz w:val="22"/>
          <w:szCs w:val="22"/>
          <w:lang w:val="en-GB"/>
        </w:rPr>
        <w:t xml:space="preserve"> (CBC</w:t>
      </w:r>
      <w:r w:rsidR="004928F9">
        <w:rPr>
          <w:sz w:val="22"/>
          <w:szCs w:val="22"/>
          <w:lang w:val="en-GB"/>
        </w:rPr>
        <w:t xml:space="preserve">) </w:t>
      </w:r>
      <w:r w:rsidR="00C503ED">
        <w:rPr>
          <w:sz w:val="22"/>
          <w:szCs w:val="22"/>
          <w:lang w:val="en-GB"/>
        </w:rPr>
        <w:t xml:space="preserve">under its </w:t>
      </w:r>
      <w:r w:rsidRPr="00682784">
        <w:rPr>
          <w:sz w:val="22"/>
          <w:szCs w:val="22"/>
          <w:lang w:val="en-GB"/>
        </w:rPr>
        <w:t>European Neighbou</w:t>
      </w:r>
      <w:r w:rsidR="00D0175A" w:rsidRPr="00682784">
        <w:rPr>
          <w:sz w:val="22"/>
          <w:szCs w:val="22"/>
          <w:lang w:val="en-GB"/>
        </w:rPr>
        <w:t xml:space="preserve">rhood </w:t>
      </w:r>
      <w:r w:rsidRPr="00682784">
        <w:rPr>
          <w:sz w:val="22"/>
          <w:szCs w:val="22"/>
          <w:lang w:val="en-GB"/>
        </w:rPr>
        <w:t>Instrument</w:t>
      </w:r>
      <w:r w:rsidR="00D0175A" w:rsidRPr="00682784">
        <w:rPr>
          <w:sz w:val="22"/>
          <w:szCs w:val="22"/>
          <w:lang w:val="en-GB"/>
        </w:rPr>
        <w:t xml:space="preserve"> (ENI)</w:t>
      </w:r>
      <w:r w:rsidRPr="00682784">
        <w:rPr>
          <w:sz w:val="22"/>
          <w:szCs w:val="22"/>
          <w:lang w:val="en-GB"/>
        </w:rPr>
        <w:t>.</w:t>
      </w:r>
      <w:r w:rsidR="00790AF8" w:rsidRPr="00682784">
        <w:rPr>
          <w:sz w:val="22"/>
          <w:szCs w:val="22"/>
          <w:lang w:val="en-GB"/>
        </w:rPr>
        <w:t xml:space="preserve"> </w:t>
      </w:r>
      <w:r w:rsidR="00D85FDF" w:rsidRPr="00682784">
        <w:rPr>
          <w:sz w:val="22"/>
          <w:szCs w:val="22"/>
          <w:lang w:val="en-GB"/>
        </w:rPr>
        <w:t xml:space="preserve">CBC under ENI extends the principles of CBC </w:t>
      </w:r>
      <w:r w:rsidR="00C503ED">
        <w:rPr>
          <w:sz w:val="22"/>
          <w:szCs w:val="22"/>
          <w:lang w:val="en-GB"/>
        </w:rPr>
        <w:t>among</w:t>
      </w:r>
      <w:r w:rsidR="00D85FDF" w:rsidRPr="00682784">
        <w:rPr>
          <w:sz w:val="22"/>
          <w:szCs w:val="22"/>
          <w:lang w:val="en-GB"/>
        </w:rPr>
        <w:t xml:space="preserve"> EU</w:t>
      </w:r>
      <w:r w:rsidR="00C503ED">
        <w:rPr>
          <w:sz w:val="22"/>
          <w:szCs w:val="22"/>
          <w:lang w:val="en-GB"/>
        </w:rPr>
        <w:t xml:space="preserve"> Member States</w:t>
      </w:r>
      <w:r w:rsidR="00D85FDF" w:rsidRPr="00682784">
        <w:rPr>
          <w:sz w:val="22"/>
          <w:szCs w:val="22"/>
          <w:lang w:val="en-GB"/>
        </w:rPr>
        <w:t xml:space="preserve"> </w:t>
      </w:r>
      <w:r w:rsidR="004928F9">
        <w:rPr>
          <w:sz w:val="22"/>
          <w:szCs w:val="22"/>
          <w:lang w:val="en-GB"/>
        </w:rPr>
        <w:t>via the</w:t>
      </w:r>
      <w:r w:rsidR="00C503ED">
        <w:rPr>
          <w:sz w:val="22"/>
          <w:szCs w:val="22"/>
          <w:lang w:val="en-GB"/>
        </w:rPr>
        <w:t xml:space="preserve"> </w:t>
      </w:r>
      <w:r w:rsidR="00D85FDF" w:rsidRPr="00682784">
        <w:rPr>
          <w:sz w:val="22"/>
          <w:szCs w:val="22"/>
          <w:lang w:val="en-GB"/>
        </w:rPr>
        <w:t>European Territorial Co-operation prog</w:t>
      </w:r>
      <w:r w:rsidR="00607F01" w:rsidRPr="00682784">
        <w:rPr>
          <w:sz w:val="22"/>
          <w:szCs w:val="22"/>
          <w:lang w:val="en-GB"/>
        </w:rPr>
        <w:t>rammes. ENI CBC</w:t>
      </w:r>
      <w:r w:rsidR="00D85FDF" w:rsidRPr="00682784">
        <w:rPr>
          <w:sz w:val="22"/>
          <w:szCs w:val="22"/>
          <w:lang w:val="en-GB"/>
        </w:rPr>
        <w:t xml:space="preserve"> receives funding from </w:t>
      </w:r>
      <w:r w:rsidR="009E17B7" w:rsidRPr="00682784">
        <w:rPr>
          <w:sz w:val="22"/>
          <w:szCs w:val="22"/>
          <w:lang w:val="en-GB"/>
        </w:rPr>
        <w:t xml:space="preserve">ENI as well as from the </w:t>
      </w:r>
      <w:r w:rsidR="00D85FDF" w:rsidRPr="00682784">
        <w:rPr>
          <w:sz w:val="22"/>
          <w:szCs w:val="22"/>
          <w:lang w:val="en-GB"/>
        </w:rPr>
        <w:t xml:space="preserve">European Regional Development Fund </w:t>
      </w:r>
      <w:r w:rsidR="009E17B7" w:rsidRPr="00682784">
        <w:rPr>
          <w:sz w:val="22"/>
          <w:szCs w:val="22"/>
          <w:lang w:val="en-GB"/>
        </w:rPr>
        <w:t>and the Instrument for Pre-Accession. All sources of funding may be used on either side of the EU external border for actions of common benefit. The ENI Regulation</w:t>
      </w:r>
      <w:r w:rsidR="009E17B7" w:rsidRPr="00AC63BC">
        <w:rPr>
          <w:vertAlign w:val="superscript"/>
        </w:rPr>
        <w:footnoteReference w:id="1"/>
      </w:r>
      <w:r w:rsidR="009E17B7" w:rsidRPr="00682784">
        <w:rPr>
          <w:sz w:val="22"/>
          <w:szCs w:val="22"/>
          <w:lang w:val="en-GB"/>
        </w:rPr>
        <w:t xml:space="preserve"> sets out the basis for C</w:t>
      </w:r>
      <w:r w:rsidR="001E3BA3" w:rsidRPr="00682784">
        <w:rPr>
          <w:sz w:val="22"/>
          <w:szCs w:val="22"/>
          <w:lang w:val="en-GB"/>
        </w:rPr>
        <w:t xml:space="preserve">BC, further defined in </w:t>
      </w:r>
      <w:r w:rsidR="004928F9">
        <w:rPr>
          <w:sz w:val="22"/>
          <w:szCs w:val="22"/>
          <w:lang w:val="en-GB"/>
        </w:rPr>
        <w:t xml:space="preserve">the </w:t>
      </w:r>
      <w:r w:rsidR="001E3BA3" w:rsidRPr="00682784">
        <w:rPr>
          <w:sz w:val="22"/>
          <w:szCs w:val="22"/>
          <w:lang w:val="en-GB"/>
        </w:rPr>
        <w:t>ENI CBC I</w:t>
      </w:r>
      <w:r w:rsidR="009E17B7" w:rsidRPr="00682784">
        <w:rPr>
          <w:sz w:val="22"/>
          <w:szCs w:val="22"/>
          <w:lang w:val="en-GB"/>
        </w:rPr>
        <w:t>mple</w:t>
      </w:r>
      <w:r w:rsidR="001E3BA3" w:rsidRPr="00682784">
        <w:rPr>
          <w:sz w:val="22"/>
          <w:szCs w:val="22"/>
          <w:lang w:val="en-GB"/>
        </w:rPr>
        <w:t>menting Regulation</w:t>
      </w:r>
      <w:r w:rsidR="009E17B7" w:rsidRPr="00AC63BC">
        <w:rPr>
          <w:vertAlign w:val="superscript"/>
        </w:rPr>
        <w:footnoteReference w:id="2"/>
      </w:r>
      <w:r w:rsidR="009E17B7" w:rsidRPr="00682784">
        <w:rPr>
          <w:sz w:val="22"/>
          <w:szCs w:val="22"/>
          <w:vertAlign w:val="superscript"/>
          <w:lang w:val="en-GB"/>
        </w:rPr>
        <w:t xml:space="preserve"> </w:t>
      </w:r>
      <w:r w:rsidR="00147C31" w:rsidRPr="00682784">
        <w:rPr>
          <w:sz w:val="22"/>
          <w:szCs w:val="22"/>
          <w:lang w:val="en-GB"/>
        </w:rPr>
        <w:t xml:space="preserve">and </w:t>
      </w:r>
      <w:r w:rsidR="004928F9">
        <w:rPr>
          <w:sz w:val="22"/>
          <w:szCs w:val="22"/>
          <w:lang w:val="en-GB"/>
        </w:rPr>
        <w:t xml:space="preserve">the </w:t>
      </w:r>
      <w:r w:rsidR="00147C31" w:rsidRPr="00682784">
        <w:rPr>
          <w:sz w:val="22"/>
          <w:szCs w:val="22"/>
          <w:lang w:val="en-GB"/>
        </w:rPr>
        <w:t>ENI CBC P</w:t>
      </w:r>
      <w:r w:rsidR="00A459F0" w:rsidRPr="00682784">
        <w:rPr>
          <w:sz w:val="22"/>
          <w:szCs w:val="22"/>
          <w:lang w:val="en-GB"/>
        </w:rPr>
        <w:t xml:space="preserve">rogramming </w:t>
      </w:r>
      <w:r w:rsidR="00C503ED">
        <w:rPr>
          <w:sz w:val="22"/>
          <w:szCs w:val="22"/>
          <w:lang w:val="en-GB"/>
        </w:rPr>
        <w:t>D</w:t>
      </w:r>
      <w:r w:rsidR="009E17B7" w:rsidRPr="00682784">
        <w:rPr>
          <w:sz w:val="22"/>
          <w:szCs w:val="22"/>
          <w:lang w:val="en-GB"/>
        </w:rPr>
        <w:t>ocument</w:t>
      </w:r>
      <w:r w:rsidR="00147C31">
        <w:rPr>
          <w:rStyle w:val="FootnoteReference"/>
          <w:sz w:val="22"/>
          <w:szCs w:val="22"/>
        </w:rPr>
        <w:footnoteReference w:id="3"/>
      </w:r>
      <w:r w:rsidR="009E17B7" w:rsidRPr="00682784">
        <w:rPr>
          <w:sz w:val="22"/>
          <w:szCs w:val="22"/>
          <w:lang w:val="en-GB"/>
        </w:rPr>
        <w:t>.</w:t>
      </w:r>
    </w:p>
    <w:p w:rsidR="004A5B97" w:rsidRPr="00682784" w:rsidRDefault="00790AF8" w:rsidP="00534C25">
      <w:pPr>
        <w:widowControl w:val="0"/>
        <w:autoSpaceDE w:val="0"/>
        <w:autoSpaceDN w:val="0"/>
        <w:adjustRightInd w:val="0"/>
        <w:spacing w:before="120" w:after="0" w:line="252" w:lineRule="auto"/>
        <w:jc w:val="both"/>
        <w:rPr>
          <w:sz w:val="22"/>
          <w:szCs w:val="22"/>
          <w:lang w:val="en-GB"/>
        </w:rPr>
      </w:pPr>
      <w:r w:rsidRPr="00682784">
        <w:rPr>
          <w:sz w:val="22"/>
          <w:szCs w:val="22"/>
          <w:lang w:val="en-GB"/>
        </w:rPr>
        <w:t xml:space="preserve">While </w:t>
      </w:r>
      <w:r w:rsidR="004928F9">
        <w:rPr>
          <w:sz w:val="22"/>
          <w:szCs w:val="22"/>
          <w:lang w:val="en-GB"/>
        </w:rPr>
        <w:t xml:space="preserve">the </w:t>
      </w:r>
      <w:r w:rsidR="006A0C39" w:rsidRPr="00682784">
        <w:rPr>
          <w:sz w:val="22"/>
          <w:szCs w:val="22"/>
          <w:lang w:val="en-GB"/>
        </w:rPr>
        <w:t xml:space="preserve">overall </w:t>
      </w:r>
      <w:r w:rsidRPr="00682784">
        <w:rPr>
          <w:sz w:val="22"/>
          <w:szCs w:val="22"/>
          <w:lang w:val="en-GB"/>
        </w:rPr>
        <w:t>strategic</w:t>
      </w:r>
      <w:r w:rsidR="00185AEC" w:rsidRPr="00682784">
        <w:rPr>
          <w:sz w:val="22"/>
          <w:szCs w:val="22"/>
          <w:lang w:val="en-GB"/>
        </w:rPr>
        <w:t xml:space="preserve"> objectives</w:t>
      </w:r>
      <w:r w:rsidRPr="00682784">
        <w:rPr>
          <w:sz w:val="22"/>
          <w:szCs w:val="22"/>
          <w:lang w:val="en-GB"/>
        </w:rPr>
        <w:t xml:space="preserve"> for the programme </w:t>
      </w:r>
      <w:r w:rsidR="004928F9">
        <w:rPr>
          <w:sz w:val="22"/>
          <w:szCs w:val="22"/>
          <w:lang w:val="en-GB"/>
        </w:rPr>
        <w:t>were</w:t>
      </w:r>
      <w:r w:rsidRPr="00682784">
        <w:rPr>
          <w:sz w:val="22"/>
          <w:szCs w:val="22"/>
          <w:lang w:val="en-GB"/>
        </w:rPr>
        <w:t xml:space="preserve"> defined</w:t>
      </w:r>
      <w:r w:rsidR="000469F9">
        <w:rPr>
          <w:sz w:val="22"/>
          <w:szCs w:val="22"/>
          <w:lang w:val="en-GB"/>
        </w:rPr>
        <w:t xml:space="preserve"> at EU level</w:t>
      </w:r>
      <w:r w:rsidR="003D3B15">
        <w:rPr>
          <w:sz w:val="22"/>
          <w:szCs w:val="22"/>
          <w:lang w:val="en-GB"/>
        </w:rPr>
        <w:t>,</w:t>
      </w:r>
      <w:r w:rsidR="00185AEC" w:rsidRPr="00682784">
        <w:rPr>
          <w:sz w:val="22"/>
          <w:szCs w:val="22"/>
          <w:lang w:val="en-GB"/>
        </w:rPr>
        <w:t xml:space="preserve"> </w:t>
      </w:r>
      <w:r w:rsidR="000A3851" w:rsidRPr="00682784">
        <w:rPr>
          <w:sz w:val="22"/>
          <w:szCs w:val="22"/>
          <w:lang w:val="en-GB"/>
        </w:rPr>
        <w:t>detailed programming</w:t>
      </w:r>
      <w:r w:rsidR="004928F9">
        <w:rPr>
          <w:sz w:val="22"/>
          <w:szCs w:val="22"/>
          <w:lang w:val="en-GB"/>
        </w:rPr>
        <w:t>,</w:t>
      </w:r>
      <w:r w:rsidR="000A3851" w:rsidRPr="00682784">
        <w:rPr>
          <w:sz w:val="22"/>
          <w:szCs w:val="22"/>
          <w:lang w:val="en-GB"/>
        </w:rPr>
        <w:t xml:space="preserve"> including </w:t>
      </w:r>
      <w:r w:rsidR="006063E2" w:rsidRPr="00682784">
        <w:rPr>
          <w:sz w:val="22"/>
          <w:szCs w:val="22"/>
          <w:lang w:val="en-GB"/>
        </w:rPr>
        <w:t>the</w:t>
      </w:r>
      <w:r w:rsidR="0088699A" w:rsidRPr="00682784">
        <w:rPr>
          <w:sz w:val="22"/>
          <w:szCs w:val="22"/>
          <w:lang w:val="en-GB"/>
        </w:rPr>
        <w:t xml:space="preserve"> </w:t>
      </w:r>
      <w:r w:rsidR="00E93346" w:rsidRPr="00682784">
        <w:rPr>
          <w:sz w:val="22"/>
          <w:szCs w:val="22"/>
          <w:lang w:val="en-GB"/>
        </w:rPr>
        <w:t>priorities</w:t>
      </w:r>
      <w:r w:rsidR="006A0C39" w:rsidRPr="00682784">
        <w:rPr>
          <w:sz w:val="22"/>
          <w:szCs w:val="22"/>
          <w:lang w:val="en-GB"/>
        </w:rPr>
        <w:t xml:space="preserve"> of the Black Sea Basin </w:t>
      </w:r>
      <w:r w:rsidR="008C564B" w:rsidRPr="00682784">
        <w:rPr>
          <w:sz w:val="22"/>
          <w:szCs w:val="22"/>
          <w:lang w:val="en-GB"/>
        </w:rPr>
        <w:t xml:space="preserve">ENI CBC </w:t>
      </w:r>
      <w:r w:rsidR="006A0C39" w:rsidRPr="00682784">
        <w:rPr>
          <w:sz w:val="22"/>
          <w:szCs w:val="22"/>
          <w:lang w:val="en-GB"/>
        </w:rPr>
        <w:t>programme</w:t>
      </w:r>
      <w:r w:rsidR="00E93346" w:rsidRPr="00682784">
        <w:rPr>
          <w:sz w:val="22"/>
          <w:szCs w:val="22"/>
          <w:lang w:val="en-GB"/>
        </w:rPr>
        <w:t xml:space="preserve"> </w:t>
      </w:r>
      <w:r w:rsidR="005355CB" w:rsidRPr="00682784">
        <w:rPr>
          <w:sz w:val="22"/>
          <w:szCs w:val="22"/>
          <w:lang w:val="en-GB"/>
        </w:rPr>
        <w:t>2014-2020</w:t>
      </w:r>
      <w:r w:rsidR="004928F9">
        <w:rPr>
          <w:sz w:val="22"/>
          <w:szCs w:val="22"/>
          <w:lang w:val="en-GB"/>
        </w:rPr>
        <w:t>,</w:t>
      </w:r>
      <w:r w:rsidR="005355CB" w:rsidRPr="00682784">
        <w:rPr>
          <w:sz w:val="22"/>
          <w:szCs w:val="22"/>
          <w:lang w:val="en-GB"/>
        </w:rPr>
        <w:t xml:space="preserve"> </w:t>
      </w:r>
      <w:r w:rsidR="00C503ED">
        <w:rPr>
          <w:sz w:val="22"/>
          <w:szCs w:val="22"/>
          <w:lang w:val="en-GB"/>
        </w:rPr>
        <w:t>were</w:t>
      </w:r>
      <w:r w:rsidR="00B87056" w:rsidRPr="00682784">
        <w:rPr>
          <w:sz w:val="22"/>
          <w:szCs w:val="22"/>
          <w:lang w:val="en-GB"/>
        </w:rPr>
        <w:t xml:space="preserve"> develop</w:t>
      </w:r>
      <w:r w:rsidR="006A0C39" w:rsidRPr="00682784">
        <w:rPr>
          <w:sz w:val="22"/>
          <w:szCs w:val="22"/>
          <w:lang w:val="en-GB"/>
        </w:rPr>
        <w:t>ed</w:t>
      </w:r>
      <w:r w:rsidR="002D52BC" w:rsidRPr="00682784">
        <w:rPr>
          <w:sz w:val="22"/>
          <w:szCs w:val="22"/>
          <w:lang w:val="en-GB"/>
        </w:rPr>
        <w:t xml:space="preserve"> by</w:t>
      </w:r>
      <w:r w:rsidR="00185AEC" w:rsidRPr="00682784">
        <w:rPr>
          <w:sz w:val="22"/>
          <w:szCs w:val="22"/>
          <w:lang w:val="en-GB"/>
        </w:rPr>
        <w:t xml:space="preserve"> the programme partners</w:t>
      </w:r>
      <w:r w:rsidR="006A0C39" w:rsidRPr="00682784">
        <w:rPr>
          <w:sz w:val="22"/>
          <w:szCs w:val="22"/>
          <w:lang w:val="en-GB"/>
        </w:rPr>
        <w:t xml:space="preserve"> themselves</w:t>
      </w:r>
      <w:r w:rsidR="00185AEC" w:rsidRPr="00682784">
        <w:rPr>
          <w:sz w:val="22"/>
          <w:szCs w:val="22"/>
          <w:lang w:val="en-GB"/>
        </w:rPr>
        <w:t xml:space="preserve"> working together </w:t>
      </w:r>
      <w:r w:rsidR="006B1F34" w:rsidRPr="00682784">
        <w:rPr>
          <w:sz w:val="22"/>
          <w:szCs w:val="22"/>
          <w:lang w:val="en-GB"/>
        </w:rPr>
        <w:t>accross border</w:t>
      </w:r>
      <w:r w:rsidR="009D17FA" w:rsidRPr="00682784">
        <w:rPr>
          <w:sz w:val="22"/>
          <w:szCs w:val="22"/>
          <w:lang w:val="en-GB"/>
        </w:rPr>
        <w:t>s</w:t>
      </w:r>
      <w:r w:rsidR="002D52BC" w:rsidRPr="00682784">
        <w:rPr>
          <w:sz w:val="22"/>
          <w:szCs w:val="22"/>
          <w:lang w:val="en-GB"/>
        </w:rPr>
        <w:t>.</w:t>
      </w:r>
      <w:r w:rsidR="006B1F34" w:rsidRPr="00682784">
        <w:rPr>
          <w:sz w:val="22"/>
          <w:szCs w:val="22"/>
          <w:lang w:val="en-GB"/>
        </w:rPr>
        <w:t xml:space="preserve"> </w:t>
      </w:r>
      <w:r w:rsidR="00EF2C66" w:rsidRPr="00682784">
        <w:rPr>
          <w:sz w:val="22"/>
          <w:szCs w:val="22"/>
          <w:lang w:val="en-GB"/>
        </w:rPr>
        <w:t xml:space="preserve">To this </w:t>
      </w:r>
      <w:r w:rsidR="00C503ED">
        <w:rPr>
          <w:sz w:val="22"/>
          <w:szCs w:val="22"/>
          <w:lang w:val="en-GB"/>
        </w:rPr>
        <w:t>end,</w:t>
      </w:r>
      <w:r w:rsidR="00C503ED" w:rsidRPr="00682784">
        <w:rPr>
          <w:sz w:val="22"/>
          <w:szCs w:val="22"/>
          <w:lang w:val="en-GB"/>
        </w:rPr>
        <w:t xml:space="preserve"> </w:t>
      </w:r>
      <w:r w:rsidR="00EF2C66" w:rsidRPr="00682784">
        <w:rPr>
          <w:sz w:val="22"/>
          <w:szCs w:val="22"/>
          <w:lang w:val="en-GB"/>
        </w:rPr>
        <w:t>a Joint Programmin</w:t>
      </w:r>
      <w:r w:rsidR="004928F9">
        <w:rPr>
          <w:sz w:val="22"/>
          <w:szCs w:val="22"/>
          <w:lang w:val="en-GB"/>
        </w:rPr>
        <w:t>g Committee</w:t>
      </w:r>
      <w:r w:rsidR="00430870" w:rsidRPr="00682784">
        <w:rPr>
          <w:sz w:val="22"/>
          <w:szCs w:val="22"/>
          <w:lang w:val="en-GB"/>
        </w:rPr>
        <w:t xml:space="preserve"> </w:t>
      </w:r>
      <w:r w:rsidR="00C503ED" w:rsidRPr="00682784">
        <w:rPr>
          <w:sz w:val="22"/>
          <w:szCs w:val="22"/>
          <w:lang w:val="en-GB"/>
        </w:rPr>
        <w:t>comp</w:t>
      </w:r>
      <w:r w:rsidR="00C503ED">
        <w:rPr>
          <w:sz w:val="22"/>
          <w:szCs w:val="22"/>
          <w:lang w:val="en-GB"/>
        </w:rPr>
        <w:t>ris</w:t>
      </w:r>
      <w:r w:rsidR="004928F9">
        <w:rPr>
          <w:sz w:val="22"/>
          <w:szCs w:val="22"/>
          <w:lang w:val="en-GB"/>
        </w:rPr>
        <w:t>ed</w:t>
      </w:r>
      <w:r w:rsidR="00430870" w:rsidRPr="00682784">
        <w:rPr>
          <w:sz w:val="22"/>
          <w:szCs w:val="22"/>
          <w:lang w:val="en-GB"/>
        </w:rPr>
        <w:t xml:space="preserve"> </w:t>
      </w:r>
      <w:r w:rsidR="004928F9">
        <w:rPr>
          <w:sz w:val="22"/>
          <w:szCs w:val="22"/>
          <w:lang w:val="en-GB"/>
        </w:rPr>
        <w:t xml:space="preserve">of </w:t>
      </w:r>
      <w:r w:rsidR="00EF2C66" w:rsidRPr="00682784">
        <w:rPr>
          <w:sz w:val="22"/>
          <w:szCs w:val="22"/>
          <w:lang w:val="en-GB"/>
        </w:rPr>
        <w:t xml:space="preserve">representatives from </w:t>
      </w:r>
      <w:r w:rsidR="003C3A6A">
        <w:rPr>
          <w:sz w:val="22"/>
          <w:szCs w:val="22"/>
          <w:lang w:val="en-GB"/>
        </w:rPr>
        <w:t xml:space="preserve">actively </w:t>
      </w:r>
      <w:r w:rsidR="00EF2C66" w:rsidRPr="00682784">
        <w:rPr>
          <w:sz w:val="22"/>
          <w:szCs w:val="22"/>
          <w:lang w:val="en-GB"/>
        </w:rPr>
        <w:t>participating countries</w:t>
      </w:r>
      <w:r w:rsidR="00430870" w:rsidRPr="00682784">
        <w:rPr>
          <w:sz w:val="22"/>
          <w:szCs w:val="22"/>
          <w:lang w:val="en-GB"/>
        </w:rPr>
        <w:t xml:space="preserve"> was established</w:t>
      </w:r>
      <w:r w:rsidR="00EF2C66" w:rsidRPr="00682784">
        <w:rPr>
          <w:sz w:val="22"/>
          <w:szCs w:val="22"/>
          <w:lang w:val="en-GB"/>
        </w:rPr>
        <w:t xml:space="preserve"> and met seven times between </w:t>
      </w:r>
      <w:r w:rsidR="00430870" w:rsidRPr="00682784">
        <w:rPr>
          <w:sz w:val="22"/>
          <w:szCs w:val="22"/>
          <w:lang w:val="en-GB"/>
        </w:rPr>
        <w:t>April 2013 and February 2015.</w:t>
      </w:r>
      <w:r w:rsidR="004A5B97" w:rsidRPr="00682784">
        <w:rPr>
          <w:sz w:val="22"/>
          <w:szCs w:val="22"/>
          <w:lang w:val="en-GB"/>
        </w:rPr>
        <w:t xml:space="preserve"> </w:t>
      </w:r>
    </w:p>
    <w:p w:rsidR="004A5B97" w:rsidRPr="00682784" w:rsidRDefault="004A5B97" w:rsidP="00534C25">
      <w:pPr>
        <w:widowControl w:val="0"/>
        <w:autoSpaceDE w:val="0"/>
        <w:autoSpaceDN w:val="0"/>
        <w:adjustRightInd w:val="0"/>
        <w:spacing w:before="120" w:after="0" w:line="252" w:lineRule="auto"/>
        <w:jc w:val="both"/>
        <w:rPr>
          <w:sz w:val="22"/>
          <w:szCs w:val="22"/>
          <w:lang w:val="en-GB"/>
        </w:rPr>
      </w:pPr>
      <w:r w:rsidRPr="00682784">
        <w:rPr>
          <w:sz w:val="22"/>
          <w:szCs w:val="22"/>
          <w:lang w:val="en-GB"/>
        </w:rPr>
        <w:t xml:space="preserve">Nine countries </w:t>
      </w:r>
      <w:r w:rsidR="00C503ED">
        <w:rPr>
          <w:sz w:val="22"/>
          <w:szCs w:val="22"/>
          <w:lang w:val="en-GB"/>
        </w:rPr>
        <w:t xml:space="preserve">actively </w:t>
      </w:r>
      <w:r w:rsidRPr="00682784">
        <w:rPr>
          <w:sz w:val="22"/>
          <w:szCs w:val="22"/>
          <w:lang w:val="en-GB"/>
        </w:rPr>
        <w:t>participated</w:t>
      </w:r>
      <w:r w:rsidR="00A83FA5">
        <w:rPr>
          <w:sz w:val="22"/>
          <w:szCs w:val="22"/>
          <w:lang w:val="en-GB"/>
        </w:rPr>
        <w:t xml:space="preserve"> </w:t>
      </w:r>
      <w:r w:rsidRPr="00682784">
        <w:rPr>
          <w:sz w:val="22"/>
          <w:szCs w:val="22"/>
          <w:lang w:val="en-GB"/>
        </w:rPr>
        <w:t xml:space="preserve">in the programming </w:t>
      </w:r>
      <w:r w:rsidR="00A83FA5">
        <w:rPr>
          <w:sz w:val="22"/>
          <w:szCs w:val="22"/>
          <w:lang w:val="en-GB"/>
        </w:rPr>
        <w:t>process</w:t>
      </w:r>
      <w:r w:rsidR="00CE3B9E">
        <w:rPr>
          <w:sz w:val="22"/>
          <w:szCs w:val="22"/>
          <w:lang w:val="en-GB"/>
        </w:rPr>
        <w:t>,</w:t>
      </w:r>
      <w:r w:rsidRPr="00682784">
        <w:rPr>
          <w:sz w:val="22"/>
          <w:szCs w:val="22"/>
          <w:lang w:val="en-GB"/>
        </w:rPr>
        <w:t xml:space="preserve"> Armenia, Azerbaijan, Bulgaria, Georgia, Greece, Republic of Moldov</w:t>
      </w:r>
      <w:r w:rsidR="00BB17F6" w:rsidRPr="00682784">
        <w:rPr>
          <w:sz w:val="22"/>
          <w:szCs w:val="22"/>
          <w:lang w:val="en-GB"/>
        </w:rPr>
        <w:t>a, Romania, Turkey</w:t>
      </w:r>
      <w:r w:rsidRPr="00682784">
        <w:rPr>
          <w:sz w:val="22"/>
          <w:szCs w:val="22"/>
          <w:lang w:val="en-GB"/>
        </w:rPr>
        <w:t xml:space="preserve"> and Ukraine. </w:t>
      </w:r>
      <w:r w:rsidR="00CE3B9E">
        <w:rPr>
          <w:sz w:val="22"/>
          <w:szCs w:val="22"/>
          <w:lang w:val="en-GB"/>
        </w:rPr>
        <w:t xml:space="preserve">The development of the </w:t>
      </w:r>
      <w:r w:rsidRPr="00682784">
        <w:rPr>
          <w:sz w:val="22"/>
          <w:szCs w:val="22"/>
          <w:lang w:val="en-GB"/>
        </w:rPr>
        <w:t>B</w:t>
      </w:r>
      <w:r w:rsidR="00F822E2" w:rsidRPr="00682784">
        <w:rPr>
          <w:sz w:val="22"/>
          <w:szCs w:val="22"/>
          <w:lang w:val="en-GB"/>
        </w:rPr>
        <w:t xml:space="preserve">lack Sea Basin </w:t>
      </w:r>
      <w:r w:rsidR="00CE3B9E" w:rsidRPr="00682784">
        <w:rPr>
          <w:sz w:val="22"/>
          <w:szCs w:val="22"/>
          <w:lang w:val="en-GB"/>
        </w:rPr>
        <w:t xml:space="preserve">ENI CBC </w:t>
      </w:r>
      <w:r w:rsidR="00F822E2" w:rsidRPr="00682784">
        <w:rPr>
          <w:sz w:val="22"/>
          <w:szCs w:val="22"/>
          <w:lang w:val="en-GB"/>
        </w:rPr>
        <w:t>Programme 2014-20</w:t>
      </w:r>
      <w:r w:rsidRPr="00682784">
        <w:rPr>
          <w:sz w:val="22"/>
          <w:szCs w:val="22"/>
          <w:lang w:val="en-GB"/>
        </w:rPr>
        <w:t>20</w:t>
      </w:r>
      <w:r w:rsidR="00CE3B9E">
        <w:rPr>
          <w:sz w:val="22"/>
          <w:szCs w:val="22"/>
          <w:lang w:val="en-GB"/>
        </w:rPr>
        <w:t xml:space="preserve"> was facilitated by</w:t>
      </w:r>
      <w:r w:rsidRPr="00682784">
        <w:rPr>
          <w:sz w:val="22"/>
          <w:szCs w:val="22"/>
          <w:lang w:val="en-GB"/>
        </w:rPr>
        <w:t xml:space="preserve"> the Ministry of Regional Development and Public Administration of Romania</w:t>
      </w:r>
      <w:r w:rsidR="00D94F42">
        <w:rPr>
          <w:sz w:val="22"/>
          <w:szCs w:val="22"/>
          <w:lang w:val="en-GB"/>
        </w:rPr>
        <w:t>,</w:t>
      </w:r>
      <w:r w:rsidRPr="00682784">
        <w:rPr>
          <w:sz w:val="22"/>
          <w:szCs w:val="22"/>
          <w:lang w:val="en-GB"/>
        </w:rPr>
        <w:t xml:space="preserve"> </w:t>
      </w:r>
      <w:r w:rsidR="00CE3B9E">
        <w:rPr>
          <w:sz w:val="22"/>
          <w:szCs w:val="22"/>
          <w:lang w:val="en-GB"/>
        </w:rPr>
        <w:t xml:space="preserve">which </w:t>
      </w:r>
      <w:r w:rsidRPr="00682784">
        <w:rPr>
          <w:sz w:val="22"/>
          <w:szCs w:val="22"/>
          <w:lang w:val="en-GB"/>
        </w:rPr>
        <w:t xml:space="preserve">was </w:t>
      </w:r>
      <w:r w:rsidR="00E45A6B">
        <w:rPr>
          <w:sz w:val="22"/>
          <w:szCs w:val="22"/>
          <w:lang w:val="en-GB"/>
        </w:rPr>
        <w:t xml:space="preserve">appointed </w:t>
      </w:r>
      <w:r w:rsidRPr="00682784">
        <w:rPr>
          <w:sz w:val="22"/>
          <w:szCs w:val="22"/>
          <w:lang w:val="en-GB"/>
        </w:rPr>
        <w:t>as the Managing Authority</w:t>
      </w:r>
      <w:r w:rsidR="00CE3B9E">
        <w:rPr>
          <w:sz w:val="22"/>
          <w:szCs w:val="22"/>
          <w:lang w:val="en-GB"/>
        </w:rPr>
        <w:t xml:space="preserve"> allowing for</w:t>
      </w:r>
      <w:r w:rsidR="00BB17F6" w:rsidRPr="00682784">
        <w:rPr>
          <w:sz w:val="22"/>
          <w:szCs w:val="22"/>
          <w:lang w:val="en-GB"/>
        </w:rPr>
        <w:t xml:space="preserve"> continuity with its </w:t>
      </w:r>
      <w:r w:rsidR="00CE3B9E">
        <w:rPr>
          <w:sz w:val="22"/>
          <w:szCs w:val="22"/>
          <w:lang w:val="en-GB"/>
        </w:rPr>
        <w:t>role</w:t>
      </w:r>
      <w:r w:rsidR="00CE3B9E" w:rsidRPr="00682784">
        <w:rPr>
          <w:sz w:val="22"/>
          <w:szCs w:val="22"/>
          <w:lang w:val="en-GB"/>
        </w:rPr>
        <w:t xml:space="preserve"> </w:t>
      </w:r>
      <w:r w:rsidR="00A83FA5">
        <w:rPr>
          <w:sz w:val="22"/>
          <w:szCs w:val="22"/>
          <w:lang w:val="en-GB"/>
        </w:rPr>
        <w:t>as</w:t>
      </w:r>
      <w:r w:rsidR="00BB17F6" w:rsidRPr="00682784">
        <w:rPr>
          <w:sz w:val="22"/>
          <w:szCs w:val="22"/>
          <w:lang w:val="en-GB"/>
        </w:rPr>
        <w:t xml:space="preserve"> Joint Managing Authorit</w:t>
      </w:r>
      <w:r w:rsidR="00F822E2" w:rsidRPr="00682784">
        <w:rPr>
          <w:sz w:val="22"/>
          <w:szCs w:val="22"/>
          <w:lang w:val="en-GB"/>
        </w:rPr>
        <w:t xml:space="preserve">y </w:t>
      </w:r>
      <w:r w:rsidR="00A83FA5">
        <w:rPr>
          <w:sz w:val="22"/>
          <w:szCs w:val="22"/>
          <w:lang w:val="en-GB"/>
        </w:rPr>
        <w:t xml:space="preserve">for </w:t>
      </w:r>
      <w:r w:rsidR="00F822E2" w:rsidRPr="00682784">
        <w:rPr>
          <w:sz w:val="22"/>
          <w:szCs w:val="22"/>
          <w:lang w:val="en-GB"/>
        </w:rPr>
        <w:t xml:space="preserve">the Black Sea Basin </w:t>
      </w:r>
      <w:r w:rsidR="00B41E7C">
        <w:rPr>
          <w:sz w:val="22"/>
          <w:szCs w:val="22"/>
          <w:lang w:val="en-GB"/>
        </w:rPr>
        <w:t xml:space="preserve">ENPI CBC </w:t>
      </w:r>
      <w:r w:rsidR="00956AE9">
        <w:rPr>
          <w:sz w:val="22"/>
          <w:szCs w:val="22"/>
          <w:lang w:val="en-GB"/>
        </w:rPr>
        <w:t xml:space="preserve">programme </w:t>
      </w:r>
      <w:r w:rsidR="00F822E2" w:rsidRPr="00682784">
        <w:rPr>
          <w:sz w:val="22"/>
          <w:szCs w:val="22"/>
          <w:lang w:val="en-GB"/>
        </w:rPr>
        <w:t>2007-20</w:t>
      </w:r>
      <w:r w:rsidR="00BB17F6" w:rsidRPr="00682784">
        <w:rPr>
          <w:sz w:val="22"/>
          <w:szCs w:val="22"/>
          <w:lang w:val="en-GB"/>
        </w:rPr>
        <w:t>13.</w:t>
      </w:r>
    </w:p>
    <w:p w:rsidR="00F93DA3" w:rsidRPr="00682784" w:rsidRDefault="008B3050" w:rsidP="00534C25">
      <w:pPr>
        <w:widowControl w:val="0"/>
        <w:autoSpaceDE w:val="0"/>
        <w:autoSpaceDN w:val="0"/>
        <w:adjustRightInd w:val="0"/>
        <w:spacing w:before="120" w:after="0" w:line="252" w:lineRule="auto"/>
        <w:jc w:val="both"/>
        <w:rPr>
          <w:sz w:val="22"/>
          <w:szCs w:val="22"/>
          <w:lang w:val="en-GB"/>
        </w:rPr>
      </w:pPr>
      <w:r w:rsidRPr="00682784">
        <w:rPr>
          <w:sz w:val="22"/>
          <w:szCs w:val="22"/>
          <w:lang w:val="en-GB"/>
        </w:rPr>
        <w:t xml:space="preserve">The Black Sea Basin </w:t>
      </w:r>
      <w:r w:rsidR="00CE3B9E">
        <w:rPr>
          <w:sz w:val="22"/>
          <w:szCs w:val="22"/>
          <w:lang w:val="en-GB"/>
        </w:rPr>
        <w:t xml:space="preserve">ENI CBC </w:t>
      </w:r>
      <w:r w:rsidRPr="00682784">
        <w:rPr>
          <w:sz w:val="22"/>
          <w:szCs w:val="22"/>
          <w:lang w:val="en-GB"/>
        </w:rPr>
        <w:t>programme 2014-</w:t>
      </w:r>
      <w:r w:rsidR="00F822E2" w:rsidRPr="00682784">
        <w:rPr>
          <w:sz w:val="22"/>
          <w:szCs w:val="22"/>
          <w:lang w:val="en-GB"/>
        </w:rPr>
        <w:t>20</w:t>
      </w:r>
      <w:r w:rsidRPr="00682784">
        <w:rPr>
          <w:sz w:val="22"/>
          <w:szCs w:val="22"/>
          <w:lang w:val="en-GB"/>
        </w:rPr>
        <w:t>20 builds upon the previous cooperation framework</w:t>
      </w:r>
      <w:r w:rsidR="002308F0" w:rsidRPr="00682784">
        <w:rPr>
          <w:sz w:val="22"/>
          <w:szCs w:val="22"/>
          <w:lang w:val="en-GB"/>
        </w:rPr>
        <w:t>,</w:t>
      </w:r>
      <w:r w:rsidRPr="00682784">
        <w:rPr>
          <w:sz w:val="22"/>
          <w:szCs w:val="22"/>
          <w:lang w:val="en-GB"/>
        </w:rPr>
        <w:t xml:space="preserve"> </w:t>
      </w:r>
      <w:r w:rsidR="00A83FA5">
        <w:rPr>
          <w:sz w:val="22"/>
          <w:szCs w:val="22"/>
          <w:lang w:val="en-GB"/>
        </w:rPr>
        <w:t xml:space="preserve">the </w:t>
      </w:r>
      <w:r w:rsidRPr="00682784">
        <w:rPr>
          <w:sz w:val="22"/>
          <w:szCs w:val="22"/>
          <w:lang w:val="en-GB"/>
        </w:rPr>
        <w:t xml:space="preserve">Black Sea Basin </w:t>
      </w:r>
      <w:r w:rsidR="0098752F" w:rsidRPr="00682784">
        <w:rPr>
          <w:sz w:val="22"/>
          <w:szCs w:val="22"/>
          <w:lang w:val="en-GB"/>
        </w:rPr>
        <w:t xml:space="preserve">ENPI CBC </w:t>
      </w:r>
      <w:r w:rsidR="00956AE9">
        <w:rPr>
          <w:sz w:val="22"/>
          <w:szCs w:val="22"/>
          <w:lang w:val="en-GB"/>
        </w:rPr>
        <w:t xml:space="preserve">programme </w:t>
      </w:r>
      <w:r w:rsidR="00B41E7C" w:rsidRPr="00682784">
        <w:rPr>
          <w:sz w:val="22"/>
          <w:szCs w:val="22"/>
          <w:lang w:val="en-GB"/>
        </w:rPr>
        <w:t>2007-2013</w:t>
      </w:r>
      <w:r w:rsidR="00B41E7C">
        <w:rPr>
          <w:sz w:val="22"/>
          <w:szCs w:val="22"/>
          <w:lang w:val="en-GB"/>
        </w:rPr>
        <w:t xml:space="preserve"> </w:t>
      </w:r>
      <w:r w:rsidR="00CE3B9E">
        <w:rPr>
          <w:sz w:val="22"/>
          <w:szCs w:val="22"/>
          <w:lang w:val="en-GB"/>
        </w:rPr>
        <w:t>programme</w:t>
      </w:r>
      <w:r w:rsidR="00607C7B" w:rsidRPr="00682784">
        <w:rPr>
          <w:sz w:val="22"/>
          <w:szCs w:val="22"/>
          <w:lang w:val="en-GB"/>
        </w:rPr>
        <w:t xml:space="preserve">, </w:t>
      </w:r>
      <w:r w:rsidR="00CE3B9E">
        <w:rPr>
          <w:sz w:val="22"/>
          <w:szCs w:val="22"/>
          <w:lang w:val="en-GB"/>
        </w:rPr>
        <w:t>under which</w:t>
      </w:r>
      <w:r w:rsidR="00607C7B" w:rsidRPr="00682784">
        <w:rPr>
          <w:sz w:val="22"/>
          <w:szCs w:val="22"/>
          <w:lang w:val="en-GB"/>
        </w:rPr>
        <w:t xml:space="preserve"> </w:t>
      </w:r>
      <w:r w:rsidR="00B41E7C">
        <w:rPr>
          <w:sz w:val="22"/>
          <w:szCs w:val="22"/>
          <w:lang w:val="en-GB"/>
        </w:rPr>
        <w:t>62</w:t>
      </w:r>
      <w:r w:rsidR="00B41E7C" w:rsidRPr="00682784">
        <w:rPr>
          <w:sz w:val="22"/>
          <w:szCs w:val="22"/>
          <w:lang w:val="en-GB"/>
        </w:rPr>
        <w:t xml:space="preserve"> </w:t>
      </w:r>
      <w:r w:rsidR="00607C7B" w:rsidRPr="00682784">
        <w:rPr>
          <w:sz w:val="22"/>
          <w:szCs w:val="22"/>
          <w:lang w:val="en-GB"/>
        </w:rPr>
        <w:t xml:space="preserve">projects </w:t>
      </w:r>
      <w:r w:rsidR="00CE3B9E">
        <w:rPr>
          <w:sz w:val="22"/>
          <w:szCs w:val="22"/>
          <w:lang w:val="en-GB"/>
        </w:rPr>
        <w:t>were awarded and implemented</w:t>
      </w:r>
      <w:r w:rsidR="00CE3B9E" w:rsidRPr="00682784">
        <w:rPr>
          <w:sz w:val="22"/>
          <w:szCs w:val="22"/>
          <w:lang w:val="en-GB"/>
        </w:rPr>
        <w:t xml:space="preserve"> </w:t>
      </w:r>
      <w:r w:rsidR="00607C7B" w:rsidRPr="00682784">
        <w:rPr>
          <w:sz w:val="22"/>
          <w:szCs w:val="22"/>
          <w:lang w:val="en-GB"/>
        </w:rPr>
        <w:t>in 8 countries surrounding the Black Sea</w:t>
      </w:r>
      <w:r w:rsidR="00E45A6B">
        <w:rPr>
          <w:sz w:val="22"/>
          <w:szCs w:val="22"/>
          <w:lang w:val="en-GB"/>
        </w:rPr>
        <w:t xml:space="preserve"> Basin</w:t>
      </w:r>
      <w:r w:rsidRPr="00682784">
        <w:rPr>
          <w:sz w:val="22"/>
          <w:szCs w:val="22"/>
          <w:lang w:val="en-GB"/>
        </w:rPr>
        <w:t>.</w:t>
      </w:r>
      <w:r w:rsidR="00401D32" w:rsidRPr="00682784">
        <w:rPr>
          <w:sz w:val="22"/>
          <w:szCs w:val="22"/>
          <w:lang w:val="en-GB"/>
        </w:rPr>
        <w:t xml:space="preserve"> Relevant</w:t>
      </w:r>
      <w:r w:rsidR="003017C4" w:rsidRPr="00682784">
        <w:rPr>
          <w:sz w:val="22"/>
          <w:szCs w:val="22"/>
          <w:lang w:val="en-GB"/>
        </w:rPr>
        <w:t xml:space="preserve"> lessons</w:t>
      </w:r>
      <w:r w:rsidR="002308F0" w:rsidRPr="00682784">
        <w:rPr>
          <w:sz w:val="22"/>
          <w:szCs w:val="22"/>
          <w:lang w:val="en-GB"/>
        </w:rPr>
        <w:t xml:space="preserve"> </w:t>
      </w:r>
      <w:r w:rsidR="00174B9B">
        <w:rPr>
          <w:sz w:val="22"/>
          <w:szCs w:val="22"/>
          <w:lang w:val="en-GB"/>
        </w:rPr>
        <w:t xml:space="preserve">learned </w:t>
      </w:r>
      <w:r w:rsidR="002308F0" w:rsidRPr="00682784">
        <w:rPr>
          <w:sz w:val="22"/>
          <w:szCs w:val="22"/>
          <w:lang w:val="en-GB"/>
        </w:rPr>
        <w:t xml:space="preserve">from this </w:t>
      </w:r>
      <w:r w:rsidR="00174B9B">
        <w:rPr>
          <w:sz w:val="22"/>
          <w:szCs w:val="22"/>
          <w:lang w:val="en-GB"/>
        </w:rPr>
        <w:t xml:space="preserve">past </w:t>
      </w:r>
      <w:r w:rsidR="003017C4" w:rsidRPr="00682784">
        <w:rPr>
          <w:sz w:val="22"/>
          <w:szCs w:val="22"/>
          <w:lang w:val="en-GB"/>
        </w:rPr>
        <w:t xml:space="preserve">experience </w:t>
      </w:r>
      <w:r w:rsidR="00174B9B">
        <w:rPr>
          <w:sz w:val="22"/>
          <w:szCs w:val="22"/>
          <w:lang w:val="en-GB"/>
        </w:rPr>
        <w:t>have been</w:t>
      </w:r>
      <w:r w:rsidR="00174B9B" w:rsidRPr="00682784">
        <w:rPr>
          <w:sz w:val="22"/>
          <w:szCs w:val="22"/>
          <w:lang w:val="en-GB"/>
        </w:rPr>
        <w:t xml:space="preserve"> </w:t>
      </w:r>
      <w:r w:rsidR="002F5416" w:rsidRPr="00682784">
        <w:rPr>
          <w:sz w:val="22"/>
          <w:szCs w:val="22"/>
          <w:lang w:val="en-GB"/>
        </w:rPr>
        <w:t xml:space="preserve">integrated in the </w:t>
      </w:r>
      <w:r w:rsidR="00191358" w:rsidRPr="00682784">
        <w:rPr>
          <w:sz w:val="22"/>
          <w:szCs w:val="22"/>
          <w:lang w:val="en-GB"/>
        </w:rPr>
        <w:t xml:space="preserve">Black Sea Basin </w:t>
      </w:r>
      <w:r w:rsidR="00CE3B9E">
        <w:rPr>
          <w:sz w:val="22"/>
          <w:szCs w:val="22"/>
          <w:lang w:val="en-GB"/>
        </w:rPr>
        <w:t xml:space="preserve">ENI CBC 2014-2020 </w:t>
      </w:r>
      <w:r w:rsidR="00191358" w:rsidRPr="00682784">
        <w:rPr>
          <w:sz w:val="22"/>
          <w:szCs w:val="22"/>
          <w:lang w:val="en-GB"/>
        </w:rPr>
        <w:t>programme</w:t>
      </w:r>
      <w:r w:rsidR="00525545" w:rsidRPr="00682784">
        <w:rPr>
          <w:sz w:val="22"/>
          <w:szCs w:val="22"/>
          <w:lang w:val="en-GB"/>
        </w:rPr>
        <w:t xml:space="preserve"> strategy</w:t>
      </w:r>
      <w:r w:rsidR="004361A3" w:rsidRPr="00682784">
        <w:rPr>
          <w:sz w:val="22"/>
          <w:szCs w:val="22"/>
          <w:lang w:val="en-GB"/>
        </w:rPr>
        <w:t xml:space="preserve"> </w:t>
      </w:r>
      <w:r w:rsidR="00CE3B9E">
        <w:rPr>
          <w:sz w:val="22"/>
          <w:szCs w:val="22"/>
          <w:lang w:val="en-GB"/>
        </w:rPr>
        <w:t>along with</w:t>
      </w:r>
      <w:r w:rsidR="00401D32" w:rsidRPr="00682784">
        <w:rPr>
          <w:sz w:val="22"/>
          <w:szCs w:val="22"/>
          <w:lang w:val="en-GB"/>
        </w:rPr>
        <w:t xml:space="preserve"> a mapping of projects awarded and a survey on current priorities and future needs carried out in 2013.</w:t>
      </w:r>
    </w:p>
    <w:p w:rsidR="00534C25" w:rsidRPr="00682784" w:rsidRDefault="00A83FA5" w:rsidP="00CD7658">
      <w:pPr>
        <w:widowControl w:val="0"/>
        <w:autoSpaceDE w:val="0"/>
        <w:autoSpaceDN w:val="0"/>
        <w:adjustRightInd w:val="0"/>
        <w:spacing w:before="120" w:after="0" w:line="252" w:lineRule="auto"/>
        <w:jc w:val="both"/>
        <w:rPr>
          <w:sz w:val="22"/>
          <w:szCs w:val="22"/>
          <w:lang w:val="en-GB"/>
        </w:rPr>
      </w:pPr>
      <w:r>
        <w:rPr>
          <w:sz w:val="22"/>
          <w:szCs w:val="22"/>
          <w:lang w:val="en-GB"/>
        </w:rPr>
        <w:t>In addition to the pa</w:t>
      </w:r>
      <w:r w:rsidR="008D4573">
        <w:rPr>
          <w:sz w:val="22"/>
          <w:szCs w:val="22"/>
          <w:lang w:val="en-GB"/>
        </w:rPr>
        <w:t>s</w:t>
      </w:r>
      <w:r>
        <w:rPr>
          <w:sz w:val="22"/>
          <w:szCs w:val="22"/>
          <w:lang w:val="en-GB"/>
        </w:rPr>
        <w:t>t experience analysis, t</w:t>
      </w:r>
      <w:r w:rsidR="00CD7658" w:rsidRPr="00682784">
        <w:rPr>
          <w:sz w:val="22"/>
          <w:szCs w:val="22"/>
          <w:lang w:val="en-GB"/>
        </w:rPr>
        <w:t xml:space="preserve">he methodology to </w:t>
      </w:r>
      <w:r w:rsidR="00517D94" w:rsidRPr="00682784">
        <w:rPr>
          <w:sz w:val="22"/>
          <w:szCs w:val="22"/>
          <w:lang w:val="en-GB"/>
        </w:rPr>
        <w:t>identify the</w:t>
      </w:r>
      <w:r w:rsidR="00CD7658" w:rsidRPr="00682784">
        <w:rPr>
          <w:sz w:val="22"/>
          <w:szCs w:val="22"/>
          <w:lang w:val="en-GB"/>
        </w:rPr>
        <w:t xml:space="preserve"> most</w:t>
      </w:r>
      <w:r w:rsidR="00517D94" w:rsidRPr="00682784">
        <w:rPr>
          <w:sz w:val="22"/>
          <w:szCs w:val="22"/>
          <w:lang w:val="en-GB"/>
        </w:rPr>
        <w:t xml:space="preserve"> relevant strategy for the Black Sea Basin ENI CBC </w:t>
      </w:r>
      <w:r w:rsidR="00B7616F" w:rsidRPr="00682784">
        <w:rPr>
          <w:sz w:val="22"/>
          <w:szCs w:val="22"/>
          <w:lang w:val="en-GB"/>
        </w:rPr>
        <w:t>2014-</w:t>
      </w:r>
      <w:r w:rsidR="00F822E2" w:rsidRPr="00682784">
        <w:rPr>
          <w:sz w:val="22"/>
          <w:szCs w:val="22"/>
          <w:lang w:val="en-GB"/>
        </w:rPr>
        <w:t>20</w:t>
      </w:r>
      <w:r w:rsidR="00B7616F" w:rsidRPr="00682784">
        <w:rPr>
          <w:sz w:val="22"/>
          <w:szCs w:val="22"/>
          <w:lang w:val="en-GB"/>
        </w:rPr>
        <w:t xml:space="preserve">20 </w:t>
      </w:r>
      <w:r w:rsidR="00517D94" w:rsidRPr="00682784">
        <w:rPr>
          <w:sz w:val="22"/>
          <w:szCs w:val="22"/>
          <w:lang w:val="en-GB"/>
        </w:rPr>
        <w:t xml:space="preserve">programme included </w:t>
      </w:r>
      <w:r w:rsidR="00CE3B9E">
        <w:rPr>
          <w:sz w:val="22"/>
          <w:szCs w:val="22"/>
          <w:lang w:val="en-GB"/>
        </w:rPr>
        <w:t>a socio economic</w:t>
      </w:r>
      <w:r w:rsidR="00CE3B9E" w:rsidRPr="00682784">
        <w:rPr>
          <w:sz w:val="22"/>
          <w:szCs w:val="22"/>
          <w:lang w:val="en-GB"/>
        </w:rPr>
        <w:t xml:space="preserve"> </w:t>
      </w:r>
      <w:r w:rsidR="00517D94" w:rsidRPr="00682784">
        <w:rPr>
          <w:sz w:val="22"/>
          <w:szCs w:val="22"/>
          <w:lang w:val="en-GB"/>
        </w:rPr>
        <w:t>analysis of the programme area</w:t>
      </w:r>
      <w:r w:rsidR="00CE3B9E">
        <w:rPr>
          <w:sz w:val="22"/>
          <w:szCs w:val="22"/>
          <w:lang w:val="en-GB"/>
        </w:rPr>
        <w:t xml:space="preserve"> </w:t>
      </w:r>
      <w:r w:rsidR="00517D94" w:rsidRPr="00682784">
        <w:rPr>
          <w:sz w:val="22"/>
          <w:szCs w:val="22"/>
          <w:lang w:val="en-GB"/>
        </w:rPr>
        <w:t xml:space="preserve">and </w:t>
      </w:r>
      <w:r w:rsidR="00CE3B9E">
        <w:rPr>
          <w:sz w:val="22"/>
          <w:szCs w:val="22"/>
          <w:lang w:val="en-GB"/>
        </w:rPr>
        <w:t xml:space="preserve">an analysis </w:t>
      </w:r>
      <w:r w:rsidR="00517D94" w:rsidRPr="00682784">
        <w:rPr>
          <w:sz w:val="22"/>
          <w:szCs w:val="22"/>
          <w:lang w:val="en-GB"/>
        </w:rPr>
        <w:t>of its key strengths, weaknesses, o</w:t>
      </w:r>
      <w:r>
        <w:rPr>
          <w:sz w:val="22"/>
          <w:szCs w:val="22"/>
          <w:lang w:val="en-GB"/>
        </w:rPr>
        <w:t>pportunities and threats (SWOT)</w:t>
      </w:r>
      <w:r w:rsidR="00CD7658" w:rsidRPr="00682784">
        <w:rPr>
          <w:sz w:val="22"/>
          <w:szCs w:val="22"/>
          <w:lang w:val="en-GB"/>
        </w:rPr>
        <w:t xml:space="preserve"> which was developed </w:t>
      </w:r>
      <w:r w:rsidR="00D36B0F">
        <w:rPr>
          <w:sz w:val="22"/>
          <w:szCs w:val="22"/>
          <w:lang w:val="en-GB"/>
        </w:rPr>
        <w:t>from June to November</w:t>
      </w:r>
      <w:r w:rsidR="00517D94" w:rsidRPr="00682784">
        <w:rPr>
          <w:sz w:val="22"/>
          <w:szCs w:val="22"/>
          <w:lang w:val="en-GB"/>
        </w:rPr>
        <w:t xml:space="preserve"> 2013</w:t>
      </w:r>
      <w:r w:rsidR="00B7616F" w:rsidRPr="00682784">
        <w:rPr>
          <w:sz w:val="22"/>
          <w:szCs w:val="22"/>
          <w:lang w:val="en-GB"/>
        </w:rPr>
        <w:t>.</w:t>
      </w:r>
    </w:p>
    <w:p w:rsidR="00A1576D" w:rsidRPr="00682784" w:rsidRDefault="00A1576D" w:rsidP="00CD7658">
      <w:pPr>
        <w:widowControl w:val="0"/>
        <w:autoSpaceDE w:val="0"/>
        <w:autoSpaceDN w:val="0"/>
        <w:adjustRightInd w:val="0"/>
        <w:spacing w:before="120" w:after="0" w:line="252" w:lineRule="auto"/>
        <w:jc w:val="both"/>
        <w:rPr>
          <w:sz w:val="22"/>
          <w:szCs w:val="22"/>
          <w:lang w:val="en-GB"/>
        </w:rPr>
      </w:pPr>
      <w:r w:rsidRPr="00682784">
        <w:rPr>
          <w:sz w:val="22"/>
          <w:szCs w:val="22"/>
          <w:lang w:val="en-GB"/>
        </w:rPr>
        <w:t xml:space="preserve">The outcomes of </w:t>
      </w:r>
      <w:r w:rsidR="00A83FA5">
        <w:rPr>
          <w:sz w:val="22"/>
          <w:szCs w:val="22"/>
          <w:lang w:val="en-GB"/>
        </w:rPr>
        <w:t xml:space="preserve">the </w:t>
      </w:r>
      <w:r w:rsidRPr="00682784">
        <w:rPr>
          <w:sz w:val="22"/>
          <w:szCs w:val="22"/>
          <w:lang w:val="en-GB"/>
        </w:rPr>
        <w:t xml:space="preserve">past experience analysis combined with the results of the </w:t>
      </w:r>
      <w:r w:rsidR="00174B9B">
        <w:rPr>
          <w:sz w:val="22"/>
          <w:szCs w:val="22"/>
          <w:lang w:val="en-GB"/>
        </w:rPr>
        <w:t xml:space="preserve">socio economic and </w:t>
      </w:r>
      <w:r w:rsidRPr="00682784">
        <w:rPr>
          <w:sz w:val="22"/>
          <w:szCs w:val="22"/>
          <w:lang w:val="en-GB"/>
        </w:rPr>
        <w:t xml:space="preserve">SWOT analysis </w:t>
      </w:r>
      <w:r w:rsidR="00174B9B">
        <w:rPr>
          <w:sz w:val="22"/>
          <w:szCs w:val="22"/>
          <w:lang w:val="en-GB"/>
        </w:rPr>
        <w:t>resulted in the</w:t>
      </w:r>
      <w:r w:rsidRPr="00682784">
        <w:rPr>
          <w:sz w:val="22"/>
          <w:szCs w:val="22"/>
          <w:lang w:val="en-GB"/>
        </w:rPr>
        <w:t xml:space="preserve"> </w:t>
      </w:r>
      <w:r w:rsidR="00174B9B">
        <w:rPr>
          <w:sz w:val="22"/>
          <w:szCs w:val="22"/>
          <w:lang w:val="en-GB"/>
        </w:rPr>
        <w:t xml:space="preserve">reduction </w:t>
      </w:r>
      <w:r w:rsidRPr="00682784">
        <w:rPr>
          <w:sz w:val="22"/>
          <w:szCs w:val="22"/>
          <w:lang w:val="en-GB"/>
        </w:rPr>
        <w:t xml:space="preserve">of the </w:t>
      </w:r>
      <w:r w:rsidR="00174B9B">
        <w:rPr>
          <w:sz w:val="22"/>
          <w:szCs w:val="22"/>
          <w:lang w:val="en-GB"/>
        </w:rPr>
        <w:t xml:space="preserve">10 </w:t>
      </w:r>
      <w:r w:rsidRPr="00682784">
        <w:rPr>
          <w:sz w:val="22"/>
          <w:szCs w:val="22"/>
          <w:lang w:val="en-GB"/>
        </w:rPr>
        <w:t xml:space="preserve">thematic objectives </w:t>
      </w:r>
      <w:r w:rsidR="00174B9B">
        <w:rPr>
          <w:sz w:val="22"/>
          <w:szCs w:val="22"/>
          <w:lang w:val="en-GB"/>
        </w:rPr>
        <w:t>given in</w:t>
      </w:r>
      <w:r w:rsidRPr="00682784">
        <w:rPr>
          <w:sz w:val="22"/>
          <w:szCs w:val="22"/>
          <w:lang w:val="en-GB"/>
        </w:rPr>
        <w:t xml:space="preserve"> </w:t>
      </w:r>
      <w:r w:rsidR="00AF5F8E" w:rsidRPr="00682784">
        <w:rPr>
          <w:sz w:val="22"/>
          <w:szCs w:val="22"/>
          <w:lang w:val="en-GB"/>
        </w:rPr>
        <w:t xml:space="preserve">the </w:t>
      </w:r>
      <w:r w:rsidRPr="00682784">
        <w:rPr>
          <w:sz w:val="22"/>
          <w:szCs w:val="22"/>
          <w:lang w:val="en-GB"/>
        </w:rPr>
        <w:t>ENI CBC</w:t>
      </w:r>
      <w:r w:rsidR="003653AB" w:rsidRPr="00682784">
        <w:rPr>
          <w:sz w:val="22"/>
          <w:szCs w:val="22"/>
          <w:lang w:val="en-GB"/>
        </w:rPr>
        <w:t xml:space="preserve"> Programming </w:t>
      </w:r>
      <w:r w:rsidR="00174B9B">
        <w:rPr>
          <w:sz w:val="22"/>
          <w:szCs w:val="22"/>
          <w:lang w:val="en-GB"/>
        </w:rPr>
        <w:t>D</w:t>
      </w:r>
      <w:r w:rsidR="00B45EDB" w:rsidRPr="00682784">
        <w:rPr>
          <w:sz w:val="22"/>
          <w:szCs w:val="22"/>
          <w:lang w:val="en-GB"/>
        </w:rPr>
        <w:t>ocument</w:t>
      </w:r>
      <w:r w:rsidRPr="00682784">
        <w:rPr>
          <w:sz w:val="22"/>
          <w:szCs w:val="22"/>
          <w:lang w:val="en-GB"/>
        </w:rPr>
        <w:t xml:space="preserve"> to </w:t>
      </w:r>
      <w:r w:rsidR="000469F9">
        <w:rPr>
          <w:sz w:val="22"/>
          <w:szCs w:val="22"/>
          <w:lang w:val="en-GB"/>
        </w:rPr>
        <w:t xml:space="preserve">8 </w:t>
      </w:r>
      <w:r w:rsidR="000469F9" w:rsidRPr="000469F9">
        <w:rPr>
          <w:sz w:val="22"/>
          <w:szCs w:val="22"/>
          <w:lang w:val="en-GB"/>
        </w:rPr>
        <w:t>objectives, focused on a limited number of priorities, that</w:t>
      </w:r>
      <w:r w:rsidR="000469F9">
        <w:rPr>
          <w:sz w:val="22"/>
          <w:szCs w:val="22"/>
          <w:lang w:val="en-GB"/>
        </w:rPr>
        <w:t xml:space="preserve"> </w:t>
      </w:r>
      <w:r w:rsidR="000469F9" w:rsidRPr="000469F9">
        <w:rPr>
          <w:sz w:val="22"/>
          <w:szCs w:val="22"/>
          <w:lang w:val="en-GB"/>
        </w:rPr>
        <w:t>presented</w:t>
      </w:r>
      <w:r w:rsidR="000469F9">
        <w:rPr>
          <w:sz w:val="22"/>
          <w:szCs w:val="22"/>
          <w:lang w:val="en-GB"/>
        </w:rPr>
        <w:t xml:space="preserve"> </w:t>
      </w:r>
      <w:r w:rsidR="00174B9B">
        <w:rPr>
          <w:sz w:val="22"/>
          <w:szCs w:val="22"/>
          <w:lang w:val="en-GB"/>
        </w:rPr>
        <w:t>the</w:t>
      </w:r>
      <w:r w:rsidRPr="00682784">
        <w:rPr>
          <w:sz w:val="22"/>
          <w:szCs w:val="22"/>
          <w:lang w:val="en-GB"/>
        </w:rPr>
        <w:t xml:space="preserve"> most interesting potential for cooperation </w:t>
      </w:r>
      <w:r w:rsidRPr="00682784">
        <w:rPr>
          <w:sz w:val="22"/>
          <w:szCs w:val="22"/>
          <w:lang w:val="en-GB"/>
        </w:rPr>
        <w:lastRenderedPageBreak/>
        <w:t>within</w:t>
      </w:r>
      <w:r w:rsidR="00892111" w:rsidRPr="00682784">
        <w:rPr>
          <w:sz w:val="22"/>
          <w:szCs w:val="22"/>
          <w:lang w:val="en-GB"/>
        </w:rPr>
        <w:t xml:space="preserve"> the Black Sea Basin</w:t>
      </w:r>
      <w:r w:rsidR="00174B9B">
        <w:rPr>
          <w:sz w:val="22"/>
          <w:szCs w:val="22"/>
          <w:lang w:val="en-GB"/>
        </w:rPr>
        <w:t xml:space="preserve">. </w:t>
      </w:r>
      <w:r w:rsidR="00A83FA5">
        <w:rPr>
          <w:sz w:val="22"/>
          <w:szCs w:val="22"/>
          <w:lang w:val="en-GB"/>
        </w:rPr>
        <w:t>The</w:t>
      </w:r>
      <w:r w:rsidR="00174B9B">
        <w:rPr>
          <w:sz w:val="22"/>
          <w:szCs w:val="22"/>
          <w:lang w:val="en-GB"/>
        </w:rPr>
        <w:t xml:space="preserve"> </w:t>
      </w:r>
      <w:r w:rsidR="000469F9" w:rsidRPr="000469F9">
        <w:rPr>
          <w:sz w:val="22"/>
          <w:szCs w:val="22"/>
          <w:lang w:val="en-GB"/>
        </w:rPr>
        <w:t xml:space="preserve">proposed list of possible </w:t>
      </w:r>
      <w:r w:rsidR="00A83FA5">
        <w:rPr>
          <w:sz w:val="22"/>
          <w:szCs w:val="22"/>
          <w:lang w:val="en-GB"/>
        </w:rPr>
        <w:t xml:space="preserve">thematic objectives and related priorites </w:t>
      </w:r>
      <w:r w:rsidR="00174B9B">
        <w:rPr>
          <w:sz w:val="22"/>
          <w:szCs w:val="22"/>
          <w:lang w:val="en-GB"/>
        </w:rPr>
        <w:t>were</w:t>
      </w:r>
      <w:r w:rsidR="00892111" w:rsidRPr="00682784">
        <w:rPr>
          <w:sz w:val="22"/>
          <w:szCs w:val="22"/>
          <w:lang w:val="en-GB"/>
        </w:rPr>
        <w:t xml:space="preserve"> agreed </w:t>
      </w:r>
      <w:r w:rsidR="008D4573">
        <w:rPr>
          <w:sz w:val="22"/>
          <w:szCs w:val="22"/>
          <w:lang w:val="en-GB"/>
        </w:rPr>
        <w:t xml:space="preserve">for consultation </w:t>
      </w:r>
      <w:r w:rsidR="00174B9B">
        <w:rPr>
          <w:sz w:val="22"/>
          <w:szCs w:val="22"/>
          <w:lang w:val="en-GB"/>
        </w:rPr>
        <w:t>in</w:t>
      </w:r>
      <w:r w:rsidR="00276C8A" w:rsidRPr="00682784">
        <w:rPr>
          <w:sz w:val="22"/>
          <w:szCs w:val="22"/>
          <w:lang w:val="en-GB"/>
        </w:rPr>
        <w:t xml:space="preserve"> the 3</w:t>
      </w:r>
      <w:r w:rsidR="00276C8A" w:rsidRPr="00D94F42">
        <w:rPr>
          <w:sz w:val="22"/>
          <w:szCs w:val="22"/>
          <w:vertAlign w:val="superscript"/>
          <w:lang w:val="en-GB"/>
        </w:rPr>
        <w:t>rd</w:t>
      </w:r>
      <w:r w:rsidR="00276C8A" w:rsidRPr="00682784">
        <w:rPr>
          <w:sz w:val="22"/>
          <w:szCs w:val="22"/>
          <w:lang w:val="en-GB"/>
        </w:rPr>
        <w:t xml:space="preserve"> </w:t>
      </w:r>
      <w:r w:rsidR="00C46982" w:rsidRPr="00682784">
        <w:rPr>
          <w:sz w:val="22"/>
          <w:szCs w:val="22"/>
          <w:lang w:val="en-GB"/>
        </w:rPr>
        <w:t>Joint Programming Committee</w:t>
      </w:r>
      <w:r w:rsidR="00892111" w:rsidRPr="00682784">
        <w:rPr>
          <w:sz w:val="22"/>
          <w:szCs w:val="22"/>
          <w:lang w:val="en-GB"/>
        </w:rPr>
        <w:t xml:space="preserve"> meeting</w:t>
      </w:r>
      <w:r w:rsidR="00C46982" w:rsidRPr="00682784">
        <w:rPr>
          <w:sz w:val="22"/>
          <w:szCs w:val="22"/>
          <w:lang w:val="en-GB"/>
        </w:rPr>
        <w:t xml:space="preserve"> hel</w:t>
      </w:r>
      <w:r w:rsidR="009C3F8E" w:rsidRPr="00682784">
        <w:rPr>
          <w:sz w:val="22"/>
          <w:szCs w:val="22"/>
          <w:lang w:val="en-GB"/>
        </w:rPr>
        <w:t xml:space="preserve">d </w:t>
      </w:r>
      <w:r w:rsidR="00174B9B">
        <w:rPr>
          <w:sz w:val="22"/>
          <w:szCs w:val="22"/>
          <w:lang w:val="en-GB"/>
        </w:rPr>
        <w:t xml:space="preserve">in Kavala, Greece </w:t>
      </w:r>
      <w:r w:rsidR="009C3F8E" w:rsidRPr="00682784">
        <w:rPr>
          <w:sz w:val="22"/>
          <w:szCs w:val="22"/>
          <w:lang w:val="en-GB"/>
        </w:rPr>
        <w:t>on 15 November 2013</w:t>
      </w:r>
      <w:r w:rsidR="00BF7B39">
        <w:rPr>
          <w:sz w:val="22"/>
          <w:szCs w:val="22"/>
          <w:lang w:val="en-GB"/>
        </w:rPr>
        <w:t>.</w:t>
      </w:r>
      <w:r w:rsidRPr="00682784">
        <w:rPr>
          <w:sz w:val="22"/>
          <w:szCs w:val="22"/>
          <w:lang w:val="en-GB"/>
        </w:rPr>
        <w:t xml:space="preserve"> </w:t>
      </w:r>
    </w:p>
    <w:p w:rsidR="00517D94" w:rsidRPr="00682784" w:rsidRDefault="005967BB" w:rsidP="001D55E0">
      <w:pPr>
        <w:widowControl w:val="0"/>
        <w:autoSpaceDE w:val="0"/>
        <w:autoSpaceDN w:val="0"/>
        <w:adjustRightInd w:val="0"/>
        <w:spacing w:before="120" w:after="0" w:line="252" w:lineRule="auto"/>
        <w:jc w:val="both"/>
        <w:rPr>
          <w:sz w:val="22"/>
          <w:szCs w:val="22"/>
          <w:lang w:val="en-GB"/>
        </w:rPr>
      </w:pPr>
      <w:r w:rsidRPr="00682784">
        <w:rPr>
          <w:sz w:val="22"/>
          <w:szCs w:val="22"/>
          <w:lang w:val="en-GB"/>
        </w:rPr>
        <w:t>Programme s</w:t>
      </w:r>
      <w:r w:rsidR="00517D94" w:rsidRPr="00682784">
        <w:rPr>
          <w:sz w:val="22"/>
          <w:szCs w:val="22"/>
          <w:lang w:val="en-GB"/>
        </w:rPr>
        <w:t xml:space="preserve">takeholders </w:t>
      </w:r>
      <w:r w:rsidRPr="00682784">
        <w:rPr>
          <w:sz w:val="22"/>
          <w:szCs w:val="22"/>
          <w:lang w:val="en-GB"/>
        </w:rPr>
        <w:t>were widely consulted in order to vali</w:t>
      </w:r>
      <w:r w:rsidR="00517D94" w:rsidRPr="00682784">
        <w:rPr>
          <w:sz w:val="22"/>
          <w:szCs w:val="22"/>
          <w:lang w:val="en-GB"/>
        </w:rPr>
        <w:t xml:space="preserve">date the SWOT and </w:t>
      </w:r>
      <w:r w:rsidR="00B90714">
        <w:rPr>
          <w:sz w:val="22"/>
          <w:szCs w:val="22"/>
          <w:lang w:val="en-GB"/>
        </w:rPr>
        <w:t>give input</w:t>
      </w:r>
      <w:r w:rsidR="00B90714" w:rsidRPr="00682784">
        <w:rPr>
          <w:sz w:val="22"/>
          <w:szCs w:val="22"/>
          <w:lang w:val="en-GB"/>
        </w:rPr>
        <w:t xml:space="preserve"> </w:t>
      </w:r>
      <w:r w:rsidR="00517D94" w:rsidRPr="00682784">
        <w:rPr>
          <w:sz w:val="22"/>
          <w:szCs w:val="22"/>
          <w:lang w:val="en-GB"/>
        </w:rPr>
        <w:t xml:space="preserve">on </w:t>
      </w:r>
      <w:r w:rsidR="008D4573">
        <w:rPr>
          <w:sz w:val="22"/>
          <w:szCs w:val="22"/>
          <w:lang w:val="en-GB"/>
        </w:rPr>
        <w:t xml:space="preserve">the </w:t>
      </w:r>
      <w:r w:rsidR="00517D94" w:rsidRPr="00682784">
        <w:rPr>
          <w:sz w:val="22"/>
          <w:szCs w:val="22"/>
          <w:lang w:val="en-GB"/>
        </w:rPr>
        <w:t xml:space="preserve">possible </w:t>
      </w:r>
      <w:r w:rsidR="001D55E0" w:rsidRPr="00682784">
        <w:rPr>
          <w:sz w:val="22"/>
          <w:szCs w:val="22"/>
          <w:lang w:val="en-GB"/>
        </w:rPr>
        <w:t>programme priorities</w:t>
      </w:r>
      <w:r w:rsidR="00174B9B">
        <w:rPr>
          <w:sz w:val="22"/>
          <w:szCs w:val="22"/>
          <w:lang w:val="en-GB"/>
        </w:rPr>
        <w:t>.</w:t>
      </w:r>
      <w:r w:rsidR="00BF7B39">
        <w:rPr>
          <w:sz w:val="22"/>
          <w:szCs w:val="22"/>
          <w:lang w:val="en-GB"/>
        </w:rPr>
        <w:t xml:space="preserve"> </w:t>
      </w:r>
      <w:r w:rsidR="00B90714">
        <w:rPr>
          <w:sz w:val="22"/>
          <w:szCs w:val="22"/>
          <w:lang w:val="en-GB"/>
        </w:rPr>
        <w:t>Consultations included</w:t>
      </w:r>
      <w:r w:rsidR="001D55E0" w:rsidRPr="00682784">
        <w:rPr>
          <w:sz w:val="22"/>
          <w:szCs w:val="22"/>
          <w:lang w:val="en-GB"/>
        </w:rPr>
        <w:t>:</w:t>
      </w:r>
    </w:p>
    <w:p w:rsidR="00C053B0" w:rsidRPr="001D55E0" w:rsidRDefault="00B90714" w:rsidP="001D55E0">
      <w:pPr>
        <w:pStyle w:val="ListParagraph"/>
        <w:numPr>
          <w:ilvl w:val="0"/>
          <w:numId w:val="70"/>
        </w:numPr>
        <w:spacing w:before="60" w:after="0" w:line="252" w:lineRule="auto"/>
        <w:ind w:left="1071" w:hanging="357"/>
        <w:jc w:val="both"/>
        <w:rPr>
          <w:sz w:val="22"/>
          <w:szCs w:val="22"/>
          <w:lang w:val="en-GB"/>
        </w:rPr>
      </w:pPr>
      <w:r>
        <w:rPr>
          <w:sz w:val="22"/>
          <w:szCs w:val="22"/>
          <w:lang w:val="en-GB"/>
        </w:rPr>
        <w:t>An international regional level consultation d</w:t>
      </w:r>
      <w:r w:rsidR="00C053B0" w:rsidRPr="001D55E0">
        <w:rPr>
          <w:sz w:val="22"/>
          <w:szCs w:val="22"/>
          <w:lang w:val="en-GB"/>
        </w:rPr>
        <w:t xml:space="preserve">uring the Black Sea Basin </w:t>
      </w:r>
      <w:r w:rsidR="006860AD">
        <w:rPr>
          <w:sz w:val="22"/>
          <w:szCs w:val="22"/>
          <w:lang w:val="en-GB"/>
        </w:rPr>
        <w:t xml:space="preserve">ENPI CBC </w:t>
      </w:r>
      <w:r w:rsidR="00C053B0" w:rsidRPr="001D55E0">
        <w:rPr>
          <w:sz w:val="22"/>
          <w:szCs w:val="22"/>
          <w:lang w:val="en-GB"/>
        </w:rPr>
        <w:t xml:space="preserve">programme </w:t>
      </w:r>
      <w:r w:rsidR="006860AD">
        <w:rPr>
          <w:sz w:val="22"/>
          <w:szCs w:val="22"/>
          <w:lang w:val="en-GB"/>
        </w:rPr>
        <w:t xml:space="preserve">2007-2013 </w:t>
      </w:r>
      <w:r w:rsidR="00C053B0" w:rsidRPr="001D55E0">
        <w:rPr>
          <w:sz w:val="22"/>
          <w:szCs w:val="22"/>
          <w:lang w:val="en-GB"/>
        </w:rPr>
        <w:t>annual conference held in Istanbul, Turkey on 5 December 2013</w:t>
      </w:r>
      <w:r w:rsidR="00F556BA">
        <w:rPr>
          <w:sz w:val="22"/>
          <w:szCs w:val="22"/>
          <w:lang w:val="en-GB"/>
        </w:rPr>
        <w:t xml:space="preserve"> (including</w:t>
      </w:r>
      <w:r w:rsidR="00C053B0" w:rsidRPr="001D55E0">
        <w:rPr>
          <w:sz w:val="22"/>
          <w:szCs w:val="22"/>
          <w:lang w:val="en-GB"/>
        </w:rPr>
        <w:t xml:space="preserve"> representatives of national, regional and local authorities</w:t>
      </w:r>
      <w:r w:rsidR="00BF7B39">
        <w:rPr>
          <w:sz w:val="22"/>
          <w:szCs w:val="22"/>
          <w:lang w:val="en-GB"/>
        </w:rPr>
        <w:t xml:space="preserve"> and NGOs, researchers and academics,</w:t>
      </w:r>
      <w:r w:rsidR="00C053B0" w:rsidRPr="001D55E0">
        <w:rPr>
          <w:sz w:val="22"/>
          <w:szCs w:val="22"/>
          <w:lang w:val="en-GB"/>
        </w:rPr>
        <w:t xml:space="preserve"> </w:t>
      </w:r>
      <w:r w:rsidR="00BF7B39">
        <w:rPr>
          <w:sz w:val="22"/>
          <w:szCs w:val="22"/>
          <w:lang w:val="en-GB"/>
        </w:rPr>
        <w:t>and</w:t>
      </w:r>
      <w:r w:rsidR="00C053B0" w:rsidRPr="001D55E0">
        <w:rPr>
          <w:sz w:val="22"/>
          <w:szCs w:val="22"/>
          <w:lang w:val="en-GB"/>
        </w:rPr>
        <w:t xml:space="preserve"> other stakeholders act</w:t>
      </w:r>
      <w:r w:rsidR="00F556BA">
        <w:rPr>
          <w:sz w:val="22"/>
          <w:szCs w:val="22"/>
          <w:lang w:val="en-GB"/>
        </w:rPr>
        <w:t>ive in the Black Sea Basin area)</w:t>
      </w:r>
      <w:r w:rsidR="00626240">
        <w:rPr>
          <w:sz w:val="22"/>
          <w:szCs w:val="22"/>
          <w:lang w:val="en-GB"/>
        </w:rPr>
        <w:t>.</w:t>
      </w:r>
    </w:p>
    <w:p w:rsidR="00C053B0" w:rsidRPr="001D55E0" w:rsidRDefault="00B90714" w:rsidP="00A10382">
      <w:pPr>
        <w:pStyle w:val="ListParagraph"/>
        <w:numPr>
          <w:ilvl w:val="0"/>
          <w:numId w:val="70"/>
        </w:numPr>
        <w:spacing w:before="60" w:after="0" w:line="252" w:lineRule="auto"/>
        <w:jc w:val="both"/>
        <w:rPr>
          <w:sz w:val="22"/>
          <w:szCs w:val="22"/>
          <w:lang w:val="en-GB"/>
        </w:rPr>
      </w:pPr>
      <w:r>
        <w:rPr>
          <w:sz w:val="22"/>
          <w:szCs w:val="22"/>
          <w:lang w:val="en-GB"/>
        </w:rPr>
        <w:t xml:space="preserve">National </w:t>
      </w:r>
      <w:r w:rsidR="00C053B0" w:rsidRPr="001D55E0">
        <w:rPr>
          <w:sz w:val="22"/>
          <w:szCs w:val="22"/>
          <w:lang w:val="en-GB"/>
        </w:rPr>
        <w:t xml:space="preserve">stakeholder consultations (events and/or written consultations) in </w:t>
      </w:r>
      <w:r>
        <w:rPr>
          <w:sz w:val="22"/>
          <w:szCs w:val="22"/>
          <w:lang w:val="en-GB"/>
        </w:rPr>
        <w:t xml:space="preserve">participating </w:t>
      </w:r>
      <w:r w:rsidR="00C053B0" w:rsidRPr="001D55E0">
        <w:rPr>
          <w:sz w:val="22"/>
          <w:szCs w:val="22"/>
          <w:lang w:val="en-GB"/>
        </w:rPr>
        <w:t>countries</w:t>
      </w:r>
      <w:r w:rsidRPr="001D55E0">
        <w:rPr>
          <w:rStyle w:val="FootnoteReference"/>
          <w:sz w:val="22"/>
          <w:szCs w:val="22"/>
          <w:lang w:val="en-GB"/>
        </w:rPr>
        <w:footnoteReference w:id="4"/>
      </w:r>
      <w:r w:rsidR="00C05325">
        <w:rPr>
          <w:sz w:val="22"/>
          <w:szCs w:val="22"/>
          <w:lang w:val="en-GB"/>
        </w:rPr>
        <w:t xml:space="preserve"> from </w:t>
      </w:r>
      <w:r w:rsidR="00BF7B39">
        <w:rPr>
          <w:sz w:val="22"/>
          <w:szCs w:val="22"/>
          <w:lang w:val="en-GB"/>
        </w:rPr>
        <w:t>November</w:t>
      </w:r>
      <w:r w:rsidR="00C05325">
        <w:rPr>
          <w:sz w:val="22"/>
          <w:szCs w:val="22"/>
          <w:lang w:val="en-GB"/>
        </w:rPr>
        <w:t xml:space="preserve"> 2013</w:t>
      </w:r>
      <w:r w:rsidR="00BF7B39">
        <w:rPr>
          <w:sz w:val="22"/>
          <w:szCs w:val="22"/>
          <w:lang w:val="en-GB"/>
        </w:rPr>
        <w:t xml:space="preserve"> to </w:t>
      </w:r>
      <w:r w:rsidR="00C05325">
        <w:rPr>
          <w:sz w:val="22"/>
          <w:szCs w:val="22"/>
          <w:lang w:val="en-GB"/>
        </w:rPr>
        <w:t>March 2014</w:t>
      </w:r>
      <w:r w:rsidR="00C053B0" w:rsidRPr="001D55E0">
        <w:rPr>
          <w:sz w:val="22"/>
          <w:szCs w:val="22"/>
          <w:lang w:val="en-GB"/>
        </w:rPr>
        <w:t xml:space="preserve">. </w:t>
      </w:r>
      <w:r>
        <w:rPr>
          <w:sz w:val="22"/>
          <w:szCs w:val="22"/>
          <w:lang w:val="en-GB"/>
        </w:rPr>
        <w:t>Consultations were held at b</w:t>
      </w:r>
      <w:r w:rsidR="00C053B0" w:rsidRPr="001D55E0">
        <w:rPr>
          <w:sz w:val="22"/>
          <w:szCs w:val="22"/>
          <w:lang w:val="en-GB"/>
        </w:rPr>
        <w:t>oth national and regional levels to allow consistency with national/regional strategies as well as to include the views of the actors on the ground.</w:t>
      </w:r>
      <w:r w:rsidR="00441A4F" w:rsidRPr="00956AE9">
        <w:rPr>
          <w:lang w:val="en-GB"/>
        </w:rPr>
        <w:t xml:space="preserve"> </w:t>
      </w:r>
    </w:p>
    <w:p w:rsidR="00C053B0" w:rsidRPr="001D55E0" w:rsidRDefault="00D05DEA" w:rsidP="00D07DA4">
      <w:pPr>
        <w:pStyle w:val="ListParagraph"/>
        <w:numPr>
          <w:ilvl w:val="0"/>
          <w:numId w:val="70"/>
        </w:numPr>
        <w:spacing w:before="60" w:after="120" w:line="252" w:lineRule="auto"/>
        <w:ind w:left="1071" w:hanging="357"/>
        <w:jc w:val="both"/>
        <w:rPr>
          <w:sz w:val="22"/>
          <w:szCs w:val="22"/>
          <w:lang w:val="en-GB"/>
        </w:rPr>
      </w:pPr>
      <w:r>
        <w:rPr>
          <w:sz w:val="22"/>
          <w:szCs w:val="22"/>
          <w:lang w:val="en-GB"/>
        </w:rPr>
        <w:t>O</w:t>
      </w:r>
      <w:r w:rsidR="00C053B0" w:rsidRPr="001D55E0">
        <w:rPr>
          <w:sz w:val="22"/>
          <w:szCs w:val="22"/>
          <w:lang w:val="en-GB"/>
        </w:rPr>
        <w:t>pen public consultation</w:t>
      </w:r>
      <w:r w:rsidR="00B90714">
        <w:rPr>
          <w:sz w:val="22"/>
          <w:szCs w:val="22"/>
          <w:lang w:val="en-GB"/>
        </w:rPr>
        <w:t>s</w:t>
      </w:r>
      <w:r w:rsidR="00C053B0" w:rsidRPr="001D55E0">
        <w:rPr>
          <w:sz w:val="22"/>
          <w:szCs w:val="22"/>
          <w:lang w:val="en-GB"/>
        </w:rPr>
        <w:t xml:space="preserve"> </w:t>
      </w:r>
      <w:r w:rsidR="00BF7B39">
        <w:rPr>
          <w:sz w:val="22"/>
          <w:szCs w:val="22"/>
          <w:lang w:val="en-GB"/>
        </w:rPr>
        <w:t>via</w:t>
      </w:r>
      <w:r w:rsidR="00C053B0" w:rsidRPr="001D55E0">
        <w:rPr>
          <w:sz w:val="22"/>
          <w:szCs w:val="22"/>
          <w:lang w:val="en-GB"/>
        </w:rPr>
        <w:t xml:space="preserve"> the website of the current programme </w:t>
      </w:r>
      <w:r w:rsidR="00344254">
        <w:rPr>
          <w:sz w:val="22"/>
          <w:szCs w:val="22"/>
          <w:lang w:val="en-GB"/>
        </w:rPr>
        <w:t>(</w:t>
      </w:r>
      <w:r w:rsidR="00870AA5">
        <w:rPr>
          <w:sz w:val="22"/>
          <w:szCs w:val="22"/>
          <w:lang w:val="en-GB"/>
        </w:rPr>
        <w:t>initiated</w:t>
      </w:r>
      <w:r w:rsidR="00CE72BB">
        <w:rPr>
          <w:sz w:val="22"/>
          <w:szCs w:val="22"/>
          <w:lang w:val="en-GB"/>
        </w:rPr>
        <w:t xml:space="preserve"> in</w:t>
      </w:r>
      <w:r w:rsidR="00344254">
        <w:rPr>
          <w:sz w:val="22"/>
          <w:szCs w:val="22"/>
          <w:lang w:val="en-GB"/>
        </w:rPr>
        <w:t xml:space="preserve"> </w:t>
      </w:r>
      <w:r w:rsidR="00441A4F">
        <w:rPr>
          <w:sz w:val="22"/>
          <w:szCs w:val="22"/>
          <w:lang w:val="en-GB"/>
        </w:rPr>
        <w:t>December 2013</w:t>
      </w:r>
      <w:r w:rsidR="00344254">
        <w:rPr>
          <w:sz w:val="22"/>
          <w:szCs w:val="22"/>
          <w:lang w:val="en-GB"/>
        </w:rPr>
        <w:t xml:space="preserve">) </w:t>
      </w:r>
      <w:r w:rsidR="00C053B0" w:rsidRPr="001D55E0">
        <w:rPr>
          <w:sz w:val="22"/>
          <w:szCs w:val="22"/>
          <w:lang w:val="en-GB"/>
        </w:rPr>
        <w:t>and some national websites</w:t>
      </w:r>
      <w:r w:rsidR="009C1780">
        <w:rPr>
          <w:sz w:val="22"/>
          <w:szCs w:val="22"/>
          <w:lang w:val="en-GB"/>
        </w:rPr>
        <w:t>.</w:t>
      </w:r>
      <w:r w:rsidR="00C053B0" w:rsidRPr="001D55E0">
        <w:rPr>
          <w:sz w:val="22"/>
          <w:szCs w:val="22"/>
          <w:lang w:val="en-GB"/>
        </w:rPr>
        <w:t xml:space="preserve"> </w:t>
      </w:r>
    </w:p>
    <w:p w:rsidR="006D640F" w:rsidRDefault="00276C8A" w:rsidP="004D2A32">
      <w:pPr>
        <w:spacing w:before="120" w:after="0" w:line="21" w:lineRule="atLeast"/>
        <w:jc w:val="both"/>
        <w:rPr>
          <w:rFonts w:eastAsia="Times New Roman"/>
          <w:sz w:val="22"/>
          <w:szCs w:val="22"/>
          <w:lang w:val="en-GB"/>
        </w:rPr>
      </w:pPr>
      <w:r w:rsidRPr="007620DA">
        <w:rPr>
          <w:rFonts w:eastAsia="Times New Roman"/>
          <w:sz w:val="22"/>
          <w:szCs w:val="22"/>
          <w:lang w:val="en-GB"/>
        </w:rPr>
        <w:t xml:space="preserve">The </w:t>
      </w:r>
      <w:r>
        <w:rPr>
          <w:rFonts w:eastAsia="Times New Roman"/>
          <w:sz w:val="22"/>
          <w:szCs w:val="22"/>
          <w:lang w:val="en-GB"/>
        </w:rPr>
        <w:t>B</w:t>
      </w:r>
      <w:r w:rsidR="00FA7FDF">
        <w:rPr>
          <w:rFonts w:eastAsia="Times New Roman"/>
          <w:sz w:val="22"/>
          <w:szCs w:val="22"/>
          <w:lang w:val="en-GB"/>
        </w:rPr>
        <w:t xml:space="preserve">lack </w:t>
      </w:r>
      <w:r>
        <w:rPr>
          <w:rFonts w:eastAsia="Times New Roman"/>
          <w:sz w:val="22"/>
          <w:szCs w:val="22"/>
          <w:lang w:val="en-GB"/>
        </w:rPr>
        <w:t>S</w:t>
      </w:r>
      <w:r w:rsidR="00FA7FDF">
        <w:rPr>
          <w:rFonts w:eastAsia="Times New Roman"/>
          <w:sz w:val="22"/>
          <w:szCs w:val="22"/>
          <w:lang w:val="en-GB"/>
        </w:rPr>
        <w:t xml:space="preserve">ea </w:t>
      </w:r>
      <w:r>
        <w:rPr>
          <w:rFonts w:eastAsia="Times New Roman"/>
          <w:sz w:val="22"/>
          <w:szCs w:val="22"/>
          <w:lang w:val="en-GB"/>
        </w:rPr>
        <w:t>B</w:t>
      </w:r>
      <w:r w:rsidR="00FA7FDF">
        <w:rPr>
          <w:rFonts w:eastAsia="Times New Roman"/>
          <w:sz w:val="22"/>
          <w:szCs w:val="22"/>
          <w:lang w:val="en-GB"/>
        </w:rPr>
        <w:t>asin</w:t>
      </w:r>
      <w:r>
        <w:rPr>
          <w:rFonts w:eastAsia="Times New Roman"/>
          <w:sz w:val="22"/>
          <w:szCs w:val="22"/>
          <w:lang w:val="en-GB"/>
        </w:rPr>
        <w:t xml:space="preserve"> </w:t>
      </w:r>
      <w:r w:rsidRPr="007620DA">
        <w:rPr>
          <w:rFonts w:eastAsia="Times New Roman"/>
          <w:sz w:val="22"/>
          <w:szCs w:val="22"/>
          <w:lang w:val="en-GB"/>
        </w:rPr>
        <w:t>pro</w:t>
      </w:r>
      <w:r>
        <w:rPr>
          <w:rFonts w:eastAsia="Times New Roman"/>
          <w:sz w:val="22"/>
          <w:szCs w:val="22"/>
          <w:lang w:val="en-GB"/>
        </w:rPr>
        <w:t xml:space="preserve">gramme strategy </w:t>
      </w:r>
      <w:r w:rsidR="00B90714">
        <w:rPr>
          <w:rFonts w:eastAsia="Times New Roman"/>
          <w:sz w:val="22"/>
          <w:szCs w:val="22"/>
          <w:lang w:val="en-GB"/>
        </w:rPr>
        <w:t>also takes into account relevant</w:t>
      </w:r>
      <w:r>
        <w:rPr>
          <w:rFonts w:eastAsia="Times New Roman"/>
          <w:sz w:val="22"/>
          <w:szCs w:val="22"/>
          <w:lang w:val="en-GB"/>
        </w:rPr>
        <w:t xml:space="preserve"> EU strategies and policies (including </w:t>
      </w:r>
      <w:r w:rsidR="00B90714">
        <w:rPr>
          <w:rFonts w:eastAsia="Times New Roman"/>
          <w:sz w:val="22"/>
          <w:szCs w:val="22"/>
          <w:lang w:val="en-GB"/>
        </w:rPr>
        <w:t xml:space="preserve">the </w:t>
      </w:r>
      <w:r>
        <w:rPr>
          <w:rFonts w:eastAsia="Times New Roman"/>
          <w:sz w:val="22"/>
          <w:szCs w:val="22"/>
          <w:lang w:val="en-GB"/>
        </w:rPr>
        <w:t xml:space="preserve">Blue Growth strategy, etc.) to ensure </w:t>
      </w:r>
      <w:r w:rsidR="00BF7B39">
        <w:rPr>
          <w:rFonts w:eastAsia="Times New Roman"/>
          <w:sz w:val="22"/>
          <w:szCs w:val="22"/>
          <w:lang w:val="en-GB"/>
        </w:rPr>
        <w:t xml:space="preserve">the </w:t>
      </w:r>
      <w:r>
        <w:rPr>
          <w:rFonts w:eastAsia="Times New Roman"/>
          <w:sz w:val="22"/>
          <w:szCs w:val="22"/>
          <w:lang w:val="en-GB"/>
        </w:rPr>
        <w:t xml:space="preserve">coherence of programme support with existing EU strategic frameworks. A consistency analysis with relevant EU programmes </w:t>
      </w:r>
      <w:r w:rsidR="00B90714">
        <w:rPr>
          <w:rFonts w:eastAsia="Times New Roman"/>
          <w:sz w:val="22"/>
          <w:szCs w:val="22"/>
          <w:lang w:val="en-GB"/>
        </w:rPr>
        <w:t>was</w:t>
      </w:r>
      <w:r>
        <w:rPr>
          <w:rFonts w:eastAsia="Times New Roman"/>
          <w:sz w:val="22"/>
          <w:szCs w:val="22"/>
          <w:lang w:val="en-GB"/>
        </w:rPr>
        <w:t xml:space="preserve"> carried out so that the defined B</w:t>
      </w:r>
      <w:r w:rsidR="00FA7FDF">
        <w:rPr>
          <w:rFonts w:eastAsia="Times New Roman"/>
          <w:sz w:val="22"/>
          <w:szCs w:val="22"/>
          <w:lang w:val="en-GB"/>
        </w:rPr>
        <w:t xml:space="preserve">lack </w:t>
      </w:r>
      <w:r>
        <w:rPr>
          <w:rFonts w:eastAsia="Times New Roman"/>
          <w:sz w:val="22"/>
          <w:szCs w:val="22"/>
          <w:lang w:val="en-GB"/>
        </w:rPr>
        <w:t>S</w:t>
      </w:r>
      <w:r w:rsidR="00FA7FDF">
        <w:rPr>
          <w:rFonts w:eastAsia="Times New Roman"/>
          <w:sz w:val="22"/>
          <w:szCs w:val="22"/>
          <w:lang w:val="en-GB"/>
        </w:rPr>
        <w:t xml:space="preserve">ea </w:t>
      </w:r>
      <w:r>
        <w:rPr>
          <w:rFonts w:eastAsia="Times New Roman"/>
          <w:sz w:val="22"/>
          <w:szCs w:val="22"/>
          <w:lang w:val="en-GB"/>
        </w:rPr>
        <w:t>B</w:t>
      </w:r>
      <w:r w:rsidR="00FA7FDF">
        <w:rPr>
          <w:rFonts w:eastAsia="Times New Roman"/>
          <w:sz w:val="22"/>
          <w:szCs w:val="22"/>
          <w:lang w:val="en-GB"/>
        </w:rPr>
        <w:t>asin</w:t>
      </w:r>
      <w:r>
        <w:rPr>
          <w:rFonts w:eastAsia="Times New Roman"/>
          <w:sz w:val="22"/>
          <w:szCs w:val="22"/>
          <w:lang w:val="en-GB"/>
        </w:rPr>
        <w:t xml:space="preserve"> objectives and priorities </w:t>
      </w:r>
      <w:r w:rsidR="00B90714">
        <w:rPr>
          <w:rFonts w:eastAsia="Times New Roman"/>
          <w:sz w:val="22"/>
          <w:szCs w:val="22"/>
          <w:lang w:val="en-GB"/>
        </w:rPr>
        <w:t xml:space="preserve">would </w:t>
      </w:r>
      <w:r>
        <w:rPr>
          <w:rFonts w:eastAsia="Times New Roman"/>
          <w:sz w:val="22"/>
          <w:szCs w:val="22"/>
          <w:lang w:val="en-GB"/>
        </w:rPr>
        <w:t xml:space="preserve">deliver </w:t>
      </w:r>
      <w:r w:rsidRPr="007620DA">
        <w:rPr>
          <w:rFonts w:eastAsia="Times New Roman"/>
          <w:sz w:val="22"/>
          <w:szCs w:val="22"/>
          <w:lang w:val="en-GB"/>
        </w:rPr>
        <w:t>real cross-border added va</w:t>
      </w:r>
      <w:r>
        <w:rPr>
          <w:rFonts w:eastAsia="Times New Roman"/>
          <w:sz w:val="22"/>
          <w:szCs w:val="22"/>
          <w:lang w:val="en-GB"/>
        </w:rPr>
        <w:t xml:space="preserve">lue and </w:t>
      </w:r>
      <w:r w:rsidR="00B90714">
        <w:rPr>
          <w:rFonts w:eastAsia="Times New Roman"/>
          <w:sz w:val="22"/>
          <w:szCs w:val="22"/>
          <w:lang w:val="en-GB"/>
        </w:rPr>
        <w:t xml:space="preserve">would </w:t>
      </w:r>
      <w:r>
        <w:rPr>
          <w:rFonts w:eastAsia="Times New Roman"/>
          <w:sz w:val="22"/>
          <w:szCs w:val="22"/>
          <w:lang w:val="en-GB"/>
        </w:rPr>
        <w:t xml:space="preserve">not cover elements </w:t>
      </w:r>
      <w:r w:rsidRPr="007620DA">
        <w:rPr>
          <w:rFonts w:eastAsia="Times New Roman"/>
          <w:sz w:val="22"/>
          <w:szCs w:val="22"/>
          <w:lang w:val="en-GB"/>
        </w:rPr>
        <w:t>already funded</w:t>
      </w:r>
      <w:r w:rsidR="008D4573">
        <w:rPr>
          <w:rFonts w:eastAsia="Times New Roman"/>
          <w:sz w:val="22"/>
          <w:szCs w:val="22"/>
          <w:lang w:val="en-GB"/>
        </w:rPr>
        <w:t>,</w:t>
      </w:r>
      <w:r w:rsidRPr="007620DA">
        <w:rPr>
          <w:rFonts w:eastAsia="Times New Roman"/>
          <w:sz w:val="22"/>
          <w:szCs w:val="22"/>
          <w:lang w:val="en-GB"/>
        </w:rPr>
        <w:t xml:space="preserve"> or </w:t>
      </w:r>
      <w:r w:rsidR="000469F9">
        <w:rPr>
          <w:rFonts w:eastAsia="Times New Roman"/>
          <w:sz w:val="22"/>
          <w:szCs w:val="22"/>
          <w:lang w:val="en-GB"/>
        </w:rPr>
        <w:t xml:space="preserve">which </w:t>
      </w:r>
      <w:r w:rsidRPr="007620DA">
        <w:rPr>
          <w:rFonts w:eastAsia="Times New Roman"/>
          <w:sz w:val="22"/>
          <w:szCs w:val="22"/>
          <w:lang w:val="en-GB"/>
        </w:rPr>
        <w:t xml:space="preserve">could </w:t>
      </w:r>
      <w:r w:rsidR="00B90714">
        <w:rPr>
          <w:rFonts w:eastAsia="Times New Roman"/>
          <w:sz w:val="22"/>
          <w:szCs w:val="22"/>
          <w:lang w:val="en-GB"/>
        </w:rPr>
        <w:t xml:space="preserve">be </w:t>
      </w:r>
      <w:r w:rsidRPr="007620DA">
        <w:rPr>
          <w:rFonts w:eastAsia="Times New Roman"/>
          <w:sz w:val="22"/>
          <w:szCs w:val="22"/>
          <w:lang w:val="en-GB"/>
        </w:rPr>
        <w:t>more suitably funded</w:t>
      </w:r>
      <w:r w:rsidR="008D4573">
        <w:rPr>
          <w:rFonts w:eastAsia="Times New Roman"/>
          <w:sz w:val="22"/>
          <w:szCs w:val="22"/>
          <w:lang w:val="en-GB"/>
        </w:rPr>
        <w:t>,</w:t>
      </w:r>
      <w:r w:rsidRPr="007620DA">
        <w:rPr>
          <w:rFonts w:eastAsia="Times New Roman"/>
          <w:sz w:val="22"/>
          <w:szCs w:val="22"/>
          <w:lang w:val="en-GB"/>
        </w:rPr>
        <w:t xml:space="preserve"> from other ENI or EU programmes</w:t>
      </w:r>
      <w:r>
        <w:rPr>
          <w:rFonts w:eastAsia="Times New Roman"/>
          <w:sz w:val="22"/>
          <w:szCs w:val="22"/>
          <w:lang w:val="en-GB"/>
        </w:rPr>
        <w:t xml:space="preserve">. </w:t>
      </w:r>
    </w:p>
    <w:p w:rsidR="008B683E" w:rsidRPr="004D2A32" w:rsidRDefault="00B90714" w:rsidP="004D2A32">
      <w:pPr>
        <w:spacing w:before="120" w:after="0" w:line="21" w:lineRule="atLeast"/>
        <w:jc w:val="both"/>
        <w:rPr>
          <w:rFonts w:eastAsia="Times New Roman"/>
          <w:sz w:val="22"/>
          <w:szCs w:val="22"/>
          <w:lang w:val="en-GB"/>
        </w:rPr>
      </w:pPr>
      <w:r>
        <w:rPr>
          <w:rFonts w:eastAsia="Times New Roman"/>
          <w:sz w:val="22"/>
          <w:szCs w:val="22"/>
          <w:lang w:val="en-GB"/>
        </w:rPr>
        <w:t>The o</w:t>
      </w:r>
      <w:r w:rsidR="00276C8A">
        <w:rPr>
          <w:rFonts w:eastAsia="Times New Roman"/>
          <w:sz w:val="22"/>
          <w:szCs w:val="22"/>
          <w:lang w:val="en-GB"/>
        </w:rPr>
        <w:t xml:space="preserve">utcomes of </w:t>
      </w:r>
      <w:r>
        <w:rPr>
          <w:rFonts w:eastAsia="Times New Roman"/>
          <w:sz w:val="22"/>
          <w:szCs w:val="22"/>
          <w:lang w:val="en-GB"/>
        </w:rPr>
        <w:t xml:space="preserve">the </w:t>
      </w:r>
      <w:r w:rsidR="00276C8A">
        <w:rPr>
          <w:rFonts w:eastAsia="Times New Roman"/>
          <w:sz w:val="22"/>
          <w:szCs w:val="22"/>
          <w:lang w:val="en-GB"/>
        </w:rPr>
        <w:t>stak</w:t>
      </w:r>
      <w:r w:rsidR="0003643B">
        <w:rPr>
          <w:rFonts w:eastAsia="Times New Roman"/>
          <w:sz w:val="22"/>
          <w:szCs w:val="22"/>
          <w:lang w:val="en-GB"/>
        </w:rPr>
        <w:t>eholder</w:t>
      </w:r>
      <w:r w:rsidR="00ED1EF5">
        <w:rPr>
          <w:rFonts w:eastAsia="Times New Roman"/>
          <w:sz w:val="22"/>
          <w:szCs w:val="22"/>
          <w:lang w:val="en-GB"/>
        </w:rPr>
        <w:t>s</w:t>
      </w:r>
      <w:r w:rsidR="003440BB">
        <w:rPr>
          <w:rFonts w:eastAsia="Times New Roman"/>
          <w:sz w:val="22"/>
          <w:szCs w:val="22"/>
          <w:lang w:val="en-GB"/>
        </w:rPr>
        <w:t>’</w:t>
      </w:r>
      <w:r w:rsidR="0003643B">
        <w:rPr>
          <w:rFonts w:eastAsia="Times New Roman"/>
          <w:sz w:val="22"/>
          <w:szCs w:val="22"/>
          <w:lang w:val="en-GB"/>
        </w:rPr>
        <w:t xml:space="preserve"> consultations </w:t>
      </w:r>
      <w:r w:rsidR="00276C8A">
        <w:rPr>
          <w:rFonts w:eastAsia="Times New Roman"/>
          <w:sz w:val="22"/>
          <w:szCs w:val="22"/>
          <w:lang w:val="en-GB"/>
        </w:rPr>
        <w:t xml:space="preserve">and the </w:t>
      </w:r>
      <w:r>
        <w:rPr>
          <w:rFonts w:eastAsia="Times New Roman"/>
          <w:sz w:val="22"/>
          <w:szCs w:val="22"/>
          <w:lang w:val="en-GB"/>
        </w:rPr>
        <w:t xml:space="preserve">coherence </w:t>
      </w:r>
      <w:r w:rsidR="00E66E8C">
        <w:rPr>
          <w:rFonts w:eastAsia="Times New Roman"/>
          <w:sz w:val="22"/>
          <w:szCs w:val="22"/>
          <w:lang w:val="en-GB"/>
        </w:rPr>
        <w:t xml:space="preserve">analysis </w:t>
      </w:r>
      <w:r w:rsidR="00276C8A">
        <w:rPr>
          <w:rFonts w:eastAsia="Times New Roman"/>
          <w:sz w:val="22"/>
          <w:szCs w:val="22"/>
          <w:lang w:val="en-GB"/>
        </w:rPr>
        <w:t>with other EU programmes were presented to the 4</w:t>
      </w:r>
      <w:r w:rsidR="00276C8A" w:rsidRPr="00276C8A">
        <w:rPr>
          <w:rFonts w:eastAsia="Times New Roman"/>
          <w:sz w:val="22"/>
          <w:szCs w:val="22"/>
          <w:vertAlign w:val="superscript"/>
          <w:lang w:val="en-GB"/>
        </w:rPr>
        <w:t>th</w:t>
      </w:r>
      <w:r w:rsidR="00276C8A">
        <w:rPr>
          <w:rFonts w:eastAsia="Times New Roman"/>
          <w:sz w:val="22"/>
          <w:szCs w:val="22"/>
          <w:lang w:val="en-GB"/>
        </w:rPr>
        <w:t xml:space="preserve"> Joint Programming Committee </w:t>
      </w:r>
      <w:r w:rsidR="002E4D6A">
        <w:rPr>
          <w:rFonts w:eastAsia="Times New Roman"/>
          <w:sz w:val="22"/>
          <w:szCs w:val="22"/>
          <w:lang w:val="en-GB"/>
        </w:rPr>
        <w:t xml:space="preserve">meeting held </w:t>
      </w:r>
      <w:r w:rsidR="00276C8A">
        <w:rPr>
          <w:rFonts w:eastAsia="Times New Roman"/>
          <w:sz w:val="22"/>
          <w:szCs w:val="22"/>
          <w:lang w:val="en-GB"/>
        </w:rPr>
        <w:t xml:space="preserve">in </w:t>
      </w:r>
      <w:r w:rsidR="006B5BEF" w:rsidRPr="006B5BEF">
        <w:rPr>
          <w:rFonts w:ascii="Times New Roman" w:eastAsia="Times New Roman" w:hAnsi="Times New Roman"/>
          <w:sz w:val="22"/>
          <w:szCs w:val="22"/>
          <w:lang w:val="en-GB"/>
        </w:rPr>
        <w:t>Ş</w:t>
      </w:r>
      <w:r w:rsidR="00C62B4C">
        <w:rPr>
          <w:rFonts w:eastAsia="Times New Roman"/>
          <w:sz w:val="22"/>
          <w:szCs w:val="22"/>
          <w:lang w:val="en-GB"/>
        </w:rPr>
        <w:t>ile</w:t>
      </w:r>
      <w:r>
        <w:rPr>
          <w:rFonts w:eastAsia="Times New Roman"/>
          <w:sz w:val="22"/>
          <w:szCs w:val="22"/>
          <w:lang w:val="en-GB"/>
        </w:rPr>
        <w:t xml:space="preserve">, </w:t>
      </w:r>
      <w:r w:rsidR="00276C8A">
        <w:rPr>
          <w:rFonts w:eastAsia="Times New Roman"/>
          <w:sz w:val="22"/>
          <w:szCs w:val="22"/>
          <w:lang w:val="en-GB"/>
        </w:rPr>
        <w:t>Turkey</w:t>
      </w:r>
      <w:r w:rsidR="00BF7B39">
        <w:rPr>
          <w:rFonts w:eastAsia="Times New Roman"/>
          <w:sz w:val="22"/>
          <w:szCs w:val="22"/>
          <w:lang w:val="en-GB"/>
        </w:rPr>
        <w:t xml:space="preserve"> </w:t>
      </w:r>
      <w:r>
        <w:rPr>
          <w:rFonts w:eastAsia="Times New Roman"/>
          <w:sz w:val="22"/>
          <w:szCs w:val="22"/>
          <w:lang w:val="en-GB"/>
        </w:rPr>
        <w:t>on 28 April 2014.</w:t>
      </w:r>
    </w:p>
    <w:p w:rsidR="00ED79E3" w:rsidRDefault="00ED79E3" w:rsidP="003D3A8B">
      <w:pPr>
        <w:spacing w:before="120" w:after="0" w:line="21" w:lineRule="atLeast"/>
        <w:jc w:val="both"/>
        <w:rPr>
          <w:rFonts w:eastAsia="Times New Roman"/>
          <w:sz w:val="22"/>
          <w:szCs w:val="22"/>
          <w:lang w:val="en-GB"/>
        </w:rPr>
      </w:pPr>
      <w:r>
        <w:rPr>
          <w:rFonts w:eastAsia="Times New Roman"/>
          <w:sz w:val="22"/>
          <w:szCs w:val="22"/>
          <w:lang w:val="en-GB"/>
        </w:rPr>
        <w:t>After due consideration of:</w:t>
      </w:r>
      <w:r w:rsidR="00BE6D0E" w:rsidRPr="002D3931">
        <w:rPr>
          <w:rFonts w:eastAsia="Times New Roman"/>
          <w:sz w:val="22"/>
          <w:szCs w:val="22"/>
          <w:lang w:val="en-GB"/>
        </w:rPr>
        <w:t xml:space="preserve"> </w:t>
      </w:r>
    </w:p>
    <w:p w:rsidR="00ED79E3" w:rsidRPr="003D3A8B" w:rsidRDefault="00AF5F8E" w:rsidP="003D3A8B">
      <w:pPr>
        <w:pStyle w:val="ListParagraph"/>
        <w:numPr>
          <w:ilvl w:val="0"/>
          <w:numId w:val="70"/>
        </w:numPr>
        <w:spacing w:after="0" w:line="21" w:lineRule="atLeast"/>
        <w:ind w:left="1071" w:hanging="357"/>
        <w:jc w:val="both"/>
        <w:rPr>
          <w:sz w:val="22"/>
          <w:szCs w:val="22"/>
          <w:lang w:val="en-GB"/>
        </w:rPr>
      </w:pPr>
      <w:r w:rsidRPr="003D3A8B">
        <w:rPr>
          <w:sz w:val="22"/>
          <w:szCs w:val="22"/>
          <w:lang w:val="en-GB"/>
        </w:rPr>
        <w:t xml:space="preserve">the wide geographical coverage and limited budget of the programme, </w:t>
      </w:r>
      <w:r w:rsidR="00871D66" w:rsidRPr="003D3A8B">
        <w:rPr>
          <w:sz w:val="22"/>
          <w:szCs w:val="22"/>
          <w:lang w:val="en-GB"/>
        </w:rPr>
        <w:t xml:space="preserve">and </w:t>
      </w:r>
      <w:r w:rsidR="00B90714">
        <w:rPr>
          <w:sz w:val="22"/>
          <w:szCs w:val="22"/>
          <w:lang w:val="en-GB"/>
        </w:rPr>
        <w:t>therefore</w:t>
      </w:r>
      <w:r w:rsidR="00B90714" w:rsidRPr="003D3A8B">
        <w:rPr>
          <w:sz w:val="22"/>
          <w:szCs w:val="22"/>
          <w:lang w:val="en-GB"/>
        </w:rPr>
        <w:t xml:space="preserve"> </w:t>
      </w:r>
      <w:r w:rsidRPr="003D3A8B">
        <w:rPr>
          <w:sz w:val="22"/>
          <w:szCs w:val="22"/>
          <w:lang w:val="en-GB"/>
        </w:rPr>
        <w:t>the need for the Black Sea Basin strategy to concentrate on a limited number of themes in which concrete results can be obtained</w:t>
      </w:r>
      <w:r w:rsidR="00ED79E3" w:rsidRPr="003D3A8B">
        <w:rPr>
          <w:sz w:val="22"/>
          <w:szCs w:val="22"/>
          <w:lang w:val="en-GB"/>
        </w:rPr>
        <w:t>,</w:t>
      </w:r>
      <w:r w:rsidR="003D3A8B">
        <w:rPr>
          <w:sz w:val="22"/>
          <w:szCs w:val="22"/>
          <w:lang w:val="en-GB"/>
        </w:rPr>
        <w:t xml:space="preserve"> and</w:t>
      </w:r>
    </w:p>
    <w:p w:rsidR="00ED79E3" w:rsidRPr="003D3A8B" w:rsidRDefault="00871D66" w:rsidP="003D3A8B">
      <w:pPr>
        <w:pStyle w:val="ListParagraph"/>
        <w:numPr>
          <w:ilvl w:val="0"/>
          <w:numId w:val="70"/>
        </w:numPr>
        <w:spacing w:after="0" w:line="21" w:lineRule="atLeast"/>
        <w:ind w:left="1071" w:hanging="357"/>
        <w:jc w:val="both"/>
        <w:rPr>
          <w:sz w:val="22"/>
          <w:szCs w:val="22"/>
          <w:lang w:val="en-GB"/>
        </w:rPr>
      </w:pPr>
      <w:r w:rsidRPr="003D3A8B">
        <w:rPr>
          <w:sz w:val="22"/>
          <w:szCs w:val="22"/>
          <w:lang w:val="en-GB"/>
        </w:rPr>
        <w:t xml:space="preserve">the stronger relevance of some priorities under </w:t>
      </w:r>
      <w:r w:rsidR="00ED79E3" w:rsidRPr="003D3A8B">
        <w:rPr>
          <w:sz w:val="22"/>
          <w:szCs w:val="22"/>
          <w:lang w:val="en-GB"/>
        </w:rPr>
        <w:t>ENI CBC thematic objectives “Business and development” (TO1) and “Environmental protection, and climate change mitigation and adaptation” (TO6) indicated throughout the analytical and consultation process,</w:t>
      </w:r>
    </w:p>
    <w:p w:rsidR="00B2361A" w:rsidRDefault="00ED79E3" w:rsidP="002C5C39">
      <w:pPr>
        <w:spacing w:after="0" w:line="21" w:lineRule="atLeast"/>
        <w:jc w:val="both"/>
        <w:rPr>
          <w:rFonts w:eastAsia="Times New Roman"/>
          <w:sz w:val="22"/>
          <w:szCs w:val="22"/>
          <w:lang w:val="en-GB"/>
        </w:rPr>
      </w:pPr>
      <w:r>
        <w:rPr>
          <w:rFonts w:eastAsia="Times New Roman"/>
          <w:sz w:val="22"/>
          <w:szCs w:val="22"/>
          <w:lang w:val="en-GB"/>
        </w:rPr>
        <w:t xml:space="preserve">these </w:t>
      </w:r>
      <w:r w:rsidRPr="00ED79E3">
        <w:rPr>
          <w:rFonts w:eastAsia="Times New Roman"/>
          <w:sz w:val="22"/>
          <w:szCs w:val="22"/>
          <w:lang w:val="en-GB"/>
        </w:rPr>
        <w:t xml:space="preserve">two objectives </w:t>
      </w:r>
      <w:r>
        <w:rPr>
          <w:rFonts w:eastAsia="Times New Roman"/>
          <w:sz w:val="22"/>
          <w:szCs w:val="22"/>
          <w:lang w:val="en-GB"/>
        </w:rPr>
        <w:t xml:space="preserve">were </w:t>
      </w:r>
      <w:r w:rsidRPr="00ED79E3">
        <w:rPr>
          <w:rFonts w:eastAsia="Times New Roman"/>
          <w:sz w:val="22"/>
          <w:szCs w:val="22"/>
          <w:lang w:val="en-GB"/>
        </w:rPr>
        <w:t>selected for the strategy</w:t>
      </w:r>
      <w:r w:rsidR="003D3A8B">
        <w:rPr>
          <w:rFonts w:eastAsia="Times New Roman"/>
          <w:sz w:val="22"/>
          <w:szCs w:val="22"/>
          <w:lang w:val="en-GB"/>
        </w:rPr>
        <w:t>.</w:t>
      </w:r>
      <w:r w:rsidR="002C5C39">
        <w:rPr>
          <w:rFonts w:eastAsia="Times New Roman"/>
          <w:sz w:val="22"/>
          <w:szCs w:val="22"/>
          <w:lang w:val="en-GB"/>
        </w:rPr>
        <w:t xml:space="preserve"> </w:t>
      </w:r>
      <w:r w:rsidR="00BF7B39">
        <w:rPr>
          <w:rFonts w:eastAsia="Times New Roman"/>
          <w:sz w:val="22"/>
          <w:szCs w:val="22"/>
          <w:lang w:val="en-GB"/>
        </w:rPr>
        <w:t>Internal n</w:t>
      </w:r>
      <w:r w:rsidR="00B2361A">
        <w:rPr>
          <w:rFonts w:eastAsia="Times New Roman"/>
          <w:sz w:val="22"/>
          <w:szCs w:val="22"/>
          <w:lang w:val="en-GB"/>
        </w:rPr>
        <w:t xml:space="preserve">ational </w:t>
      </w:r>
      <w:r w:rsidR="00EE2D7F">
        <w:rPr>
          <w:rFonts w:eastAsia="Times New Roman"/>
          <w:sz w:val="22"/>
          <w:szCs w:val="22"/>
          <w:lang w:val="en-GB"/>
        </w:rPr>
        <w:t xml:space="preserve">and regional </w:t>
      </w:r>
      <w:r w:rsidR="00B2361A">
        <w:rPr>
          <w:rFonts w:eastAsia="Times New Roman"/>
          <w:sz w:val="22"/>
          <w:szCs w:val="22"/>
          <w:lang w:val="en-GB"/>
        </w:rPr>
        <w:t>consultations</w:t>
      </w:r>
      <w:r w:rsidR="00EE2D7F">
        <w:rPr>
          <w:rFonts w:eastAsia="Times New Roman"/>
          <w:sz w:val="22"/>
          <w:szCs w:val="22"/>
          <w:lang w:val="en-GB"/>
        </w:rPr>
        <w:t xml:space="preserve">, as well as </w:t>
      </w:r>
      <w:r w:rsidR="00C23ED3">
        <w:rPr>
          <w:rFonts w:eastAsia="Times New Roman"/>
          <w:sz w:val="22"/>
          <w:szCs w:val="22"/>
          <w:lang w:val="en-GB"/>
        </w:rPr>
        <w:t>online public consultations</w:t>
      </w:r>
      <w:r w:rsidR="00EE2D7F">
        <w:rPr>
          <w:rFonts w:eastAsia="Times New Roman"/>
          <w:sz w:val="22"/>
          <w:szCs w:val="22"/>
          <w:lang w:val="en-GB"/>
        </w:rPr>
        <w:t xml:space="preserve"> on the programme website</w:t>
      </w:r>
      <w:r w:rsidR="00870AA5">
        <w:rPr>
          <w:rFonts w:eastAsia="Times New Roman"/>
          <w:sz w:val="22"/>
          <w:szCs w:val="22"/>
          <w:lang w:val="en-GB"/>
        </w:rPr>
        <w:t xml:space="preserve"> (</w:t>
      </w:r>
      <w:r w:rsidR="00317D23">
        <w:rPr>
          <w:rFonts w:eastAsia="Times New Roman"/>
          <w:sz w:val="22"/>
          <w:szCs w:val="22"/>
          <w:lang w:val="en-GB"/>
        </w:rPr>
        <w:t xml:space="preserve">in </w:t>
      </w:r>
      <w:r w:rsidR="00870AA5">
        <w:rPr>
          <w:rFonts w:eastAsia="Times New Roman"/>
          <w:sz w:val="22"/>
          <w:szCs w:val="22"/>
          <w:lang w:val="en-GB"/>
        </w:rPr>
        <w:t>June 2014)</w:t>
      </w:r>
      <w:r w:rsidR="00EE2D7F">
        <w:rPr>
          <w:rFonts w:eastAsia="Times New Roman"/>
          <w:sz w:val="22"/>
          <w:szCs w:val="22"/>
          <w:lang w:val="en-GB"/>
        </w:rPr>
        <w:t>,</w:t>
      </w:r>
      <w:r w:rsidR="00B2361A">
        <w:rPr>
          <w:rFonts w:eastAsia="Times New Roman"/>
          <w:sz w:val="22"/>
          <w:szCs w:val="22"/>
          <w:lang w:val="en-GB"/>
        </w:rPr>
        <w:t xml:space="preserve"> followed on the proposed set of pr</w:t>
      </w:r>
      <w:r w:rsidR="00BF7B39">
        <w:rPr>
          <w:rFonts w:eastAsia="Times New Roman"/>
          <w:sz w:val="22"/>
          <w:szCs w:val="22"/>
          <w:lang w:val="en-GB"/>
        </w:rPr>
        <w:t>iorities and indicative actions</w:t>
      </w:r>
      <w:r w:rsidR="00B2361A">
        <w:rPr>
          <w:rFonts w:eastAsia="Times New Roman"/>
          <w:sz w:val="22"/>
          <w:szCs w:val="22"/>
          <w:lang w:val="en-GB"/>
        </w:rPr>
        <w:t xml:space="preserve"> </w:t>
      </w:r>
      <w:r w:rsidR="00D36B0F">
        <w:rPr>
          <w:rFonts w:eastAsia="Times New Roman"/>
          <w:sz w:val="22"/>
          <w:szCs w:val="22"/>
          <w:lang w:val="en-GB"/>
        </w:rPr>
        <w:t xml:space="preserve">and these were </w:t>
      </w:r>
      <w:r w:rsidR="00E520B0">
        <w:rPr>
          <w:rFonts w:eastAsia="Times New Roman"/>
          <w:sz w:val="22"/>
          <w:szCs w:val="22"/>
          <w:lang w:val="en-GB"/>
        </w:rPr>
        <w:t xml:space="preserve">finally </w:t>
      </w:r>
      <w:r w:rsidR="00B2361A">
        <w:rPr>
          <w:rFonts w:eastAsia="Times New Roman"/>
          <w:sz w:val="22"/>
          <w:szCs w:val="22"/>
          <w:lang w:val="en-GB"/>
        </w:rPr>
        <w:t>agreed</w:t>
      </w:r>
      <w:r w:rsidR="002D3931" w:rsidRPr="002D3931">
        <w:rPr>
          <w:rFonts w:eastAsia="Times New Roman"/>
          <w:sz w:val="22"/>
          <w:szCs w:val="22"/>
          <w:lang w:val="en-GB"/>
        </w:rPr>
        <w:t xml:space="preserve"> at the</w:t>
      </w:r>
      <w:r w:rsidR="0094762E" w:rsidRPr="002D3931">
        <w:rPr>
          <w:rFonts w:eastAsia="Times New Roman"/>
          <w:sz w:val="22"/>
          <w:szCs w:val="22"/>
          <w:lang w:val="en-GB"/>
        </w:rPr>
        <w:t xml:space="preserve"> 5</w:t>
      </w:r>
      <w:r w:rsidR="0094762E" w:rsidRPr="00DA1BC4">
        <w:rPr>
          <w:rFonts w:eastAsia="Times New Roman"/>
          <w:sz w:val="22"/>
          <w:szCs w:val="22"/>
          <w:vertAlign w:val="superscript"/>
          <w:lang w:val="en-GB"/>
        </w:rPr>
        <w:t>th</w:t>
      </w:r>
      <w:r w:rsidR="0094762E" w:rsidRPr="002D3931">
        <w:rPr>
          <w:rFonts w:eastAsia="Times New Roman"/>
          <w:sz w:val="22"/>
          <w:szCs w:val="22"/>
          <w:lang w:val="en-GB"/>
        </w:rPr>
        <w:t xml:space="preserve"> Meeting</w:t>
      </w:r>
      <w:r w:rsidR="002D3931" w:rsidRPr="002D3931">
        <w:rPr>
          <w:rFonts w:eastAsia="Times New Roman"/>
          <w:sz w:val="22"/>
          <w:szCs w:val="22"/>
          <w:lang w:val="en-GB"/>
        </w:rPr>
        <w:t xml:space="preserve"> of the Joint Programming Committee </w:t>
      </w:r>
      <w:r w:rsidR="009C7B3B">
        <w:rPr>
          <w:rFonts w:eastAsia="Times New Roman"/>
          <w:sz w:val="22"/>
          <w:szCs w:val="22"/>
          <w:lang w:val="en-GB"/>
        </w:rPr>
        <w:t xml:space="preserve">in </w:t>
      </w:r>
      <w:r w:rsidR="0094762E" w:rsidRPr="002D3931">
        <w:rPr>
          <w:rFonts w:eastAsia="Times New Roman"/>
          <w:sz w:val="22"/>
          <w:szCs w:val="22"/>
          <w:lang w:val="en-GB"/>
        </w:rPr>
        <w:t>Brussels</w:t>
      </w:r>
      <w:r w:rsidR="00D36B0F">
        <w:rPr>
          <w:rFonts w:eastAsia="Times New Roman"/>
          <w:sz w:val="22"/>
          <w:szCs w:val="22"/>
          <w:lang w:val="en-GB"/>
        </w:rPr>
        <w:t>,</w:t>
      </w:r>
      <w:r w:rsidR="00C62B4C">
        <w:rPr>
          <w:rFonts w:eastAsia="Times New Roman"/>
          <w:sz w:val="22"/>
          <w:szCs w:val="22"/>
          <w:lang w:val="en-GB"/>
        </w:rPr>
        <w:t xml:space="preserve"> Belgium</w:t>
      </w:r>
      <w:r w:rsidR="00D36B0F" w:rsidRPr="00D36B0F">
        <w:rPr>
          <w:rFonts w:eastAsia="Times New Roman"/>
          <w:sz w:val="22"/>
          <w:szCs w:val="22"/>
          <w:lang w:val="en-GB"/>
        </w:rPr>
        <w:t xml:space="preserve"> </w:t>
      </w:r>
      <w:r w:rsidR="00D36B0F" w:rsidRPr="002D3931">
        <w:rPr>
          <w:rFonts w:eastAsia="Times New Roman"/>
          <w:sz w:val="22"/>
          <w:szCs w:val="22"/>
          <w:lang w:val="en-GB"/>
        </w:rPr>
        <w:t>on 17 July 2014</w:t>
      </w:r>
      <w:r w:rsidR="00ED1EF5">
        <w:rPr>
          <w:rFonts w:eastAsia="Times New Roman"/>
          <w:sz w:val="22"/>
          <w:szCs w:val="22"/>
          <w:lang w:val="en-GB"/>
        </w:rPr>
        <w:t>.</w:t>
      </w:r>
    </w:p>
    <w:p w:rsidR="00301161" w:rsidRDefault="00333F82" w:rsidP="00301161">
      <w:pPr>
        <w:spacing w:before="120" w:after="0" w:line="21" w:lineRule="atLeast"/>
        <w:jc w:val="both"/>
        <w:rPr>
          <w:rFonts w:eastAsia="Times New Roman"/>
          <w:sz w:val="22"/>
          <w:szCs w:val="22"/>
          <w:lang w:val="en-GB"/>
        </w:rPr>
      </w:pPr>
      <w:r>
        <w:rPr>
          <w:rFonts w:eastAsia="Times New Roman"/>
          <w:sz w:val="22"/>
          <w:szCs w:val="22"/>
          <w:lang w:val="en-GB"/>
        </w:rPr>
        <w:t xml:space="preserve">The strategic environmental assessement (SEA) </w:t>
      </w:r>
      <w:r w:rsidR="00A33F6F">
        <w:rPr>
          <w:rFonts w:eastAsia="Times New Roman"/>
          <w:sz w:val="22"/>
          <w:szCs w:val="22"/>
          <w:lang w:val="en-GB"/>
        </w:rPr>
        <w:t xml:space="preserve">process started in </w:t>
      </w:r>
      <w:r w:rsidR="00D36B0F">
        <w:rPr>
          <w:rFonts w:eastAsia="Times New Roman"/>
          <w:sz w:val="22"/>
          <w:szCs w:val="22"/>
          <w:lang w:val="en-GB"/>
        </w:rPr>
        <w:t>October</w:t>
      </w:r>
      <w:r w:rsidR="00A33F6F">
        <w:rPr>
          <w:rFonts w:eastAsia="Times New Roman"/>
          <w:sz w:val="22"/>
          <w:szCs w:val="22"/>
          <w:lang w:val="en-GB"/>
        </w:rPr>
        <w:t xml:space="preserve"> 2014</w:t>
      </w:r>
      <w:r w:rsidR="00D36B0F">
        <w:rPr>
          <w:rFonts w:eastAsia="Times New Roman"/>
          <w:sz w:val="22"/>
          <w:szCs w:val="22"/>
          <w:lang w:val="en-GB"/>
        </w:rPr>
        <w:t xml:space="preserve"> and involved</w:t>
      </w:r>
      <w:r w:rsidR="00F37C9A">
        <w:rPr>
          <w:rFonts w:eastAsia="Times New Roman"/>
          <w:sz w:val="22"/>
          <w:szCs w:val="22"/>
          <w:lang w:val="en-GB"/>
        </w:rPr>
        <w:t xml:space="preserve"> </w:t>
      </w:r>
      <w:r w:rsidR="00D36B0F">
        <w:rPr>
          <w:rFonts w:eastAsia="Times New Roman"/>
          <w:sz w:val="22"/>
          <w:szCs w:val="22"/>
          <w:lang w:val="en-GB"/>
        </w:rPr>
        <w:t xml:space="preserve">the relevant </w:t>
      </w:r>
      <w:r w:rsidR="00F37C9A" w:rsidRPr="007625A8">
        <w:rPr>
          <w:rFonts w:eastAsia="Times New Roman"/>
          <w:sz w:val="22"/>
          <w:szCs w:val="22"/>
          <w:lang w:val="en-GB"/>
        </w:rPr>
        <w:t xml:space="preserve">environmental authorities </w:t>
      </w:r>
      <w:r w:rsidR="00722E7D" w:rsidRPr="007625A8">
        <w:rPr>
          <w:rFonts w:eastAsia="Times New Roman"/>
          <w:sz w:val="22"/>
          <w:szCs w:val="22"/>
          <w:lang w:val="en-GB"/>
        </w:rPr>
        <w:t>in the</w:t>
      </w:r>
      <w:r w:rsidR="00F37C9A" w:rsidRPr="007625A8">
        <w:rPr>
          <w:rFonts w:eastAsia="Times New Roman"/>
          <w:sz w:val="22"/>
          <w:szCs w:val="22"/>
          <w:lang w:val="en-GB"/>
        </w:rPr>
        <w:t xml:space="preserve"> participating countries.</w:t>
      </w:r>
      <w:r w:rsidR="00577E23" w:rsidRPr="007625A8">
        <w:rPr>
          <w:rFonts w:eastAsia="Times New Roman"/>
          <w:sz w:val="22"/>
          <w:szCs w:val="22"/>
          <w:lang w:val="en-GB"/>
        </w:rPr>
        <w:t xml:space="preserve"> </w:t>
      </w:r>
      <w:r w:rsidR="00D36B0F" w:rsidRPr="007625A8">
        <w:rPr>
          <w:rFonts w:eastAsia="Times New Roman"/>
          <w:sz w:val="22"/>
          <w:szCs w:val="22"/>
          <w:lang w:val="en-GB"/>
        </w:rPr>
        <w:t xml:space="preserve">The draft </w:t>
      </w:r>
      <w:r w:rsidR="00577E23" w:rsidRPr="007625A8">
        <w:rPr>
          <w:rFonts w:eastAsia="Times New Roman"/>
          <w:sz w:val="22"/>
          <w:szCs w:val="22"/>
          <w:lang w:val="en-GB"/>
        </w:rPr>
        <w:t xml:space="preserve">conclusions </w:t>
      </w:r>
      <w:r w:rsidR="00D36B0F" w:rsidRPr="007625A8">
        <w:rPr>
          <w:rFonts w:eastAsia="Times New Roman"/>
          <w:sz w:val="22"/>
          <w:szCs w:val="22"/>
          <w:lang w:val="en-GB"/>
        </w:rPr>
        <w:t xml:space="preserve">of the process </w:t>
      </w:r>
      <w:r w:rsidR="00577E23" w:rsidRPr="007625A8">
        <w:rPr>
          <w:rFonts w:eastAsia="Times New Roman"/>
          <w:sz w:val="22"/>
          <w:szCs w:val="22"/>
          <w:lang w:val="en-GB"/>
        </w:rPr>
        <w:t>were</w:t>
      </w:r>
      <w:r w:rsidR="00C85978" w:rsidRPr="007625A8">
        <w:rPr>
          <w:rFonts w:eastAsia="Times New Roman"/>
          <w:sz w:val="22"/>
          <w:szCs w:val="22"/>
          <w:lang w:val="en-GB"/>
        </w:rPr>
        <w:t xml:space="preserve"> presented at the 7</w:t>
      </w:r>
      <w:r w:rsidR="00C85978" w:rsidRPr="007625A8">
        <w:rPr>
          <w:rFonts w:eastAsia="Times New Roman"/>
          <w:sz w:val="22"/>
          <w:szCs w:val="22"/>
          <w:vertAlign w:val="superscript"/>
          <w:lang w:val="en-GB"/>
        </w:rPr>
        <w:t>th</w:t>
      </w:r>
      <w:r w:rsidR="00C85978" w:rsidRPr="007625A8">
        <w:rPr>
          <w:rFonts w:eastAsia="Times New Roman"/>
          <w:sz w:val="22"/>
          <w:szCs w:val="22"/>
          <w:lang w:val="en-GB"/>
        </w:rPr>
        <w:t xml:space="preserve"> meeting of the Joint Programming Committee</w:t>
      </w:r>
      <w:r w:rsidR="002E585C" w:rsidRPr="007625A8">
        <w:rPr>
          <w:rFonts w:eastAsia="Times New Roman"/>
          <w:sz w:val="22"/>
          <w:szCs w:val="22"/>
          <w:lang w:val="en-GB"/>
        </w:rPr>
        <w:t xml:space="preserve"> </w:t>
      </w:r>
      <w:r w:rsidR="00C85978" w:rsidRPr="007625A8">
        <w:rPr>
          <w:rFonts w:eastAsia="Times New Roman"/>
          <w:sz w:val="22"/>
          <w:szCs w:val="22"/>
          <w:lang w:val="en-GB"/>
        </w:rPr>
        <w:t>in Chisinau</w:t>
      </w:r>
      <w:r w:rsidR="00D36B0F" w:rsidRPr="007625A8">
        <w:rPr>
          <w:rFonts w:eastAsia="Times New Roman"/>
          <w:sz w:val="22"/>
          <w:szCs w:val="22"/>
          <w:lang w:val="en-GB"/>
        </w:rPr>
        <w:t>,</w:t>
      </w:r>
      <w:r w:rsidR="00C62B4C" w:rsidRPr="007625A8">
        <w:rPr>
          <w:rFonts w:eastAsia="Times New Roman"/>
          <w:sz w:val="22"/>
          <w:szCs w:val="22"/>
          <w:lang w:val="en-GB"/>
        </w:rPr>
        <w:t xml:space="preserve"> Moldova</w:t>
      </w:r>
      <w:r w:rsidR="00D36B0F" w:rsidRPr="007625A8">
        <w:rPr>
          <w:rFonts w:eastAsia="Times New Roman"/>
          <w:sz w:val="22"/>
          <w:szCs w:val="22"/>
          <w:lang w:val="en-GB"/>
        </w:rPr>
        <w:t xml:space="preserve"> on 26 February 2015.</w:t>
      </w:r>
    </w:p>
    <w:p w:rsidR="00F81E24" w:rsidRDefault="00D36B0F" w:rsidP="00301161">
      <w:pPr>
        <w:spacing w:before="120" w:after="0" w:line="21" w:lineRule="atLeast"/>
        <w:jc w:val="both"/>
        <w:rPr>
          <w:rFonts w:eastAsia="Times New Roman"/>
          <w:sz w:val="22"/>
          <w:szCs w:val="22"/>
          <w:lang w:val="en-GB"/>
        </w:rPr>
      </w:pPr>
      <w:r>
        <w:rPr>
          <w:rFonts w:eastAsia="Times New Roman"/>
          <w:sz w:val="22"/>
          <w:szCs w:val="22"/>
          <w:lang w:val="en-GB"/>
        </w:rPr>
        <w:t>Modalities for the i</w:t>
      </w:r>
      <w:r w:rsidR="00F37C9A">
        <w:rPr>
          <w:rFonts w:eastAsia="Times New Roman"/>
          <w:sz w:val="22"/>
          <w:szCs w:val="22"/>
          <w:lang w:val="en-GB"/>
        </w:rPr>
        <w:t>mplementation of the programme were developed</w:t>
      </w:r>
      <w:r w:rsidR="001C7D60">
        <w:rPr>
          <w:rFonts w:eastAsia="Times New Roman"/>
          <w:sz w:val="22"/>
          <w:szCs w:val="22"/>
          <w:lang w:val="en-GB"/>
        </w:rPr>
        <w:t xml:space="preserve"> throughout the period and agreed progressively at the Joint Pro</w:t>
      </w:r>
      <w:r w:rsidR="005633FF">
        <w:rPr>
          <w:rFonts w:eastAsia="Times New Roman"/>
          <w:sz w:val="22"/>
          <w:szCs w:val="22"/>
          <w:lang w:val="en-GB"/>
        </w:rPr>
        <w:t>gramming Committee meetings.</w:t>
      </w:r>
      <w:r w:rsidR="00DA3105">
        <w:rPr>
          <w:rFonts w:eastAsia="Times New Roman"/>
          <w:sz w:val="22"/>
          <w:szCs w:val="22"/>
          <w:lang w:val="en-GB"/>
        </w:rPr>
        <w:t xml:space="preserve"> </w:t>
      </w:r>
    </w:p>
    <w:p w:rsidR="00C16439" w:rsidRDefault="006F2176" w:rsidP="00301161">
      <w:pPr>
        <w:spacing w:before="120" w:after="0" w:line="21" w:lineRule="atLeast"/>
        <w:jc w:val="both"/>
        <w:rPr>
          <w:rFonts w:eastAsia="Times New Roman"/>
          <w:sz w:val="22"/>
          <w:szCs w:val="22"/>
          <w:lang w:val="en-GB"/>
        </w:rPr>
      </w:pPr>
      <w:r>
        <w:rPr>
          <w:rFonts w:eastAsia="Times New Roman"/>
          <w:sz w:val="22"/>
          <w:szCs w:val="22"/>
          <w:lang w:val="en-GB"/>
        </w:rPr>
        <w:t xml:space="preserve">The </w:t>
      </w:r>
      <w:r w:rsidR="00D36B0F">
        <w:rPr>
          <w:rFonts w:eastAsia="Times New Roman"/>
          <w:sz w:val="22"/>
          <w:szCs w:val="22"/>
          <w:lang w:val="en-GB"/>
        </w:rPr>
        <w:t xml:space="preserve">final public consultation of the </w:t>
      </w:r>
      <w:r>
        <w:rPr>
          <w:rFonts w:eastAsia="Times New Roman"/>
          <w:sz w:val="22"/>
          <w:szCs w:val="22"/>
          <w:lang w:val="en-GB"/>
        </w:rPr>
        <w:t>whole Joint O</w:t>
      </w:r>
      <w:r w:rsidR="00C16439">
        <w:rPr>
          <w:rFonts w:eastAsia="Times New Roman"/>
          <w:sz w:val="22"/>
          <w:szCs w:val="22"/>
          <w:lang w:val="en-GB"/>
        </w:rPr>
        <w:t>pe</w:t>
      </w:r>
      <w:r>
        <w:rPr>
          <w:rFonts w:eastAsia="Times New Roman"/>
          <w:sz w:val="22"/>
          <w:szCs w:val="22"/>
          <w:lang w:val="en-GB"/>
        </w:rPr>
        <w:t xml:space="preserve">rational </w:t>
      </w:r>
      <w:r w:rsidRPr="00197A31">
        <w:rPr>
          <w:rFonts w:eastAsia="Times New Roman"/>
          <w:sz w:val="22"/>
          <w:szCs w:val="22"/>
          <w:lang w:val="en-GB"/>
        </w:rPr>
        <w:t>P</w:t>
      </w:r>
      <w:r w:rsidR="00EE6976" w:rsidRPr="00197A31">
        <w:rPr>
          <w:rFonts w:eastAsia="Times New Roman"/>
          <w:sz w:val="22"/>
          <w:szCs w:val="22"/>
          <w:lang w:val="en-GB"/>
        </w:rPr>
        <w:t xml:space="preserve">rogramme </w:t>
      </w:r>
      <w:r w:rsidR="00FF3087" w:rsidRPr="00197A31">
        <w:rPr>
          <w:rFonts w:eastAsia="Times New Roman"/>
          <w:sz w:val="22"/>
          <w:szCs w:val="22"/>
          <w:lang w:val="en-GB"/>
        </w:rPr>
        <w:t>was</w:t>
      </w:r>
      <w:r w:rsidR="00D36B0F" w:rsidRPr="00197A31">
        <w:rPr>
          <w:rFonts w:eastAsia="Times New Roman"/>
          <w:sz w:val="22"/>
          <w:szCs w:val="22"/>
          <w:lang w:val="en-GB"/>
        </w:rPr>
        <w:t xml:space="preserve"> held</w:t>
      </w:r>
      <w:r w:rsidR="003E054C" w:rsidRPr="00197A31">
        <w:rPr>
          <w:rFonts w:eastAsia="Times New Roman"/>
          <w:sz w:val="22"/>
          <w:szCs w:val="22"/>
          <w:lang w:val="en-GB"/>
        </w:rPr>
        <w:t xml:space="preserve"> in March 2015.</w:t>
      </w:r>
    </w:p>
    <w:p w:rsidR="001E1763" w:rsidRPr="00301161" w:rsidRDefault="00A70A09" w:rsidP="00301161">
      <w:pPr>
        <w:spacing w:before="120" w:after="0" w:line="21" w:lineRule="atLeast"/>
        <w:jc w:val="both"/>
        <w:rPr>
          <w:rFonts w:eastAsia="Times New Roman"/>
          <w:sz w:val="22"/>
          <w:szCs w:val="22"/>
          <w:lang w:val="en-GB"/>
        </w:rPr>
      </w:pPr>
      <w:r>
        <w:rPr>
          <w:rFonts w:eastAsia="Times New Roman"/>
          <w:sz w:val="22"/>
          <w:szCs w:val="22"/>
          <w:lang w:val="en-GB"/>
        </w:rPr>
        <w:t xml:space="preserve">The programming process, including drafting of the programme and </w:t>
      </w:r>
      <w:r w:rsidR="00F81E24">
        <w:rPr>
          <w:rFonts w:eastAsia="Times New Roman"/>
          <w:sz w:val="22"/>
          <w:szCs w:val="22"/>
          <w:lang w:val="en-GB"/>
        </w:rPr>
        <w:t>organisation of consultations in partner</w:t>
      </w:r>
      <w:r w:rsidR="00F608BB">
        <w:rPr>
          <w:rFonts w:eastAsia="Times New Roman"/>
          <w:sz w:val="22"/>
          <w:szCs w:val="22"/>
          <w:lang w:val="en-GB"/>
        </w:rPr>
        <w:t xml:space="preserve"> countries, </w:t>
      </w:r>
      <w:r w:rsidR="00BF7B39">
        <w:rPr>
          <w:rFonts w:eastAsia="Times New Roman"/>
          <w:sz w:val="22"/>
          <w:szCs w:val="22"/>
          <w:lang w:val="en-GB"/>
        </w:rPr>
        <w:t>was</w:t>
      </w:r>
      <w:r w:rsidR="00F81E24">
        <w:rPr>
          <w:rFonts w:eastAsia="Times New Roman"/>
          <w:sz w:val="22"/>
          <w:szCs w:val="22"/>
          <w:lang w:val="en-GB"/>
        </w:rPr>
        <w:t xml:space="preserve"> </w:t>
      </w:r>
      <w:r w:rsidR="00BF7B39">
        <w:rPr>
          <w:rFonts w:eastAsia="Times New Roman"/>
          <w:sz w:val="22"/>
          <w:szCs w:val="22"/>
          <w:lang w:val="en-GB"/>
        </w:rPr>
        <w:t>supported</w:t>
      </w:r>
      <w:r w:rsidR="00F81E24">
        <w:rPr>
          <w:rFonts w:eastAsia="Times New Roman"/>
          <w:sz w:val="22"/>
          <w:szCs w:val="22"/>
          <w:lang w:val="en-GB"/>
        </w:rPr>
        <w:t xml:space="preserve"> by </w:t>
      </w:r>
      <w:r w:rsidR="00BF7B39">
        <w:rPr>
          <w:rFonts w:eastAsia="Times New Roman"/>
          <w:sz w:val="22"/>
          <w:szCs w:val="22"/>
          <w:lang w:val="en-GB"/>
        </w:rPr>
        <w:t xml:space="preserve">the </w:t>
      </w:r>
      <w:r w:rsidR="00F81E24">
        <w:rPr>
          <w:rFonts w:eastAsia="Times New Roman"/>
          <w:sz w:val="22"/>
          <w:szCs w:val="22"/>
          <w:lang w:val="en-GB"/>
        </w:rPr>
        <w:t>EU technical assistance project ENI CBC Support to Preparation</w:t>
      </w:r>
      <w:r w:rsidR="00D36B0F">
        <w:rPr>
          <w:rFonts w:eastAsia="Times New Roman"/>
          <w:sz w:val="22"/>
          <w:szCs w:val="22"/>
          <w:lang w:val="en-GB"/>
        </w:rPr>
        <w:t xml:space="preserve"> of Programmes (SPP)</w:t>
      </w:r>
      <w:r w:rsidR="00A81EE5" w:rsidRPr="00301161">
        <w:rPr>
          <w:rFonts w:eastAsia="Times New Roman"/>
          <w:sz w:val="22"/>
          <w:szCs w:val="22"/>
          <w:vertAlign w:val="superscript"/>
          <w:lang w:val="en-GB"/>
        </w:rPr>
        <w:footnoteReference w:id="5"/>
      </w:r>
      <w:r w:rsidR="00E52D10">
        <w:rPr>
          <w:rFonts w:eastAsia="Times New Roman"/>
          <w:sz w:val="22"/>
          <w:szCs w:val="22"/>
          <w:lang w:val="en-GB"/>
        </w:rPr>
        <w:t>. C</w:t>
      </w:r>
      <w:r w:rsidR="007A4563" w:rsidRPr="00301161">
        <w:rPr>
          <w:rFonts w:eastAsia="Times New Roman"/>
          <w:sz w:val="22"/>
          <w:szCs w:val="22"/>
          <w:lang w:val="en-GB"/>
        </w:rPr>
        <w:t>omments from</w:t>
      </w:r>
      <w:r w:rsidR="006E54C1">
        <w:rPr>
          <w:rFonts w:eastAsia="Times New Roman"/>
          <w:sz w:val="22"/>
          <w:szCs w:val="22"/>
          <w:lang w:val="en-GB"/>
        </w:rPr>
        <w:t xml:space="preserve"> </w:t>
      </w:r>
      <w:r w:rsidR="00BF7B39">
        <w:rPr>
          <w:rFonts w:eastAsia="Times New Roman"/>
          <w:sz w:val="22"/>
          <w:szCs w:val="22"/>
          <w:lang w:val="en-GB"/>
        </w:rPr>
        <w:t xml:space="preserve">the </w:t>
      </w:r>
      <w:r w:rsidR="006E54C1">
        <w:rPr>
          <w:rFonts w:eastAsia="Times New Roman"/>
          <w:sz w:val="22"/>
          <w:szCs w:val="22"/>
          <w:lang w:val="en-GB"/>
        </w:rPr>
        <w:t>EU technical assistance project</w:t>
      </w:r>
      <w:r w:rsidR="007A4563" w:rsidRPr="00301161">
        <w:rPr>
          <w:rFonts w:eastAsia="Times New Roman"/>
          <w:sz w:val="22"/>
          <w:szCs w:val="22"/>
          <w:lang w:val="en-GB"/>
        </w:rPr>
        <w:t xml:space="preserve"> </w:t>
      </w:r>
      <w:r w:rsidR="00D36B0F">
        <w:rPr>
          <w:rFonts w:eastAsia="Times New Roman"/>
          <w:sz w:val="22"/>
          <w:szCs w:val="22"/>
          <w:lang w:val="en-GB"/>
        </w:rPr>
        <w:t>INTERACT</w:t>
      </w:r>
      <w:r w:rsidR="00D36B0F" w:rsidRPr="00301161">
        <w:rPr>
          <w:rFonts w:eastAsia="Times New Roman"/>
          <w:sz w:val="22"/>
          <w:szCs w:val="22"/>
          <w:lang w:val="en-GB"/>
        </w:rPr>
        <w:t xml:space="preserve"> </w:t>
      </w:r>
      <w:r w:rsidR="007A4563" w:rsidRPr="00301161">
        <w:rPr>
          <w:rFonts w:eastAsia="Times New Roman"/>
          <w:sz w:val="22"/>
          <w:szCs w:val="22"/>
          <w:lang w:val="en-GB"/>
        </w:rPr>
        <w:t>E</w:t>
      </w:r>
      <w:r w:rsidR="000C6E8E" w:rsidRPr="00301161">
        <w:rPr>
          <w:rFonts w:eastAsia="Times New Roman"/>
          <w:sz w:val="22"/>
          <w:szCs w:val="22"/>
          <w:lang w:val="en-GB"/>
        </w:rPr>
        <w:t>NPI</w:t>
      </w:r>
      <w:r w:rsidR="006E54C1">
        <w:rPr>
          <w:rFonts w:eastAsia="Times New Roman"/>
          <w:sz w:val="22"/>
          <w:szCs w:val="22"/>
          <w:lang w:val="en-GB"/>
        </w:rPr>
        <w:t xml:space="preserve"> </w:t>
      </w:r>
      <w:r w:rsidR="00BF7B39">
        <w:rPr>
          <w:rFonts w:eastAsia="Times New Roman"/>
          <w:sz w:val="22"/>
          <w:szCs w:val="22"/>
          <w:lang w:val="en-GB"/>
        </w:rPr>
        <w:t xml:space="preserve">also </w:t>
      </w:r>
      <w:r w:rsidR="007A4563" w:rsidRPr="00301161">
        <w:rPr>
          <w:rFonts w:eastAsia="Times New Roman"/>
          <w:sz w:val="22"/>
          <w:szCs w:val="22"/>
          <w:lang w:val="en-GB"/>
        </w:rPr>
        <w:t>have been incorporated.</w:t>
      </w:r>
    </w:p>
    <w:p w:rsidR="004B63F2" w:rsidRPr="004B36E7" w:rsidRDefault="004B63F2" w:rsidP="004B36E7">
      <w:pPr>
        <w:pStyle w:val="Heading3"/>
        <w:spacing w:before="360" w:after="120" w:line="252" w:lineRule="auto"/>
        <w:rPr>
          <w:b/>
          <w:sz w:val="28"/>
          <w:szCs w:val="28"/>
          <w:lang w:val="en-GB"/>
        </w:rPr>
      </w:pPr>
      <w:bookmarkStart w:id="4" w:name="_Toc288133422"/>
      <w:r w:rsidRPr="004B36E7">
        <w:rPr>
          <w:b/>
          <w:sz w:val="28"/>
          <w:szCs w:val="28"/>
          <w:lang w:val="en-GB"/>
        </w:rPr>
        <w:lastRenderedPageBreak/>
        <w:t>Summar</w:t>
      </w:r>
      <w:r w:rsidR="001E1763" w:rsidRPr="004B36E7">
        <w:rPr>
          <w:b/>
          <w:sz w:val="28"/>
          <w:szCs w:val="28"/>
          <w:lang w:val="en-GB"/>
        </w:rPr>
        <w:t>y of programme</w:t>
      </w:r>
      <w:r w:rsidRPr="004B36E7">
        <w:rPr>
          <w:b/>
          <w:sz w:val="28"/>
          <w:szCs w:val="28"/>
          <w:lang w:val="en-GB"/>
        </w:rPr>
        <w:t xml:space="preserve"> strategy</w:t>
      </w:r>
      <w:bookmarkEnd w:id="4"/>
    </w:p>
    <w:p w:rsidR="00713196" w:rsidRPr="00682784" w:rsidRDefault="00713196" w:rsidP="00CC783D">
      <w:pPr>
        <w:spacing w:after="60" w:line="21" w:lineRule="atLeast"/>
        <w:jc w:val="both"/>
        <w:rPr>
          <w:sz w:val="22"/>
          <w:szCs w:val="22"/>
          <w:lang w:val="en-GB"/>
        </w:rPr>
      </w:pPr>
      <w:r w:rsidRPr="00682784">
        <w:rPr>
          <w:sz w:val="22"/>
          <w:szCs w:val="22"/>
          <w:lang w:val="en-GB"/>
        </w:rPr>
        <w:t>As a result of the completed analytical and consultation process, the Black Sea Basin progr</w:t>
      </w:r>
      <w:r w:rsidR="00B04B66" w:rsidRPr="00682784">
        <w:rPr>
          <w:sz w:val="22"/>
          <w:szCs w:val="22"/>
          <w:lang w:val="en-GB"/>
        </w:rPr>
        <w:t>amme will focus on two ENI CBC t</w:t>
      </w:r>
      <w:r w:rsidRPr="00682784">
        <w:rPr>
          <w:sz w:val="22"/>
          <w:szCs w:val="22"/>
          <w:lang w:val="en-GB"/>
        </w:rPr>
        <w:t>hematic o</w:t>
      </w:r>
      <w:r w:rsidR="00B04B66" w:rsidRPr="00682784">
        <w:rPr>
          <w:sz w:val="22"/>
          <w:szCs w:val="22"/>
          <w:lang w:val="en-GB"/>
        </w:rPr>
        <w:t>bjectives, contributing to two o</w:t>
      </w:r>
      <w:r w:rsidRPr="00682784">
        <w:rPr>
          <w:sz w:val="22"/>
          <w:szCs w:val="22"/>
          <w:lang w:val="en-GB"/>
        </w:rPr>
        <w:t>verarching</w:t>
      </w:r>
      <w:r w:rsidR="00A51684" w:rsidRPr="00682784">
        <w:rPr>
          <w:sz w:val="22"/>
          <w:szCs w:val="22"/>
          <w:lang w:val="en-GB"/>
        </w:rPr>
        <w:t xml:space="preserve"> strategic</w:t>
      </w:r>
      <w:r w:rsidRPr="00682784">
        <w:rPr>
          <w:sz w:val="22"/>
          <w:szCs w:val="22"/>
          <w:lang w:val="en-GB"/>
        </w:rPr>
        <w:t xml:space="preserve"> obj</w:t>
      </w:r>
      <w:r w:rsidR="00B04B66" w:rsidRPr="00682784">
        <w:rPr>
          <w:sz w:val="22"/>
          <w:szCs w:val="22"/>
          <w:lang w:val="en-GB"/>
        </w:rPr>
        <w:t>ectives, as defined in ENI CBC P</w:t>
      </w:r>
      <w:r w:rsidRPr="00682784">
        <w:rPr>
          <w:sz w:val="22"/>
          <w:szCs w:val="22"/>
          <w:lang w:val="en-GB"/>
        </w:rPr>
        <w:t>rogramming document </w:t>
      </w:r>
      <w:r w:rsidR="00B04B66" w:rsidRPr="00682784">
        <w:rPr>
          <w:sz w:val="22"/>
          <w:szCs w:val="22"/>
          <w:lang w:val="en-GB"/>
        </w:rPr>
        <w:t>2014-</w:t>
      </w:r>
      <w:r w:rsidR="00374E78" w:rsidRPr="00682784">
        <w:rPr>
          <w:sz w:val="22"/>
          <w:szCs w:val="22"/>
          <w:lang w:val="en-GB"/>
        </w:rPr>
        <w:t>20</w:t>
      </w:r>
      <w:r w:rsidR="00B04B66" w:rsidRPr="00682784">
        <w:rPr>
          <w:sz w:val="22"/>
          <w:szCs w:val="22"/>
          <w:lang w:val="en-GB"/>
        </w:rPr>
        <w:t>20</w:t>
      </w:r>
      <w:r w:rsidRPr="00682784">
        <w:rPr>
          <w:sz w:val="22"/>
          <w:szCs w:val="22"/>
          <w:lang w:val="en-GB"/>
        </w:rPr>
        <w:t>:</w:t>
      </w:r>
    </w:p>
    <w:p w:rsidR="0006798E" w:rsidRDefault="0006798E" w:rsidP="00CC783D">
      <w:pPr>
        <w:pStyle w:val="ListParagraph"/>
        <w:numPr>
          <w:ilvl w:val="0"/>
          <w:numId w:val="66"/>
        </w:numPr>
        <w:spacing w:before="120" w:after="0" w:line="21" w:lineRule="atLeast"/>
        <w:jc w:val="both"/>
        <w:rPr>
          <w:sz w:val="22"/>
          <w:szCs w:val="22"/>
          <w:lang w:val="en-GB"/>
        </w:rPr>
      </w:pPr>
      <w:r>
        <w:rPr>
          <w:sz w:val="22"/>
          <w:szCs w:val="22"/>
          <w:lang w:val="en-GB"/>
        </w:rPr>
        <w:t xml:space="preserve">Thematic Objective 1. </w:t>
      </w:r>
      <w:r w:rsidRPr="00713196">
        <w:rPr>
          <w:i/>
          <w:sz w:val="22"/>
          <w:szCs w:val="22"/>
          <w:lang w:val="en-GB"/>
        </w:rPr>
        <w:t>Business and SME development</w:t>
      </w:r>
      <w:r>
        <w:rPr>
          <w:sz w:val="22"/>
          <w:szCs w:val="22"/>
          <w:lang w:val="en-GB"/>
        </w:rPr>
        <w:t>, contributing to ENI CBC overarching strategic objective</w:t>
      </w:r>
      <w:r w:rsidR="00A50DCF">
        <w:rPr>
          <w:sz w:val="22"/>
          <w:szCs w:val="22"/>
          <w:lang w:val="en-GB"/>
        </w:rPr>
        <w:t xml:space="preserve"> </w:t>
      </w:r>
      <w:r>
        <w:rPr>
          <w:sz w:val="22"/>
          <w:szCs w:val="22"/>
          <w:lang w:val="en-GB"/>
        </w:rPr>
        <w:t>A</w:t>
      </w:r>
      <w:r w:rsidR="00713196">
        <w:rPr>
          <w:sz w:val="22"/>
          <w:szCs w:val="22"/>
          <w:lang w:val="en-GB"/>
        </w:rPr>
        <w:t xml:space="preserve">. </w:t>
      </w:r>
      <w:r w:rsidR="00713196" w:rsidRPr="00713196">
        <w:rPr>
          <w:i/>
          <w:sz w:val="22"/>
          <w:szCs w:val="22"/>
          <w:lang w:val="en-GB"/>
        </w:rPr>
        <w:t>Promote economic and social development in regions on both sides of common borders</w:t>
      </w:r>
    </w:p>
    <w:p w:rsidR="0006798E" w:rsidRPr="00713196" w:rsidRDefault="0006798E" w:rsidP="00CC783D">
      <w:pPr>
        <w:pStyle w:val="ListParagraph"/>
        <w:numPr>
          <w:ilvl w:val="0"/>
          <w:numId w:val="66"/>
        </w:numPr>
        <w:autoSpaceDE w:val="0"/>
        <w:autoSpaceDN w:val="0"/>
        <w:adjustRightInd w:val="0"/>
        <w:spacing w:after="120" w:line="21" w:lineRule="atLeast"/>
        <w:jc w:val="both"/>
        <w:rPr>
          <w:sz w:val="22"/>
          <w:szCs w:val="22"/>
          <w:lang w:val="en-GB"/>
        </w:rPr>
      </w:pPr>
      <w:r>
        <w:rPr>
          <w:sz w:val="22"/>
          <w:szCs w:val="22"/>
          <w:lang w:val="en-GB"/>
        </w:rPr>
        <w:t xml:space="preserve">Thematic Objective 6. </w:t>
      </w:r>
      <w:r w:rsidRPr="00713196">
        <w:rPr>
          <w:i/>
          <w:sz w:val="22"/>
          <w:szCs w:val="22"/>
          <w:lang w:val="en-GB"/>
        </w:rPr>
        <w:t xml:space="preserve">Environmental protection, </w:t>
      </w:r>
      <w:r w:rsidR="00BE6D0E">
        <w:rPr>
          <w:i/>
          <w:sz w:val="22"/>
          <w:szCs w:val="22"/>
          <w:lang w:val="en-GB"/>
        </w:rPr>
        <w:t xml:space="preserve">and </w:t>
      </w:r>
      <w:r w:rsidRPr="00713196">
        <w:rPr>
          <w:i/>
          <w:sz w:val="22"/>
          <w:szCs w:val="22"/>
          <w:lang w:val="en-GB"/>
        </w:rPr>
        <w:t xml:space="preserve">climate change </w:t>
      </w:r>
      <w:r w:rsidR="009C7B3B">
        <w:rPr>
          <w:i/>
          <w:sz w:val="22"/>
          <w:szCs w:val="22"/>
          <w:lang w:val="en-GB"/>
        </w:rPr>
        <w:t xml:space="preserve">mitigation and </w:t>
      </w:r>
      <w:r w:rsidRPr="00713196">
        <w:rPr>
          <w:i/>
          <w:sz w:val="22"/>
          <w:szCs w:val="22"/>
          <w:lang w:val="en-GB"/>
        </w:rPr>
        <w:t>adaptation</w:t>
      </w:r>
      <w:r w:rsidR="00713196">
        <w:rPr>
          <w:sz w:val="22"/>
          <w:szCs w:val="22"/>
          <w:lang w:val="en-GB"/>
        </w:rPr>
        <w:t xml:space="preserve">, contributing to ENI CBC overarching strategic objective B. </w:t>
      </w:r>
      <w:r w:rsidR="00713196" w:rsidRPr="00713196">
        <w:rPr>
          <w:i/>
          <w:sz w:val="22"/>
          <w:szCs w:val="22"/>
          <w:lang w:val="en-GB"/>
        </w:rPr>
        <w:t>Address common challenges in environment, public health, safety and security</w:t>
      </w:r>
    </w:p>
    <w:p w:rsidR="00242208" w:rsidRDefault="008F5270" w:rsidP="00CC783D">
      <w:pPr>
        <w:widowControl w:val="0"/>
        <w:autoSpaceDE w:val="0"/>
        <w:autoSpaceDN w:val="0"/>
        <w:adjustRightInd w:val="0"/>
        <w:spacing w:after="0" w:line="21" w:lineRule="atLeast"/>
        <w:jc w:val="both"/>
        <w:rPr>
          <w:sz w:val="22"/>
          <w:szCs w:val="22"/>
          <w:lang w:val="en-GB"/>
        </w:rPr>
      </w:pPr>
      <w:r>
        <w:rPr>
          <w:sz w:val="22"/>
          <w:szCs w:val="22"/>
          <w:lang w:val="en-GB"/>
        </w:rPr>
        <w:t>Within these</w:t>
      </w:r>
      <w:r w:rsidR="00EE248F">
        <w:rPr>
          <w:sz w:val="22"/>
          <w:szCs w:val="22"/>
          <w:lang w:val="en-GB"/>
        </w:rPr>
        <w:t xml:space="preserve"> ENI CBC</w:t>
      </w:r>
      <w:r>
        <w:rPr>
          <w:sz w:val="22"/>
          <w:szCs w:val="22"/>
          <w:lang w:val="en-GB"/>
        </w:rPr>
        <w:t xml:space="preserve"> thematic</w:t>
      </w:r>
      <w:r w:rsidR="00A50DCF">
        <w:rPr>
          <w:sz w:val="22"/>
          <w:szCs w:val="22"/>
          <w:lang w:val="en-GB"/>
        </w:rPr>
        <w:t xml:space="preserve"> objectives, participating cou</w:t>
      </w:r>
      <w:r>
        <w:rPr>
          <w:sz w:val="22"/>
          <w:szCs w:val="22"/>
          <w:lang w:val="en-GB"/>
        </w:rPr>
        <w:t xml:space="preserve">ntries have agreed a set of of </w:t>
      </w:r>
      <w:r w:rsidR="00A50DCF">
        <w:rPr>
          <w:sz w:val="22"/>
          <w:szCs w:val="22"/>
          <w:lang w:val="en-GB"/>
        </w:rPr>
        <w:t>objectives and priorities for the Black Sea Basin programm</w:t>
      </w:r>
      <w:r>
        <w:rPr>
          <w:sz w:val="22"/>
          <w:szCs w:val="22"/>
          <w:lang w:val="en-GB"/>
        </w:rPr>
        <w:t>e, reflecting their specific circumstances and requirements, as presented in the table below.</w:t>
      </w:r>
      <w:r w:rsidR="00A50DCF">
        <w:rPr>
          <w:sz w:val="22"/>
          <w:szCs w:val="22"/>
          <w:lang w:val="en-GB"/>
        </w:rPr>
        <w:t xml:space="preserve"> </w:t>
      </w:r>
    </w:p>
    <w:p w:rsidR="008F5270" w:rsidRPr="001368E0" w:rsidRDefault="008F5270" w:rsidP="00BF6DDD">
      <w:pPr>
        <w:spacing w:before="240" w:after="120"/>
        <w:rPr>
          <w:b/>
          <w:color w:val="983620"/>
          <w:sz w:val="22"/>
          <w:szCs w:val="22"/>
          <w:lang w:val="en-GB"/>
        </w:rPr>
      </w:pPr>
      <w:r w:rsidRPr="001368E0">
        <w:rPr>
          <w:b/>
          <w:color w:val="983620"/>
          <w:sz w:val="22"/>
          <w:szCs w:val="22"/>
          <w:lang w:val="en-GB"/>
        </w:rPr>
        <w:t>Black Sea Basin ENI Cross-Border Cooperation</w:t>
      </w:r>
      <w:r w:rsidR="00476D32" w:rsidRPr="001368E0">
        <w:rPr>
          <w:b/>
          <w:color w:val="983620"/>
          <w:sz w:val="22"/>
          <w:szCs w:val="22"/>
          <w:lang w:val="en-GB"/>
        </w:rPr>
        <w:t xml:space="preserve"> </w:t>
      </w:r>
      <w:r w:rsidR="006860AD" w:rsidRPr="001368E0">
        <w:rPr>
          <w:b/>
          <w:color w:val="983620"/>
          <w:sz w:val="22"/>
          <w:szCs w:val="22"/>
          <w:lang w:val="en-GB"/>
        </w:rPr>
        <w:t xml:space="preserve">programme </w:t>
      </w:r>
      <w:r w:rsidR="00476D32" w:rsidRPr="001368E0">
        <w:rPr>
          <w:b/>
          <w:color w:val="983620"/>
          <w:sz w:val="22"/>
          <w:szCs w:val="22"/>
          <w:lang w:val="en-GB"/>
        </w:rPr>
        <w:t>2014-</w:t>
      </w:r>
      <w:r w:rsidR="00927048" w:rsidRPr="001368E0">
        <w:rPr>
          <w:b/>
          <w:color w:val="983620"/>
          <w:sz w:val="22"/>
          <w:szCs w:val="22"/>
          <w:lang w:val="en-GB"/>
        </w:rPr>
        <w:t>20</w:t>
      </w:r>
      <w:r w:rsidR="00476D32" w:rsidRPr="001368E0">
        <w:rPr>
          <w:b/>
          <w:color w:val="983620"/>
          <w:sz w:val="22"/>
          <w:szCs w:val="22"/>
          <w:lang w:val="en-GB"/>
        </w:rPr>
        <w:t>20</w:t>
      </w:r>
      <w:r w:rsidRPr="001368E0">
        <w:rPr>
          <w:b/>
          <w:color w:val="983620"/>
          <w:sz w:val="22"/>
          <w:szCs w:val="22"/>
          <w:lang w:val="en-GB"/>
        </w:rPr>
        <w:t xml:space="preserve"> - Objectives and Priorities:</w:t>
      </w:r>
    </w:p>
    <w:tbl>
      <w:tblPr>
        <w:tblW w:w="0" w:type="auto"/>
        <w:tblInd w:w="108" w:type="dxa"/>
        <w:tblBorders>
          <w:top w:val="single" w:sz="8" w:space="0" w:color="C1AD79"/>
          <w:left w:val="single" w:sz="8" w:space="0" w:color="C1AD79"/>
          <w:bottom w:val="single" w:sz="8" w:space="0" w:color="C1AD79"/>
          <w:right w:val="single" w:sz="8" w:space="0" w:color="C1AD79"/>
          <w:insideH w:val="single" w:sz="8" w:space="0" w:color="C1AD79"/>
          <w:insideV w:val="single" w:sz="8" w:space="0" w:color="C1AD79"/>
        </w:tblBorders>
        <w:tblLook w:val="04A0"/>
      </w:tblPr>
      <w:tblGrid>
        <w:gridCol w:w="2410"/>
        <w:gridCol w:w="2693"/>
        <w:gridCol w:w="3969"/>
        <w:gridCol w:w="1915"/>
      </w:tblGrid>
      <w:tr w:rsidR="00026A5C" w:rsidRPr="001368E0" w:rsidTr="001368E0">
        <w:tc>
          <w:tcPr>
            <w:tcW w:w="2410" w:type="dxa"/>
            <w:tcBorders>
              <w:top w:val="single" w:sz="8" w:space="0" w:color="C1AD79"/>
              <w:left w:val="single" w:sz="8" w:space="0" w:color="C1AD79"/>
              <w:bottom w:val="single" w:sz="18" w:space="0" w:color="C1AD79"/>
              <w:right w:val="single" w:sz="8" w:space="0" w:color="C1AD79"/>
            </w:tcBorders>
            <w:shd w:val="clear" w:color="auto" w:fill="auto"/>
          </w:tcPr>
          <w:p w:rsidR="00026A5C" w:rsidRPr="001368E0" w:rsidRDefault="00026A5C" w:rsidP="001368E0">
            <w:pPr>
              <w:spacing w:before="60" w:after="60" w:line="240" w:lineRule="auto"/>
              <w:rPr>
                <w:b/>
                <w:bCs/>
                <w:color w:val="983620"/>
                <w:sz w:val="22"/>
                <w:szCs w:val="22"/>
                <w:lang w:val="en-GB"/>
              </w:rPr>
            </w:pPr>
            <w:r w:rsidRPr="001368E0">
              <w:rPr>
                <w:b/>
                <w:bCs/>
                <w:color w:val="983620"/>
                <w:sz w:val="22"/>
                <w:szCs w:val="22"/>
                <w:lang w:val="en-GB"/>
              </w:rPr>
              <w:t>Overall objective</w:t>
            </w:r>
          </w:p>
        </w:tc>
        <w:tc>
          <w:tcPr>
            <w:tcW w:w="2693" w:type="dxa"/>
            <w:tcBorders>
              <w:top w:val="single" w:sz="8" w:space="0" w:color="C1AD79"/>
              <w:left w:val="single" w:sz="8" w:space="0" w:color="C1AD79"/>
              <w:bottom w:val="single" w:sz="18" w:space="0" w:color="C1AD79"/>
              <w:right w:val="single" w:sz="8" w:space="0" w:color="C1AD79"/>
            </w:tcBorders>
            <w:shd w:val="clear" w:color="auto" w:fill="auto"/>
          </w:tcPr>
          <w:p w:rsidR="00026A5C" w:rsidRPr="001368E0" w:rsidRDefault="00026A5C" w:rsidP="001368E0">
            <w:pPr>
              <w:spacing w:before="60" w:after="60" w:line="240" w:lineRule="auto"/>
              <w:rPr>
                <w:b/>
                <w:bCs/>
                <w:color w:val="983620"/>
                <w:sz w:val="22"/>
                <w:szCs w:val="22"/>
                <w:lang w:val="en-GB"/>
              </w:rPr>
            </w:pPr>
            <w:r w:rsidRPr="001368E0">
              <w:rPr>
                <w:b/>
                <w:bCs/>
                <w:color w:val="983620"/>
                <w:sz w:val="22"/>
                <w:szCs w:val="22"/>
                <w:lang w:val="en-GB"/>
              </w:rPr>
              <w:t>Specific objectives</w:t>
            </w:r>
          </w:p>
        </w:tc>
        <w:tc>
          <w:tcPr>
            <w:tcW w:w="3969" w:type="dxa"/>
            <w:tcBorders>
              <w:top w:val="single" w:sz="8" w:space="0" w:color="C1AD79"/>
              <w:left w:val="single" w:sz="8" w:space="0" w:color="C1AD79"/>
              <w:bottom w:val="single" w:sz="18" w:space="0" w:color="C1AD79"/>
              <w:right w:val="single" w:sz="8" w:space="0" w:color="C1AD79"/>
            </w:tcBorders>
            <w:shd w:val="clear" w:color="auto" w:fill="auto"/>
          </w:tcPr>
          <w:p w:rsidR="00026A5C" w:rsidRPr="001368E0" w:rsidRDefault="00026A5C" w:rsidP="001368E0">
            <w:pPr>
              <w:spacing w:before="60" w:after="60" w:line="240" w:lineRule="auto"/>
              <w:rPr>
                <w:b/>
                <w:bCs/>
                <w:color w:val="983620"/>
                <w:sz w:val="22"/>
                <w:szCs w:val="22"/>
                <w:lang w:val="en-GB"/>
              </w:rPr>
            </w:pPr>
            <w:r w:rsidRPr="001368E0">
              <w:rPr>
                <w:b/>
                <w:bCs/>
                <w:color w:val="983620"/>
                <w:sz w:val="22"/>
                <w:szCs w:val="22"/>
                <w:lang w:val="en-GB"/>
              </w:rPr>
              <w:t>Priorities</w:t>
            </w:r>
          </w:p>
        </w:tc>
        <w:tc>
          <w:tcPr>
            <w:tcW w:w="1915" w:type="dxa"/>
            <w:tcBorders>
              <w:top w:val="single" w:sz="8" w:space="0" w:color="C1AD79"/>
              <w:left w:val="single" w:sz="8" w:space="0" w:color="C1AD79"/>
              <w:bottom w:val="single" w:sz="18" w:space="0" w:color="C1AD79"/>
              <w:right w:val="single" w:sz="8" w:space="0" w:color="C1AD79"/>
            </w:tcBorders>
            <w:shd w:val="clear" w:color="auto" w:fill="auto"/>
          </w:tcPr>
          <w:p w:rsidR="00026A5C" w:rsidRPr="001368E0" w:rsidRDefault="00026A5C" w:rsidP="001368E0">
            <w:pPr>
              <w:spacing w:before="60" w:after="60" w:line="240" w:lineRule="auto"/>
              <w:rPr>
                <w:b/>
                <w:bCs/>
                <w:color w:val="983620"/>
                <w:sz w:val="22"/>
                <w:szCs w:val="22"/>
                <w:lang w:val="en-GB"/>
              </w:rPr>
            </w:pPr>
            <w:r w:rsidRPr="001368E0">
              <w:rPr>
                <w:b/>
                <w:bCs/>
                <w:color w:val="983620"/>
                <w:sz w:val="22"/>
                <w:szCs w:val="22"/>
                <w:lang w:val="en-GB"/>
              </w:rPr>
              <w:t>ENI EU funding (provisional)</w:t>
            </w:r>
          </w:p>
        </w:tc>
      </w:tr>
      <w:tr w:rsidR="00026A5C" w:rsidRPr="001368E0" w:rsidTr="001368E0">
        <w:tc>
          <w:tcPr>
            <w:tcW w:w="2410" w:type="dxa"/>
            <w:vMerge w:val="restart"/>
            <w:tcBorders>
              <w:top w:val="single" w:sz="8" w:space="0" w:color="C1AD79"/>
              <w:left w:val="single" w:sz="8" w:space="0" w:color="C1AD79"/>
              <w:bottom w:val="single" w:sz="8" w:space="0" w:color="C1AD79"/>
              <w:right w:val="single" w:sz="8" w:space="0" w:color="C1AD79"/>
            </w:tcBorders>
            <w:shd w:val="clear" w:color="auto" w:fill="D9CDAE"/>
            <w:vAlign w:val="center"/>
          </w:tcPr>
          <w:p w:rsidR="00026A5C" w:rsidRPr="001368E0" w:rsidRDefault="00026A5C" w:rsidP="001368E0">
            <w:pPr>
              <w:spacing w:before="60" w:after="60" w:line="240" w:lineRule="auto"/>
              <w:jc w:val="both"/>
              <w:rPr>
                <w:bCs/>
                <w:sz w:val="22"/>
                <w:szCs w:val="22"/>
                <w:lang w:val="en-GB"/>
              </w:rPr>
            </w:pPr>
            <w:r w:rsidRPr="001368E0">
              <w:rPr>
                <w:bCs/>
                <w:sz w:val="22"/>
                <w:szCs w:val="22"/>
                <w:lang w:val="en-GB"/>
              </w:rPr>
              <w:t>Improve the welfare of the people in the Black Sea basin regions through sustainable growth and joint environmental protection</w:t>
            </w:r>
          </w:p>
        </w:tc>
        <w:tc>
          <w:tcPr>
            <w:tcW w:w="2693" w:type="dxa"/>
            <w:vMerge w:val="restart"/>
            <w:tcBorders>
              <w:top w:val="single" w:sz="8" w:space="0" w:color="C1AD79"/>
              <w:left w:val="single" w:sz="8" w:space="0" w:color="C1AD79"/>
              <w:bottom w:val="single" w:sz="8" w:space="0" w:color="C1AD79"/>
              <w:right w:val="single" w:sz="8" w:space="0" w:color="C1AD79"/>
            </w:tcBorders>
            <w:shd w:val="clear" w:color="auto" w:fill="E6DEC9"/>
            <w:vAlign w:val="center"/>
          </w:tcPr>
          <w:p w:rsidR="00026A5C" w:rsidRPr="001368E0" w:rsidRDefault="00026A5C" w:rsidP="001368E0">
            <w:pPr>
              <w:spacing w:before="80" w:after="80" w:line="240" w:lineRule="auto"/>
              <w:jc w:val="both"/>
              <w:rPr>
                <w:sz w:val="22"/>
                <w:szCs w:val="22"/>
                <w:lang w:val="en-GB"/>
              </w:rPr>
            </w:pPr>
            <w:r w:rsidRPr="001368E0">
              <w:rPr>
                <w:sz w:val="22"/>
                <w:szCs w:val="22"/>
                <w:lang w:val="en-GB"/>
              </w:rPr>
              <w:t>1. Promote business and entrepreneur</w:t>
            </w:r>
            <w:r w:rsidR="001C68BF" w:rsidRPr="001368E0">
              <w:rPr>
                <w:sz w:val="22"/>
                <w:szCs w:val="22"/>
                <w:lang w:val="en-GB"/>
              </w:rPr>
              <w:t>ship within the Black Sea basin</w:t>
            </w:r>
          </w:p>
        </w:tc>
        <w:tc>
          <w:tcPr>
            <w:tcW w:w="3969" w:type="dxa"/>
            <w:tcBorders>
              <w:top w:val="single" w:sz="8" w:space="0" w:color="C1AD79"/>
              <w:left w:val="single" w:sz="8" w:space="0" w:color="C1AD79"/>
              <w:bottom w:val="single" w:sz="8" w:space="0" w:color="C1AD79"/>
              <w:right w:val="single" w:sz="8" w:space="0" w:color="C1AD79"/>
            </w:tcBorders>
            <w:shd w:val="clear" w:color="auto" w:fill="E6DEC9"/>
            <w:vAlign w:val="center"/>
          </w:tcPr>
          <w:p w:rsidR="00026A5C" w:rsidRPr="001368E0" w:rsidRDefault="00026A5C" w:rsidP="001368E0">
            <w:pPr>
              <w:spacing w:before="80" w:after="80" w:line="240" w:lineRule="auto"/>
              <w:jc w:val="both"/>
              <w:rPr>
                <w:sz w:val="22"/>
                <w:szCs w:val="22"/>
                <w:lang w:val="en-GB"/>
              </w:rPr>
            </w:pPr>
            <w:r w:rsidRPr="001368E0">
              <w:rPr>
                <w:sz w:val="22"/>
                <w:szCs w:val="22"/>
                <w:lang w:val="en-GB"/>
              </w:rPr>
              <w:t>1.1 Jointly promote business and entrepreneurship in the tourism and cultural sectors</w:t>
            </w:r>
          </w:p>
        </w:tc>
        <w:tc>
          <w:tcPr>
            <w:tcW w:w="1915" w:type="dxa"/>
            <w:vMerge w:val="restart"/>
            <w:tcBorders>
              <w:top w:val="single" w:sz="8" w:space="0" w:color="C1AD79"/>
              <w:left w:val="single" w:sz="8" w:space="0" w:color="C1AD79"/>
              <w:bottom w:val="single" w:sz="8" w:space="0" w:color="C1AD79"/>
              <w:right w:val="single" w:sz="8" w:space="0" w:color="C1AD79"/>
            </w:tcBorders>
            <w:shd w:val="clear" w:color="auto" w:fill="E6DEC9"/>
            <w:vAlign w:val="center"/>
          </w:tcPr>
          <w:p w:rsidR="00026A5C" w:rsidRPr="001368E0" w:rsidRDefault="001C68BF" w:rsidP="001368E0">
            <w:pPr>
              <w:spacing w:before="80" w:after="80" w:line="240" w:lineRule="auto"/>
              <w:rPr>
                <w:sz w:val="22"/>
                <w:szCs w:val="22"/>
                <w:lang w:val="en-GB"/>
              </w:rPr>
            </w:pPr>
            <w:r w:rsidRPr="001368E0">
              <w:rPr>
                <w:sz w:val="22"/>
                <w:szCs w:val="22"/>
                <w:lang w:val="en-GB"/>
              </w:rPr>
              <w:t>€25.34 million</w:t>
            </w:r>
            <w:r w:rsidR="00026A5C" w:rsidRPr="001368E0">
              <w:rPr>
                <w:sz w:val="22"/>
                <w:szCs w:val="22"/>
                <w:lang w:val="en-GB"/>
              </w:rPr>
              <w:t xml:space="preserve"> </w:t>
            </w:r>
          </w:p>
        </w:tc>
      </w:tr>
      <w:tr w:rsidR="00026A5C" w:rsidRPr="001368E0" w:rsidTr="001368E0">
        <w:tc>
          <w:tcPr>
            <w:tcW w:w="2410" w:type="dxa"/>
            <w:vMerge/>
            <w:tcBorders>
              <w:top w:val="single" w:sz="8" w:space="0" w:color="C1AD79"/>
              <w:left w:val="single" w:sz="8" w:space="0" w:color="C1AD79"/>
              <w:bottom w:val="single" w:sz="8" w:space="0" w:color="C1AD79"/>
              <w:right w:val="single" w:sz="8" w:space="0" w:color="C1AD79"/>
            </w:tcBorders>
            <w:shd w:val="clear" w:color="auto" w:fill="D9CDAE"/>
            <w:vAlign w:val="center"/>
          </w:tcPr>
          <w:p w:rsidR="00026A5C" w:rsidRPr="001368E0" w:rsidRDefault="00026A5C" w:rsidP="001368E0">
            <w:pPr>
              <w:spacing w:before="60" w:after="60" w:line="240" w:lineRule="auto"/>
              <w:jc w:val="both"/>
              <w:rPr>
                <w:b/>
                <w:bCs/>
                <w:sz w:val="22"/>
                <w:szCs w:val="22"/>
                <w:lang w:val="en-GB"/>
              </w:rPr>
            </w:pPr>
          </w:p>
        </w:tc>
        <w:tc>
          <w:tcPr>
            <w:tcW w:w="2693" w:type="dxa"/>
            <w:vMerge/>
            <w:tcBorders>
              <w:top w:val="single" w:sz="8" w:space="0" w:color="C1AD79"/>
              <w:left w:val="single" w:sz="8" w:space="0" w:color="C1AD79"/>
              <w:bottom w:val="single" w:sz="8" w:space="0" w:color="C1AD79"/>
              <w:right w:val="single" w:sz="8" w:space="0" w:color="C1AD79"/>
            </w:tcBorders>
            <w:shd w:val="clear" w:color="auto" w:fill="E6DEC9"/>
            <w:vAlign w:val="center"/>
          </w:tcPr>
          <w:p w:rsidR="00026A5C" w:rsidRPr="001368E0" w:rsidRDefault="00026A5C" w:rsidP="001368E0">
            <w:pPr>
              <w:spacing w:before="80" w:after="80" w:line="240" w:lineRule="auto"/>
              <w:jc w:val="both"/>
              <w:rPr>
                <w:b/>
                <w:sz w:val="22"/>
                <w:szCs w:val="22"/>
                <w:lang w:val="en-GB"/>
              </w:rPr>
            </w:pPr>
          </w:p>
        </w:tc>
        <w:tc>
          <w:tcPr>
            <w:tcW w:w="3969" w:type="dxa"/>
            <w:tcBorders>
              <w:top w:val="single" w:sz="8" w:space="0" w:color="C1AD79"/>
              <w:left w:val="single" w:sz="8" w:space="0" w:color="C1AD79"/>
              <w:bottom w:val="single" w:sz="8" w:space="0" w:color="C1AD79"/>
              <w:right w:val="single" w:sz="8" w:space="0" w:color="C1AD79"/>
            </w:tcBorders>
            <w:shd w:val="clear" w:color="auto" w:fill="E6DEC9"/>
            <w:vAlign w:val="center"/>
          </w:tcPr>
          <w:p w:rsidR="00026A5C" w:rsidRPr="001368E0" w:rsidRDefault="00026A5C" w:rsidP="001368E0">
            <w:pPr>
              <w:spacing w:before="80" w:after="80" w:line="240" w:lineRule="auto"/>
              <w:jc w:val="both"/>
              <w:rPr>
                <w:b/>
                <w:sz w:val="22"/>
                <w:szCs w:val="22"/>
                <w:lang w:val="en-GB"/>
              </w:rPr>
            </w:pPr>
            <w:r w:rsidRPr="001368E0">
              <w:rPr>
                <w:sz w:val="22"/>
                <w:szCs w:val="22"/>
                <w:lang w:val="en-GB"/>
              </w:rPr>
              <w:t>1.2 Increase cross-border trade opportunities and modernisation in the agricultural and connected sectors</w:t>
            </w:r>
          </w:p>
        </w:tc>
        <w:tc>
          <w:tcPr>
            <w:tcW w:w="1915" w:type="dxa"/>
            <w:vMerge/>
            <w:tcBorders>
              <w:top w:val="single" w:sz="8" w:space="0" w:color="C1AD79"/>
              <w:left w:val="single" w:sz="8" w:space="0" w:color="C1AD79"/>
              <w:bottom w:val="single" w:sz="8" w:space="0" w:color="C1AD79"/>
              <w:right w:val="single" w:sz="8" w:space="0" w:color="C1AD79"/>
            </w:tcBorders>
            <w:shd w:val="clear" w:color="auto" w:fill="E6DEC9"/>
            <w:vAlign w:val="center"/>
          </w:tcPr>
          <w:p w:rsidR="00026A5C" w:rsidRPr="001368E0" w:rsidRDefault="00026A5C" w:rsidP="001368E0">
            <w:pPr>
              <w:spacing w:before="80" w:after="80" w:line="240" w:lineRule="auto"/>
              <w:rPr>
                <w:sz w:val="22"/>
                <w:szCs w:val="22"/>
                <w:lang w:val="en-GB"/>
              </w:rPr>
            </w:pPr>
          </w:p>
        </w:tc>
      </w:tr>
      <w:tr w:rsidR="00026A5C" w:rsidRPr="001368E0" w:rsidTr="001368E0">
        <w:tc>
          <w:tcPr>
            <w:tcW w:w="2410" w:type="dxa"/>
            <w:vMerge/>
            <w:tcBorders>
              <w:top w:val="single" w:sz="8" w:space="0" w:color="C1AD79"/>
              <w:left w:val="single" w:sz="8" w:space="0" w:color="C1AD79"/>
              <w:bottom w:val="single" w:sz="8" w:space="0" w:color="C1AD79"/>
              <w:right w:val="single" w:sz="8" w:space="0" w:color="C1AD79"/>
            </w:tcBorders>
            <w:shd w:val="clear" w:color="auto" w:fill="D9CDAE"/>
            <w:vAlign w:val="center"/>
          </w:tcPr>
          <w:p w:rsidR="00026A5C" w:rsidRPr="001368E0" w:rsidRDefault="00026A5C" w:rsidP="001368E0">
            <w:pPr>
              <w:spacing w:before="60" w:after="60" w:line="240" w:lineRule="auto"/>
              <w:jc w:val="both"/>
              <w:rPr>
                <w:b/>
                <w:bCs/>
                <w:sz w:val="22"/>
                <w:szCs w:val="22"/>
                <w:lang w:val="en-GB"/>
              </w:rPr>
            </w:pPr>
          </w:p>
        </w:tc>
        <w:tc>
          <w:tcPr>
            <w:tcW w:w="2693" w:type="dxa"/>
            <w:vMerge w:val="restart"/>
            <w:tcBorders>
              <w:top w:val="single" w:sz="8" w:space="0" w:color="C1AD79"/>
              <w:left w:val="single" w:sz="8" w:space="0" w:color="C1AD79"/>
              <w:bottom w:val="single" w:sz="8" w:space="0" w:color="C1AD79"/>
              <w:right w:val="single" w:sz="8" w:space="0" w:color="C1AD79"/>
            </w:tcBorders>
            <w:shd w:val="clear" w:color="auto" w:fill="F2EEE4"/>
            <w:vAlign w:val="center"/>
          </w:tcPr>
          <w:p w:rsidR="00026A5C" w:rsidRPr="001368E0" w:rsidRDefault="00026A5C" w:rsidP="001368E0">
            <w:pPr>
              <w:spacing w:before="80" w:after="80" w:line="240" w:lineRule="auto"/>
              <w:jc w:val="both"/>
              <w:rPr>
                <w:b/>
                <w:sz w:val="22"/>
                <w:szCs w:val="22"/>
                <w:lang w:val="en-GB"/>
              </w:rPr>
            </w:pPr>
            <w:r w:rsidRPr="001368E0">
              <w:rPr>
                <w:sz w:val="22"/>
                <w:szCs w:val="22"/>
                <w:lang w:val="en-GB"/>
              </w:rPr>
              <w:t>2. Promote coordination of environmental protection and joint reduction of marine litter in the Black Sea basin</w:t>
            </w:r>
          </w:p>
        </w:tc>
        <w:tc>
          <w:tcPr>
            <w:tcW w:w="3969" w:type="dxa"/>
            <w:tcBorders>
              <w:top w:val="single" w:sz="8" w:space="0" w:color="C1AD79"/>
              <w:left w:val="single" w:sz="8" w:space="0" w:color="C1AD79"/>
              <w:bottom w:val="single" w:sz="8" w:space="0" w:color="C1AD79"/>
              <w:right w:val="single" w:sz="8" w:space="0" w:color="C1AD79"/>
            </w:tcBorders>
            <w:shd w:val="clear" w:color="auto" w:fill="F2EEE4"/>
            <w:vAlign w:val="center"/>
          </w:tcPr>
          <w:p w:rsidR="00026A5C" w:rsidRPr="001368E0" w:rsidRDefault="00026A5C" w:rsidP="001368E0">
            <w:pPr>
              <w:spacing w:before="80" w:after="80" w:line="240" w:lineRule="auto"/>
              <w:jc w:val="both"/>
              <w:rPr>
                <w:b/>
                <w:sz w:val="22"/>
                <w:szCs w:val="22"/>
                <w:lang w:val="en-GB"/>
              </w:rPr>
            </w:pPr>
            <w:r w:rsidRPr="001368E0">
              <w:rPr>
                <w:sz w:val="22"/>
                <w:szCs w:val="22"/>
                <w:lang w:val="en-GB"/>
              </w:rPr>
              <w:t>2.1 Improve joint environmental monitoring</w:t>
            </w:r>
          </w:p>
        </w:tc>
        <w:tc>
          <w:tcPr>
            <w:tcW w:w="1915" w:type="dxa"/>
            <w:vMerge w:val="restart"/>
            <w:tcBorders>
              <w:top w:val="single" w:sz="8" w:space="0" w:color="C1AD79"/>
              <w:left w:val="single" w:sz="8" w:space="0" w:color="C1AD79"/>
              <w:bottom w:val="single" w:sz="8" w:space="0" w:color="C1AD79"/>
              <w:right w:val="single" w:sz="8" w:space="0" w:color="C1AD79"/>
            </w:tcBorders>
            <w:shd w:val="clear" w:color="auto" w:fill="F2EEE4"/>
            <w:vAlign w:val="center"/>
          </w:tcPr>
          <w:p w:rsidR="00026A5C" w:rsidRPr="001368E0" w:rsidRDefault="001C68BF" w:rsidP="001368E0">
            <w:pPr>
              <w:spacing w:before="80" w:after="80" w:line="240" w:lineRule="auto"/>
              <w:rPr>
                <w:sz w:val="22"/>
                <w:szCs w:val="22"/>
                <w:lang w:val="en-GB"/>
              </w:rPr>
            </w:pPr>
            <w:r w:rsidRPr="001368E0">
              <w:rPr>
                <w:sz w:val="22"/>
                <w:szCs w:val="22"/>
                <w:lang w:val="en-GB"/>
              </w:rPr>
              <w:t>€18.80 million</w:t>
            </w:r>
          </w:p>
        </w:tc>
      </w:tr>
      <w:tr w:rsidR="00026A5C" w:rsidRPr="001368E0" w:rsidTr="001368E0">
        <w:tc>
          <w:tcPr>
            <w:tcW w:w="2410" w:type="dxa"/>
            <w:vMerge/>
            <w:tcBorders>
              <w:top w:val="single" w:sz="8" w:space="0" w:color="C1AD79"/>
              <w:left w:val="single" w:sz="8" w:space="0" w:color="C1AD79"/>
              <w:bottom w:val="single" w:sz="8" w:space="0" w:color="C1AD79"/>
              <w:right w:val="single" w:sz="8" w:space="0" w:color="C1AD79"/>
            </w:tcBorders>
            <w:shd w:val="clear" w:color="auto" w:fill="D9CDAE"/>
          </w:tcPr>
          <w:p w:rsidR="00026A5C" w:rsidRPr="001368E0" w:rsidRDefault="00026A5C" w:rsidP="001368E0">
            <w:pPr>
              <w:spacing w:before="60" w:after="60" w:line="240" w:lineRule="auto"/>
              <w:jc w:val="both"/>
              <w:rPr>
                <w:b/>
                <w:bCs/>
                <w:sz w:val="22"/>
                <w:szCs w:val="22"/>
                <w:lang w:val="en-GB"/>
              </w:rPr>
            </w:pPr>
          </w:p>
        </w:tc>
        <w:tc>
          <w:tcPr>
            <w:tcW w:w="2693" w:type="dxa"/>
            <w:vMerge/>
            <w:tcBorders>
              <w:top w:val="single" w:sz="8" w:space="0" w:color="C1AD79"/>
              <w:left w:val="single" w:sz="8" w:space="0" w:color="C1AD79"/>
              <w:bottom w:val="single" w:sz="8" w:space="0" w:color="C1AD79"/>
              <w:right w:val="single" w:sz="8" w:space="0" w:color="C1AD79"/>
            </w:tcBorders>
            <w:shd w:val="clear" w:color="auto" w:fill="F2EEE4"/>
          </w:tcPr>
          <w:p w:rsidR="00026A5C" w:rsidRPr="001368E0" w:rsidRDefault="00026A5C" w:rsidP="001368E0">
            <w:pPr>
              <w:spacing w:before="80" w:after="80" w:line="240" w:lineRule="auto"/>
              <w:jc w:val="both"/>
              <w:rPr>
                <w:b/>
                <w:sz w:val="22"/>
                <w:szCs w:val="22"/>
                <w:lang w:val="en-GB"/>
              </w:rPr>
            </w:pPr>
          </w:p>
        </w:tc>
        <w:tc>
          <w:tcPr>
            <w:tcW w:w="3969" w:type="dxa"/>
            <w:tcBorders>
              <w:top w:val="single" w:sz="8" w:space="0" w:color="C1AD79"/>
              <w:left w:val="single" w:sz="8" w:space="0" w:color="C1AD79"/>
              <w:bottom w:val="single" w:sz="8" w:space="0" w:color="C1AD79"/>
              <w:right w:val="single" w:sz="8" w:space="0" w:color="C1AD79"/>
            </w:tcBorders>
            <w:shd w:val="clear" w:color="auto" w:fill="F2EEE4"/>
          </w:tcPr>
          <w:p w:rsidR="00026A5C" w:rsidRPr="001368E0" w:rsidRDefault="00026A5C" w:rsidP="001368E0">
            <w:pPr>
              <w:spacing w:before="80" w:after="80" w:line="240" w:lineRule="auto"/>
              <w:jc w:val="both"/>
              <w:rPr>
                <w:b/>
                <w:sz w:val="22"/>
                <w:szCs w:val="22"/>
                <w:lang w:val="en-GB"/>
              </w:rPr>
            </w:pPr>
            <w:r w:rsidRPr="001368E0">
              <w:rPr>
                <w:sz w:val="22"/>
                <w:szCs w:val="22"/>
                <w:lang w:val="en-GB"/>
              </w:rPr>
              <w:t>2.2 Promote common awareness-raising and joint actions to reduce river and marine litter</w:t>
            </w:r>
          </w:p>
        </w:tc>
        <w:tc>
          <w:tcPr>
            <w:tcW w:w="1915" w:type="dxa"/>
            <w:vMerge/>
            <w:tcBorders>
              <w:top w:val="single" w:sz="8" w:space="0" w:color="C1AD79"/>
              <w:left w:val="single" w:sz="8" w:space="0" w:color="C1AD79"/>
              <w:bottom w:val="single" w:sz="8" w:space="0" w:color="C1AD79"/>
              <w:right w:val="single" w:sz="8" w:space="0" w:color="C1AD79"/>
            </w:tcBorders>
            <w:shd w:val="clear" w:color="auto" w:fill="F2EEE4"/>
          </w:tcPr>
          <w:p w:rsidR="00026A5C" w:rsidRPr="001368E0" w:rsidRDefault="00026A5C" w:rsidP="001368E0">
            <w:pPr>
              <w:spacing w:before="80" w:after="80" w:line="240" w:lineRule="auto"/>
              <w:rPr>
                <w:sz w:val="22"/>
                <w:szCs w:val="22"/>
                <w:lang w:val="en-GB"/>
              </w:rPr>
            </w:pPr>
          </w:p>
        </w:tc>
      </w:tr>
    </w:tbl>
    <w:p w:rsidR="00DF3F36" w:rsidRPr="00DF3F36" w:rsidRDefault="00DF3F36" w:rsidP="00DF3F36">
      <w:pPr>
        <w:spacing w:before="120" w:after="0" w:line="264" w:lineRule="auto"/>
        <w:jc w:val="both"/>
        <w:rPr>
          <w:sz w:val="6"/>
          <w:szCs w:val="6"/>
          <w:lang w:val="en-GB"/>
        </w:rPr>
      </w:pPr>
    </w:p>
    <w:p w:rsidR="008A08E7" w:rsidRDefault="008A08E7" w:rsidP="00CC783D">
      <w:pPr>
        <w:autoSpaceDE w:val="0"/>
        <w:autoSpaceDN w:val="0"/>
        <w:adjustRightInd w:val="0"/>
        <w:spacing w:after="60" w:line="252" w:lineRule="auto"/>
        <w:jc w:val="both"/>
        <w:rPr>
          <w:sz w:val="22"/>
          <w:szCs w:val="22"/>
          <w:lang w:val="en-GB"/>
        </w:rPr>
      </w:pPr>
      <w:r>
        <w:rPr>
          <w:sz w:val="22"/>
          <w:szCs w:val="22"/>
          <w:lang w:val="en-GB"/>
        </w:rPr>
        <w:t xml:space="preserve">A number of important elements for successful, sustained and inclusive cross-border cooperation will also be supported as horizontal issues or modalities to be deployed across </w:t>
      </w:r>
      <w:r w:rsidR="004F6BE9">
        <w:rPr>
          <w:sz w:val="22"/>
          <w:szCs w:val="22"/>
          <w:lang w:val="en-GB"/>
        </w:rPr>
        <w:t>any of the priorities</w:t>
      </w:r>
      <w:r w:rsidR="00CC783D">
        <w:rPr>
          <w:sz w:val="22"/>
          <w:szCs w:val="22"/>
          <w:lang w:val="en-GB"/>
        </w:rPr>
        <w:t xml:space="preserve">. </w:t>
      </w:r>
      <w:r>
        <w:rPr>
          <w:sz w:val="22"/>
          <w:szCs w:val="22"/>
          <w:lang w:val="en-GB"/>
        </w:rPr>
        <w:t>They include:</w:t>
      </w:r>
    </w:p>
    <w:p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 xml:space="preserve">So-called ‘people-to-people’ actions </w:t>
      </w:r>
    </w:p>
    <w:p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Promotion of loc</w:t>
      </w:r>
      <w:r w:rsidR="007540D5">
        <w:rPr>
          <w:sz w:val="22"/>
          <w:szCs w:val="22"/>
          <w:lang w:val="en-GB"/>
        </w:rPr>
        <w:t>al and regional good governance</w:t>
      </w:r>
    </w:p>
    <w:p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 xml:space="preserve">Promotion of regional integration/coordination </w:t>
      </w:r>
    </w:p>
    <w:p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 xml:space="preserve">The use and development of relevant information and communication technologies </w:t>
      </w:r>
    </w:p>
    <w:p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 xml:space="preserve">Promotion of gender equality, and opportunities for youth. </w:t>
      </w:r>
    </w:p>
    <w:p w:rsidR="00D75AB7" w:rsidRDefault="004F6BE9" w:rsidP="00F13106">
      <w:pPr>
        <w:spacing w:after="0" w:line="21" w:lineRule="atLeast"/>
        <w:jc w:val="both"/>
        <w:rPr>
          <w:sz w:val="22"/>
          <w:szCs w:val="22"/>
          <w:lang w:val="en-GB"/>
        </w:rPr>
      </w:pPr>
      <w:r>
        <w:rPr>
          <w:sz w:val="22"/>
          <w:szCs w:val="22"/>
          <w:lang w:val="en-GB"/>
        </w:rPr>
        <w:t>To achieve its</w:t>
      </w:r>
      <w:r w:rsidR="00DF3F36">
        <w:rPr>
          <w:sz w:val="22"/>
          <w:szCs w:val="22"/>
          <w:lang w:val="en-GB"/>
        </w:rPr>
        <w:t xml:space="preserve"> objectives, the programme</w:t>
      </w:r>
      <w:r w:rsidR="00D75AB7">
        <w:rPr>
          <w:sz w:val="22"/>
          <w:szCs w:val="22"/>
          <w:lang w:val="en-GB"/>
        </w:rPr>
        <w:t xml:space="preserve"> will award</w:t>
      </w:r>
      <w:r w:rsidR="00DF3F36">
        <w:rPr>
          <w:sz w:val="22"/>
          <w:szCs w:val="22"/>
          <w:lang w:val="en-GB"/>
        </w:rPr>
        <w:t xml:space="preserve"> </w:t>
      </w:r>
      <w:r w:rsidR="00D75AB7">
        <w:rPr>
          <w:b/>
          <w:sz w:val="22"/>
          <w:szCs w:val="22"/>
          <w:lang w:val="en-GB"/>
        </w:rPr>
        <w:t xml:space="preserve">grants </w:t>
      </w:r>
      <w:r w:rsidR="00D75AB7" w:rsidRPr="00B467A7">
        <w:rPr>
          <w:b/>
          <w:sz w:val="22"/>
          <w:szCs w:val="22"/>
          <w:lang w:val="en-GB"/>
        </w:rPr>
        <w:t xml:space="preserve">to </w:t>
      </w:r>
      <w:r w:rsidR="00D75AB7">
        <w:rPr>
          <w:b/>
          <w:sz w:val="22"/>
          <w:szCs w:val="22"/>
          <w:lang w:val="en-GB"/>
        </w:rPr>
        <w:t xml:space="preserve">CBC </w:t>
      </w:r>
      <w:r w:rsidR="00D75AB7" w:rsidRPr="00B467A7">
        <w:rPr>
          <w:b/>
          <w:sz w:val="22"/>
          <w:szCs w:val="22"/>
          <w:lang w:val="en-GB"/>
        </w:rPr>
        <w:t>projects selected through calls for proposals</w:t>
      </w:r>
      <w:r w:rsidR="00D75AB7" w:rsidRPr="00B467A7">
        <w:rPr>
          <w:sz w:val="22"/>
          <w:szCs w:val="22"/>
          <w:lang w:val="en-GB"/>
        </w:rPr>
        <w:t>. Two calls for proposals are expected to be launched during the programme lifetime</w:t>
      </w:r>
      <w:r w:rsidR="00D75AB7">
        <w:rPr>
          <w:sz w:val="22"/>
          <w:szCs w:val="22"/>
          <w:lang w:val="en-GB"/>
        </w:rPr>
        <w:t xml:space="preserve">, in 2016 and 2018. </w:t>
      </w:r>
      <w:r w:rsidR="00954908">
        <w:rPr>
          <w:sz w:val="22"/>
          <w:szCs w:val="22"/>
          <w:lang w:val="en-GB"/>
        </w:rPr>
        <w:t>The recommended financial size of projects</w:t>
      </w:r>
      <w:r w:rsidR="00954908" w:rsidRPr="00717B16">
        <w:rPr>
          <w:sz w:val="22"/>
          <w:szCs w:val="22"/>
          <w:lang w:val="en-GB"/>
        </w:rPr>
        <w:t xml:space="preserve"> will be further defined in th</w:t>
      </w:r>
      <w:r w:rsidR="00954908">
        <w:rPr>
          <w:sz w:val="22"/>
          <w:szCs w:val="22"/>
          <w:lang w:val="en-GB"/>
        </w:rPr>
        <w:t>e calls for p</w:t>
      </w:r>
      <w:r w:rsidR="00954908" w:rsidRPr="00717B16">
        <w:rPr>
          <w:sz w:val="22"/>
          <w:szCs w:val="22"/>
          <w:lang w:val="en-GB"/>
        </w:rPr>
        <w:t>roposals.</w:t>
      </w:r>
    </w:p>
    <w:p w:rsidR="00D75AB7" w:rsidRDefault="00D75AB7" w:rsidP="00F13106">
      <w:pPr>
        <w:spacing w:before="120" w:after="0" w:line="21" w:lineRule="atLeast"/>
        <w:jc w:val="both"/>
        <w:rPr>
          <w:sz w:val="22"/>
          <w:szCs w:val="22"/>
          <w:lang w:val="en-GB"/>
        </w:rPr>
      </w:pPr>
      <w:r w:rsidRPr="00FE09B2">
        <w:rPr>
          <w:sz w:val="22"/>
          <w:szCs w:val="22"/>
          <w:lang w:val="en-GB"/>
        </w:rPr>
        <w:lastRenderedPageBreak/>
        <w:t xml:space="preserve">Projects </w:t>
      </w:r>
      <w:r>
        <w:rPr>
          <w:sz w:val="22"/>
          <w:szCs w:val="22"/>
          <w:lang w:val="en-GB"/>
        </w:rPr>
        <w:t>will be submitted</w:t>
      </w:r>
      <w:r w:rsidRPr="00683A03">
        <w:rPr>
          <w:b/>
          <w:sz w:val="22"/>
          <w:szCs w:val="22"/>
          <w:lang w:val="en-GB"/>
        </w:rPr>
        <w:t xml:space="preserve"> jointly</w:t>
      </w:r>
      <w:r>
        <w:rPr>
          <w:sz w:val="22"/>
          <w:szCs w:val="22"/>
          <w:lang w:val="en-GB"/>
        </w:rPr>
        <w:t xml:space="preserve"> by partners effectively established in the programme area</w:t>
      </w:r>
      <w:r w:rsidR="001678C0">
        <w:rPr>
          <w:rStyle w:val="FootnoteReference"/>
          <w:sz w:val="22"/>
          <w:szCs w:val="22"/>
          <w:lang w:val="en-GB"/>
        </w:rPr>
        <w:footnoteReference w:id="6"/>
      </w:r>
      <w:r>
        <w:rPr>
          <w:sz w:val="22"/>
          <w:szCs w:val="22"/>
          <w:lang w:val="en-GB"/>
        </w:rPr>
        <w:t xml:space="preserve">, from </w:t>
      </w:r>
      <w:r w:rsidRPr="00CC783D">
        <w:rPr>
          <w:b/>
          <w:sz w:val="22"/>
          <w:szCs w:val="22"/>
          <w:lang w:val="en-GB"/>
        </w:rPr>
        <w:t>at least</w:t>
      </w:r>
      <w:r>
        <w:rPr>
          <w:sz w:val="22"/>
          <w:szCs w:val="22"/>
          <w:lang w:val="en-GB"/>
        </w:rPr>
        <w:t xml:space="preserve"> one of the participating EU Member States </w:t>
      </w:r>
      <w:r w:rsidRPr="00683A03">
        <w:rPr>
          <w:b/>
          <w:sz w:val="22"/>
          <w:szCs w:val="22"/>
          <w:lang w:val="en-GB"/>
        </w:rPr>
        <w:t>and</w:t>
      </w:r>
      <w:r>
        <w:rPr>
          <w:sz w:val="22"/>
          <w:szCs w:val="22"/>
          <w:lang w:val="en-GB"/>
        </w:rPr>
        <w:t xml:space="preserve"> one of the participating partner countries or the Russian Federation. Participation of Turkish partners is only possible in projects with at least one partner from a participating EU Member State and one partner from a participating partner country or the Russian Federation. </w:t>
      </w:r>
    </w:p>
    <w:p w:rsidR="00401175" w:rsidRDefault="00D75AB7" w:rsidP="00F13106">
      <w:pPr>
        <w:spacing w:before="120" w:after="0" w:line="21" w:lineRule="atLeast"/>
        <w:jc w:val="both"/>
        <w:rPr>
          <w:sz w:val="22"/>
          <w:szCs w:val="22"/>
          <w:lang w:val="en-GB"/>
        </w:rPr>
      </w:pPr>
      <w:r>
        <w:rPr>
          <w:sz w:val="22"/>
          <w:szCs w:val="22"/>
          <w:lang w:val="en-GB"/>
        </w:rPr>
        <w:t xml:space="preserve">In line with </w:t>
      </w:r>
      <w:r w:rsidR="00871D66">
        <w:rPr>
          <w:sz w:val="22"/>
          <w:szCs w:val="22"/>
          <w:lang w:val="en-GB"/>
        </w:rPr>
        <w:t xml:space="preserve">the </w:t>
      </w:r>
      <w:r>
        <w:rPr>
          <w:sz w:val="22"/>
          <w:szCs w:val="22"/>
          <w:lang w:val="en-GB"/>
        </w:rPr>
        <w:t>ENI CBC Programming document,</w:t>
      </w:r>
      <w:r w:rsidRPr="005C2FDE">
        <w:rPr>
          <w:sz w:val="22"/>
          <w:szCs w:val="22"/>
          <w:lang w:val="en-GB"/>
        </w:rPr>
        <w:t xml:space="preserve"> the partners implementing projects will primarily represent</w:t>
      </w:r>
      <w:r w:rsidR="00DA635F">
        <w:rPr>
          <w:sz w:val="22"/>
          <w:szCs w:val="22"/>
          <w:lang w:val="en-GB"/>
        </w:rPr>
        <w:t xml:space="preserve"> </w:t>
      </w:r>
      <w:r w:rsidR="00DA635F" w:rsidRPr="005C2FDE">
        <w:rPr>
          <w:sz w:val="22"/>
          <w:szCs w:val="22"/>
          <w:lang w:val="en-GB"/>
        </w:rPr>
        <w:t xml:space="preserve">the </w:t>
      </w:r>
      <w:r w:rsidR="00DA635F" w:rsidRPr="005670FE">
        <w:rPr>
          <w:b/>
          <w:sz w:val="22"/>
          <w:szCs w:val="22"/>
          <w:lang w:val="en-GB"/>
        </w:rPr>
        <w:t>regional and sub-national administrative levels, as well as civil society organisations</w:t>
      </w:r>
      <w:r w:rsidR="00DA635F" w:rsidRPr="005C2FDE">
        <w:rPr>
          <w:sz w:val="22"/>
          <w:szCs w:val="22"/>
          <w:lang w:val="en-GB"/>
        </w:rPr>
        <w:t xml:space="preserve"> based within the eligible programme area</w:t>
      </w:r>
      <w:r w:rsidR="00DA635F">
        <w:rPr>
          <w:sz w:val="22"/>
          <w:szCs w:val="22"/>
          <w:lang w:val="en-GB"/>
        </w:rPr>
        <w:t xml:space="preserve">. </w:t>
      </w:r>
      <w:r w:rsidR="00502226">
        <w:rPr>
          <w:sz w:val="22"/>
          <w:szCs w:val="22"/>
          <w:lang w:val="en-GB"/>
        </w:rPr>
        <w:t>Priority will be given to</w:t>
      </w:r>
      <w:r w:rsidRPr="005C2FDE">
        <w:rPr>
          <w:sz w:val="22"/>
          <w:szCs w:val="22"/>
          <w:lang w:val="en-GB"/>
        </w:rPr>
        <w:t xml:space="preserve"> local and regional authorities, civil society, chambers of commerce, and the academic and educational community; as well as other eligible actors based within the geographical eligibility of the programme and important for the realisation of t</w:t>
      </w:r>
      <w:r>
        <w:rPr>
          <w:sz w:val="22"/>
          <w:szCs w:val="22"/>
          <w:lang w:val="en-GB"/>
        </w:rPr>
        <w:t xml:space="preserve">he objectives of the </w:t>
      </w:r>
      <w:r w:rsidRPr="005C2FDE">
        <w:rPr>
          <w:sz w:val="22"/>
          <w:szCs w:val="22"/>
          <w:lang w:val="en-GB"/>
        </w:rPr>
        <w:t>programme.</w:t>
      </w:r>
      <w:r>
        <w:rPr>
          <w:sz w:val="22"/>
          <w:szCs w:val="22"/>
          <w:lang w:val="en-GB"/>
        </w:rPr>
        <w:t xml:space="preserve"> </w:t>
      </w:r>
    </w:p>
    <w:p w:rsidR="00DF3F36" w:rsidRPr="005B2C72" w:rsidRDefault="00401175" w:rsidP="007B30E0">
      <w:pPr>
        <w:spacing w:before="120" w:after="0" w:line="21" w:lineRule="atLeast"/>
        <w:jc w:val="both"/>
        <w:rPr>
          <w:sz w:val="22"/>
          <w:szCs w:val="22"/>
          <w:lang w:val="en-GB"/>
        </w:rPr>
      </w:pPr>
      <w:r>
        <w:rPr>
          <w:sz w:val="22"/>
          <w:szCs w:val="22"/>
          <w:lang w:val="en-GB"/>
        </w:rPr>
        <w:t xml:space="preserve">Projects shall always deliver clear </w:t>
      </w:r>
      <w:r w:rsidRPr="00106E5B">
        <w:rPr>
          <w:b/>
          <w:sz w:val="22"/>
          <w:szCs w:val="22"/>
          <w:lang w:val="en-GB"/>
        </w:rPr>
        <w:t>cross-border cooperation impact and benefits</w:t>
      </w:r>
      <w:r>
        <w:rPr>
          <w:sz w:val="22"/>
          <w:szCs w:val="22"/>
          <w:lang w:val="en-GB"/>
        </w:rPr>
        <w:t xml:space="preserve">. Each project shall </w:t>
      </w:r>
      <w:r w:rsidR="00DF3F36">
        <w:rPr>
          <w:sz w:val="22"/>
          <w:szCs w:val="22"/>
          <w:lang w:val="en-GB"/>
        </w:rPr>
        <w:t>aim at establishing</w:t>
      </w:r>
      <w:r w:rsidR="00DF3F36" w:rsidRPr="005B2C72">
        <w:rPr>
          <w:sz w:val="22"/>
          <w:szCs w:val="22"/>
          <w:lang w:val="en-GB"/>
        </w:rPr>
        <w:t>:</w:t>
      </w:r>
    </w:p>
    <w:p w:rsidR="00DF3F36" w:rsidRPr="008A08E7" w:rsidRDefault="00DF3F36" w:rsidP="007B30E0">
      <w:pPr>
        <w:pStyle w:val="ListParagraph"/>
        <w:numPr>
          <w:ilvl w:val="0"/>
          <w:numId w:val="67"/>
        </w:numPr>
        <w:spacing w:before="60" w:after="60" w:line="21" w:lineRule="atLeast"/>
        <w:jc w:val="both"/>
        <w:rPr>
          <w:sz w:val="22"/>
          <w:szCs w:val="22"/>
          <w:lang w:val="en-GB"/>
        </w:rPr>
      </w:pPr>
      <w:r w:rsidRPr="008A08E7">
        <w:rPr>
          <w:b/>
          <w:sz w:val="22"/>
          <w:szCs w:val="22"/>
          <w:lang w:val="en-GB"/>
        </w:rPr>
        <w:t xml:space="preserve">Enhanced cross-border contacts </w:t>
      </w:r>
      <w:r w:rsidRPr="00CC783D">
        <w:rPr>
          <w:sz w:val="22"/>
          <w:szCs w:val="22"/>
          <w:lang w:val="en-GB"/>
        </w:rPr>
        <w:t xml:space="preserve">within the Black Sea Basin </w:t>
      </w:r>
      <w:r w:rsidRPr="008A08E7">
        <w:rPr>
          <w:sz w:val="22"/>
          <w:szCs w:val="22"/>
          <w:lang w:val="en-GB"/>
        </w:rPr>
        <w:t>including e.g. networking, forums and the establishment of lasting partnerships;</w:t>
      </w:r>
    </w:p>
    <w:p w:rsidR="00DF3F36" w:rsidRPr="008A08E7" w:rsidRDefault="00DF3F36" w:rsidP="007B30E0">
      <w:pPr>
        <w:pStyle w:val="ListParagraph"/>
        <w:numPr>
          <w:ilvl w:val="0"/>
          <w:numId w:val="67"/>
        </w:numPr>
        <w:spacing w:before="60" w:after="60" w:line="21" w:lineRule="atLeast"/>
        <w:jc w:val="both"/>
        <w:rPr>
          <w:sz w:val="22"/>
          <w:szCs w:val="22"/>
          <w:lang w:val="en-GB"/>
        </w:rPr>
      </w:pPr>
      <w:r w:rsidRPr="008A08E7">
        <w:rPr>
          <w:b/>
          <w:sz w:val="22"/>
          <w:szCs w:val="22"/>
          <w:lang w:val="en-GB"/>
        </w:rPr>
        <w:t>Enhanced knowledge and skills</w:t>
      </w:r>
      <w:r w:rsidRPr="008A08E7">
        <w:rPr>
          <w:sz w:val="22"/>
          <w:szCs w:val="22"/>
          <w:lang w:val="en-GB"/>
        </w:rPr>
        <w:t xml:space="preserve"> including e.g. the exchange of experience and good practice, innovation, capacity-building and joint research;</w:t>
      </w:r>
    </w:p>
    <w:p w:rsidR="008A08E7" w:rsidRDefault="00DF3F36" w:rsidP="007B30E0">
      <w:pPr>
        <w:pStyle w:val="ListParagraph"/>
        <w:numPr>
          <w:ilvl w:val="0"/>
          <w:numId w:val="67"/>
        </w:numPr>
        <w:spacing w:before="60" w:after="60" w:line="21" w:lineRule="atLeast"/>
        <w:jc w:val="both"/>
        <w:rPr>
          <w:sz w:val="22"/>
          <w:szCs w:val="22"/>
          <w:lang w:val="en-GB"/>
        </w:rPr>
      </w:pPr>
      <w:r w:rsidRPr="008A08E7">
        <w:rPr>
          <w:b/>
          <w:sz w:val="22"/>
          <w:szCs w:val="22"/>
          <w:lang w:val="en-GB"/>
        </w:rPr>
        <w:t>Concrete and visible outputs</w:t>
      </w:r>
      <w:r w:rsidRPr="008A08E7">
        <w:rPr>
          <w:sz w:val="22"/>
          <w:szCs w:val="22"/>
          <w:lang w:val="en-GB"/>
        </w:rPr>
        <w:t xml:space="preserve"> including e.g. small-scale investments, pilot projects, information and communication technologies shared tools, online open-access resources.</w:t>
      </w:r>
    </w:p>
    <w:p w:rsidR="006D3AF9" w:rsidRDefault="006D3AF9" w:rsidP="00A30974">
      <w:pPr>
        <w:spacing w:before="120" w:after="0" w:line="252" w:lineRule="auto"/>
        <w:jc w:val="both"/>
        <w:rPr>
          <w:rFonts w:eastAsia="Times New Roman"/>
          <w:sz w:val="22"/>
          <w:szCs w:val="22"/>
          <w:lang w:val="en-GB"/>
        </w:rPr>
      </w:pPr>
      <w:r w:rsidRPr="00FB2C75">
        <w:rPr>
          <w:rFonts w:eastAsia="Times New Roman"/>
          <w:b/>
          <w:sz w:val="22"/>
          <w:szCs w:val="22"/>
          <w:lang w:val="en-GB"/>
        </w:rPr>
        <w:t>Complementarity of support</w:t>
      </w:r>
      <w:r w:rsidRPr="00F12F35">
        <w:rPr>
          <w:rFonts w:eastAsia="Times New Roman"/>
          <w:sz w:val="22"/>
          <w:szCs w:val="22"/>
          <w:lang w:val="en-GB"/>
        </w:rPr>
        <w:t xml:space="preserve"> is essential to ensure the best </w:t>
      </w:r>
      <w:r>
        <w:rPr>
          <w:rFonts w:eastAsia="Times New Roman"/>
          <w:sz w:val="22"/>
          <w:szCs w:val="22"/>
          <w:lang w:val="en-GB"/>
        </w:rPr>
        <w:t>use of resources and the greatest</w:t>
      </w:r>
      <w:r w:rsidRPr="00F12F35">
        <w:rPr>
          <w:rFonts w:eastAsia="Times New Roman"/>
          <w:sz w:val="22"/>
          <w:szCs w:val="22"/>
          <w:lang w:val="en-GB"/>
        </w:rPr>
        <w:t xml:space="preserve"> results for the eligible regions and stakeholders. </w:t>
      </w:r>
      <w:r>
        <w:rPr>
          <w:rFonts w:eastAsia="Times New Roman"/>
          <w:sz w:val="22"/>
          <w:szCs w:val="22"/>
          <w:lang w:val="en-GB"/>
        </w:rPr>
        <w:t>Beyond ensuring further consistency with other initiatives supported by the EU or at regional/national level during programme implementation, the B</w:t>
      </w:r>
      <w:r w:rsidR="00494472">
        <w:rPr>
          <w:rFonts w:eastAsia="Times New Roman"/>
          <w:sz w:val="22"/>
          <w:szCs w:val="22"/>
          <w:lang w:val="en-GB"/>
        </w:rPr>
        <w:t xml:space="preserve">lack </w:t>
      </w:r>
      <w:r>
        <w:rPr>
          <w:rFonts w:eastAsia="Times New Roman"/>
          <w:sz w:val="22"/>
          <w:szCs w:val="22"/>
          <w:lang w:val="en-GB"/>
        </w:rPr>
        <w:t>S</w:t>
      </w:r>
      <w:r w:rsidR="00494472">
        <w:rPr>
          <w:rFonts w:eastAsia="Times New Roman"/>
          <w:sz w:val="22"/>
          <w:szCs w:val="22"/>
          <w:lang w:val="en-GB"/>
        </w:rPr>
        <w:t xml:space="preserve">ea </w:t>
      </w:r>
      <w:r>
        <w:rPr>
          <w:rFonts w:eastAsia="Times New Roman"/>
          <w:sz w:val="22"/>
          <w:szCs w:val="22"/>
          <w:lang w:val="en-GB"/>
        </w:rPr>
        <w:t>B</w:t>
      </w:r>
      <w:r w:rsidR="00494472">
        <w:rPr>
          <w:rFonts w:eastAsia="Times New Roman"/>
          <w:sz w:val="22"/>
          <w:szCs w:val="22"/>
          <w:lang w:val="en-GB"/>
        </w:rPr>
        <w:t>asin ENI CBC</w:t>
      </w:r>
      <w:r>
        <w:rPr>
          <w:rFonts w:eastAsia="Times New Roman"/>
          <w:sz w:val="22"/>
          <w:szCs w:val="22"/>
          <w:lang w:val="en-GB"/>
        </w:rPr>
        <w:t xml:space="preserve"> programme will also look for complementarities </w:t>
      </w:r>
      <w:r w:rsidRPr="00FB2C75">
        <w:rPr>
          <w:rFonts w:eastAsia="Times New Roman"/>
          <w:sz w:val="22"/>
          <w:szCs w:val="22"/>
          <w:lang w:val="en-GB"/>
        </w:rPr>
        <w:t xml:space="preserve">with other </w:t>
      </w:r>
      <w:r>
        <w:rPr>
          <w:rFonts w:eastAsia="Times New Roman"/>
          <w:sz w:val="22"/>
          <w:szCs w:val="22"/>
          <w:lang w:val="en-GB"/>
        </w:rPr>
        <w:t>key</w:t>
      </w:r>
      <w:r w:rsidRPr="00FB2C75">
        <w:rPr>
          <w:rFonts w:eastAsia="Times New Roman"/>
          <w:sz w:val="22"/>
          <w:szCs w:val="22"/>
          <w:lang w:val="en-GB"/>
        </w:rPr>
        <w:t xml:space="preserve"> cooperat</w:t>
      </w:r>
      <w:r>
        <w:rPr>
          <w:rFonts w:eastAsia="Times New Roman"/>
          <w:sz w:val="22"/>
          <w:szCs w:val="22"/>
          <w:lang w:val="en-GB"/>
        </w:rPr>
        <w:t>ion frameworks within the</w:t>
      </w:r>
      <w:r w:rsidR="00494472">
        <w:rPr>
          <w:rFonts w:eastAsia="Times New Roman"/>
          <w:sz w:val="22"/>
          <w:szCs w:val="22"/>
          <w:lang w:val="en-GB"/>
        </w:rPr>
        <w:t xml:space="preserve"> Black Sea </w:t>
      </w:r>
      <w:r w:rsidRPr="00FB2C75">
        <w:rPr>
          <w:rFonts w:eastAsia="Times New Roman"/>
          <w:sz w:val="22"/>
          <w:szCs w:val="22"/>
          <w:lang w:val="en-GB"/>
        </w:rPr>
        <w:t>B</w:t>
      </w:r>
      <w:r w:rsidR="00494472">
        <w:rPr>
          <w:rFonts w:eastAsia="Times New Roman"/>
          <w:sz w:val="22"/>
          <w:szCs w:val="22"/>
          <w:lang w:val="en-GB"/>
        </w:rPr>
        <w:t>asin</w:t>
      </w:r>
      <w:r>
        <w:rPr>
          <w:rFonts w:eastAsia="Times New Roman"/>
          <w:sz w:val="22"/>
          <w:szCs w:val="22"/>
          <w:lang w:val="en-GB"/>
        </w:rPr>
        <w:t xml:space="preserve"> region and by other donors.</w:t>
      </w:r>
      <w:r w:rsidRPr="006D3AF9">
        <w:rPr>
          <w:rFonts w:eastAsia="Times New Roman"/>
          <w:sz w:val="22"/>
          <w:szCs w:val="22"/>
          <w:lang w:val="en-GB"/>
        </w:rPr>
        <w:t xml:space="preserve"> </w:t>
      </w:r>
    </w:p>
    <w:p w:rsidR="004B36E7" w:rsidRPr="004B36E7" w:rsidRDefault="004B36E7" w:rsidP="004B36E7">
      <w:pPr>
        <w:pStyle w:val="Heading3"/>
        <w:spacing w:before="360" w:after="120" w:line="252" w:lineRule="auto"/>
        <w:rPr>
          <w:b/>
          <w:sz w:val="28"/>
          <w:szCs w:val="28"/>
          <w:lang w:val="en-GB"/>
        </w:rPr>
      </w:pPr>
      <w:bookmarkStart w:id="5" w:name="_Toc288133423"/>
      <w:r w:rsidRPr="004B36E7">
        <w:rPr>
          <w:b/>
          <w:sz w:val="28"/>
          <w:szCs w:val="28"/>
          <w:lang w:val="en-GB"/>
        </w:rPr>
        <w:t>Summary of programme</w:t>
      </w:r>
      <w:r w:rsidR="005C3473">
        <w:rPr>
          <w:b/>
          <w:sz w:val="28"/>
          <w:szCs w:val="28"/>
          <w:lang w:val="en-GB"/>
        </w:rPr>
        <w:t xml:space="preserve"> management</w:t>
      </w:r>
      <w:r w:rsidR="002C04C0">
        <w:rPr>
          <w:b/>
          <w:sz w:val="28"/>
          <w:szCs w:val="28"/>
          <w:lang w:val="en-GB"/>
        </w:rPr>
        <w:t xml:space="preserve"> and</w:t>
      </w:r>
      <w:r w:rsidRPr="004B36E7">
        <w:rPr>
          <w:b/>
          <w:sz w:val="28"/>
          <w:szCs w:val="28"/>
          <w:lang w:val="en-GB"/>
        </w:rPr>
        <w:t xml:space="preserve"> implementation</w:t>
      </w:r>
      <w:bookmarkEnd w:id="5"/>
    </w:p>
    <w:p w:rsidR="005C3473" w:rsidRPr="00682784" w:rsidRDefault="005C3473" w:rsidP="00AE3A61">
      <w:pPr>
        <w:spacing w:before="120" w:line="21" w:lineRule="atLeast"/>
        <w:contextualSpacing/>
        <w:jc w:val="both"/>
        <w:rPr>
          <w:rFonts w:cs="ArialMT"/>
          <w:bCs/>
          <w:sz w:val="22"/>
          <w:szCs w:val="22"/>
          <w:lang w:val="en-GB"/>
        </w:rPr>
      </w:pPr>
      <w:r w:rsidRPr="00682784">
        <w:rPr>
          <w:rFonts w:cs="ArialMT"/>
          <w:bCs/>
          <w:sz w:val="22"/>
          <w:szCs w:val="22"/>
          <w:lang w:val="en-GB"/>
        </w:rPr>
        <w:t xml:space="preserve">The Black Sea Basin </w:t>
      </w:r>
      <w:r w:rsidR="006860AD" w:rsidRPr="00682784">
        <w:rPr>
          <w:rFonts w:cs="ArialMT"/>
          <w:bCs/>
          <w:sz w:val="22"/>
          <w:szCs w:val="22"/>
          <w:lang w:val="en-GB"/>
        </w:rPr>
        <w:t xml:space="preserve">ENI-CBC </w:t>
      </w:r>
      <w:r w:rsidRPr="00682784">
        <w:rPr>
          <w:rFonts w:cs="ArialMT"/>
          <w:bCs/>
          <w:sz w:val="22"/>
          <w:szCs w:val="22"/>
          <w:lang w:val="en-GB"/>
        </w:rPr>
        <w:t>Programme management and control system will be organised with the following authorities, structures and bodies:</w:t>
      </w:r>
    </w:p>
    <w:p w:rsidR="005C3473" w:rsidRPr="00682784" w:rsidRDefault="005C3473" w:rsidP="00AE3A61">
      <w:pPr>
        <w:numPr>
          <w:ilvl w:val="0"/>
          <w:numId w:val="44"/>
        </w:numPr>
        <w:spacing w:before="200" w:after="0" w:line="21" w:lineRule="atLeast"/>
        <w:ind w:left="714" w:hanging="357"/>
        <w:jc w:val="both"/>
        <w:rPr>
          <w:rFonts w:cs="ArialMT"/>
          <w:bCs/>
          <w:sz w:val="22"/>
          <w:szCs w:val="22"/>
          <w:lang w:val="en-GB"/>
        </w:rPr>
      </w:pPr>
      <w:r w:rsidRPr="00682784">
        <w:rPr>
          <w:rFonts w:cs="ArialMT"/>
          <w:b/>
          <w:sz w:val="22"/>
          <w:szCs w:val="22"/>
          <w:lang w:val="en-GB"/>
        </w:rPr>
        <w:t>Joint Monitoring Committee (JMC)</w:t>
      </w:r>
      <w:r w:rsidRPr="00682784">
        <w:rPr>
          <w:rFonts w:cs="ArialMT"/>
          <w:bCs/>
          <w:sz w:val="22"/>
          <w:szCs w:val="22"/>
          <w:lang w:val="en-GB"/>
        </w:rPr>
        <w:t>: supervises and monitors programme implementation and is responsible for the approval of project proposals;</w:t>
      </w:r>
    </w:p>
    <w:p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Managing Authority (MA)</w:t>
      </w:r>
      <w:r w:rsidRPr="00682784">
        <w:rPr>
          <w:rFonts w:cs="ArialMT"/>
          <w:bCs/>
          <w:sz w:val="22"/>
          <w:szCs w:val="22"/>
          <w:lang w:val="en-GB"/>
        </w:rPr>
        <w:t xml:space="preserve">: responsible for the management and implementation of the programme; </w:t>
      </w:r>
    </w:p>
    <w:p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Audit Authority (AA)</w:t>
      </w:r>
      <w:r w:rsidRPr="00682784">
        <w:rPr>
          <w:rFonts w:cs="ArialMT"/>
          <w:bCs/>
          <w:sz w:val="22"/>
          <w:szCs w:val="22"/>
          <w:lang w:val="en-GB"/>
        </w:rPr>
        <w:t>: carries out audits on the programme management and control systems, on an appropriate sample of projects and on the annual accounts of the programme;</w:t>
      </w:r>
    </w:p>
    <w:p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National Authorities (NAs)</w:t>
      </w:r>
      <w:r w:rsidRPr="00682784">
        <w:rPr>
          <w:rFonts w:cs="ArialMT"/>
          <w:bCs/>
          <w:sz w:val="22"/>
          <w:szCs w:val="22"/>
          <w:lang w:val="en-GB"/>
        </w:rPr>
        <w:t>: national counterpart institution to the Managing Authority in each participating country and overall responsible for supporting the MA in the implementation of the programme in their own countries;</w:t>
      </w:r>
    </w:p>
    <w:p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Group of Auditors (GoA)</w:t>
      </w:r>
      <w:r w:rsidRPr="00682784">
        <w:rPr>
          <w:rFonts w:cs="ArialMT"/>
          <w:bCs/>
          <w:sz w:val="22"/>
          <w:szCs w:val="22"/>
          <w:lang w:val="en-GB"/>
        </w:rPr>
        <w:t>: assists the Audit Authority in carrying out its tasks;</w:t>
      </w:r>
    </w:p>
    <w:p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Control Contact Points (CCPs)</w:t>
      </w:r>
      <w:r w:rsidRPr="00682784">
        <w:rPr>
          <w:rFonts w:cs="ArialMT"/>
          <w:bCs/>
          <w:sz w:val="22"/>
          <w:szCs w:val="22"/>
          <w:lang w:val="en-GB"/>
        </w:rPr>
        <w:t>: support the Managing Authority in its control functions;</w:t>
      </w:r>
    </w:p>
    <w:p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Joint Technical Secretariat (JTS)</w:t>
      </w:r>
      <w:r w:rsidRPr="00682784">
        <w:rPr>
          <w:rFonts w:cs="ArialMT"/>
          <w:bCs/>
          <w:sz w:val="22"/>
          <w:szCs w:val="22"/>
          <w:lang w:val="en-GB"/>
        </w:rPr>
        <w:t>: assists the MA, JMC, AA and the SC in carrying out their respective duties;</w:t>
      </w:r>
    </w:p>
    <w:p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Selection Committee (SC)</w:t>
      </w:r>
      <w:r w:rsidRPr="00682784">
        <w:rPr>
          <w:rFonts w:cs="ArialMT"/>
          <w:bCs/>
          <w:sz w:val="22"/>
          <w:szCs w:val="22"/>
          <w:lang w:val="en-GB"/>
        </w:rPr>
        <w:t>: supervises the evaluation and selection</w:t>
      </w:r>
      <w:r w:rsidRPr="00682784">
        <w:rPr>
          <w:lang w:val="en-GB"/>
        </w:rPr>
        <w:t xml:space="preserve"> </w:t>
      </w:r>
      <w:r w:rsidRPr="00682784">
        <w:rPr>
          <w:rFonts w:cs="ArialMT"/>
          <w:bCs/>
          <w:sz w:val="22"/>
          <w:szCs w:val="22"/>
          <w:lang w:val="en-GB"/>
        </w:rPr>
        <w:t>of the project proposals received during calls and issues recommendations for award decisions to JMC.</w:t>
      </w:r>
    </w:p>
    <w:p w:rsidR="009C2E5D" w:rsidRPr="00682784" w:rsidRDefault="009C2E5D" w:rsidP="00AE3A61">
      <w:pPr>
        <w:spacing w:before="120" w:after="0" w:line="21" w:lineRule="atLeast"/>
        <w:rPr>
          <w:lang w:val="en-GB"/>
        </w:rPr>
      </w:pPr>
      <w:r>
        <w:rPr>
          <w:sz w:val="22"/>
          <w:szCs w:val="22"/>
          <w:lang w:val="en-GB"/>
        </w:rPr>
        <w:lastRenderedPageBreak/>
        <w:t>The d</w:t>
      </w:r>
      <w:r w:rsidRPr="009C5F8F">
        <w:rPr>
          <w:sz w:val="22"/>
          <w:szCs w:val="22"/>
          <w:lang w:val="en-GB"/>
        </w:rPr>
        <w:t xml:space="preserve">esignation </w:t>
      </w:r>
      <w:r>
        <w:rPr>
          <w:sz w:val="22"/>
          <w:szCs w:val="22"/>
          <w:lang w:val="en-GB"/>
        </w:rPr>
        <w:t>process of the Managing Authority</w:t>
      </w:r>
      <w:r w:rsidRPr="009C5F8F">
        <w:rPr>
          <w:sz w:val="22"/>
          <w:szCs w:val="22"/>
          <w:lang w:val="en-GB"/>
        </w:rPr>
        <w:t xml:space="preserve"> is expected to be complete in</w:t>
      </w:r>
      <w:r w:rsidR="004612D7">
        <w:rPr>
          <w:sz w:val="22"/>
          <w:szCs w:val="22"/>
          <w:lang w:val="en-GB"/>
        </w:rPr>
        <w:t xml:space="preserve"> the</w:t>
      </w:r>
      <w:r w:rsidRPr="009C5F8F">
        <w:rPr>
          <w:sz w:val="22"/>
          <w:szCs w:val="22"/>
          <w:lang w:val="en-GB"/>
        </w:rPr>
        <w:t xml:space="preserve"> first half of 2016</w:t>
      </w:r>
      <w:r w:rsidR="004612D7">
        <w:rPr>
          <w:sz w:val="22"/>
          <w:szCs w:val="22"/>
          <w:lang w:val="en-GB"/>
        </w:rPr>
        <w:t>,</w:t>
      </w:r>
      <w:r w:rsidRPr="009C5F8F">
        <w:rPr>
          <w:sz w:val="22"/>
          <w:szCs w:val="22"/>
          <w:lang w:val="en-GB"/>
        </w:rPr>
        <w:t xml:space="preserve"> allowing the launch of the first call for proposals in the </w:t>
      </w:r>
      <w:r w:rsidRPr="00A31FB9">
        <w:rPr>
          <w:sz w:val="22"/>
          <w:szCs w:val="22"/>
          <w:lang w:val="en-GB"/>
        </w:rPr>
        <w:t>second half of 2016</w:t>
      </w:r>
      <w:r w:rsidRPr="009C5F8F">
        <w:rPr>
          <w:sz w:val="22"/>
          <w:szCs w:val="22"/>
          <w:lang w:val="en-GB"/>
        </w:rPr>
        <w:t>.</w:t>
      </w:r>
      <w:r>
        <w:rPr>
          <w:sz w:val="22"/>
          <w:szCs w:val="22"/>
          <w:lang w:val="en-GB"/>
        </w:rPr>
        <w:t xml:space="preserve"> </w:t>
      </w:r>
    </w:p>
    <w:p w:rsidR="00AC6739" w:rsidRPr="00AC6739" w:rsidRDefault="00AC6739" w:rsidP="00AC6739">
      <w:pPr>
        <w:spacing w:before="120" w:after="0" w:line="21" w:lineRule="atLeast"/>
        <w:jc w:val="both"/>
        <w:rPr>
          <w:rFonts w:eastAsia="Times New Roman"/>
          <w:sz w:val="22"/>
          <w:szCs w:val="22"/>
          <w:lang w:val="en-GB"/>
        </w:rPr>
      </w:pPr>
      <w:r w:rsidRPr="00AC6739">
        <w:rPr>
          <w:rFonts w:eastAsia="Times New Roman"/>
          <w:sz w:val="22"/>
          <w:szCs w:val="22"/>
          <w:lang w:val="en-GB"/>
        </w:rPr>
        <w:t>The</w:t>
      </w:r>
      <w:r w:rsidRPr="00FB12FE">
        <w:rPr>
          <w:rFonts w:eastAsia="Times New Roman"/>
          <w:b/>
          <w:sz w:val="22"/>
          <w:szCs w:val="22"/>
          <w:lang w:val="en-GB"/>
        </w:rPr>
        <w:t xml:space="preserve"> monitoring and evaluation </w:t>
      </w:r>
      <w:r w:rsidRPr="00AC6739">
        <w:rPr>
          <w:rFonts w:eastAsia="Times New Roman"/>
          <w:sz w:val="22"/>
          <w:szCs w:val="22"/>
          <w:lang w:val="en-GB"/>
        </w:rPr>
        <w:t xml:space="preserve">activities will play an important role in the programme implementation cycle and will involve monitoring at project level, monitoring at programme level and evaluation. </w:t>
      </w:r>
      <w:r w:rsidR="001F21E7" w:rsidRPr="00AC6739">
        <w:rPr>
          <w:rFonts w:eastAsia="Times New Roman"/>
          <w:sz w:val="22"/>
          <w:szCs w:val="22"/>
          <w:lang w:val="en-GB"/>
        </w:rPr>
        <w:t>A</w:t>
      </w:r>
      <w:r w:rsidR="00356E08" w:rsidRPr="00AC6739">
        <w:rPr>
          <w:rFonts w:eastAsia="Times New Roman"/>
          <w:sz w:val="22"/>
          <w:szCs w:val="22"/>
          <w:lang w:val="en-GB"/>
        </w:rPr>
        <w:t xml:space="preserve">chievements </w:t>
      </w:r>
      <w:r w:rsidR="00412081" w:rsidRPr="00AC6739">
        <w:rPr>
          <w:rFonts w:eastAsia="Times New Roman"/>
          <w:sz w:val="22"/>
          <w:szCs w:val="22"/>
          <w:lang w:val="en-GB"/>
        </w:rPr>
        <w:t xml:space="preserve">of the programme </w:t>
      </w:r>
      <w:r w:rsidR="00356E08" w:rsidRPr="00AC6739">
        <w:rPr>
          <w:rFonts w:eastAsia="Times New Roman"/>
          <w:sz w:val="22"/>
          <w:szCs w:val="22"/>
          <w:lang w:val="en-GB"/>
        </w:rPr>
        <w:t xml:space="preserve">will be measured at result level by 4 indicators (one for each priority) and at activity level by 6 ENI CBC common output indicators and 3 programme-specific output indicators. </w:t>
      </w:r>
    </w:p>
    <w:p w:rsidR="00570D24" w:rsidRDefault="007C7F24" w:rsidP="00570D24">
      <w:pPr>
        <w:spacing w:before="120" w:after="0" w:line="21" w:lineRule="atLeast"/>
        <w:jc w:val="both"/>
        <w:rPr>
          <w:rFonts w:eastAsia="Times New Roman"/>
          <w:sz w:val="22"/>
          <w:szCs w:val="22"/>
          <w:lang w:val="en-GB"/>
        </w:rPr>
      </w:pPr>
      <w:r w:rsidRPr="00FB12FE">
        <w:rPr>
          <w:rFonts w:eastAsia="Times New Roman"/>
          <w:b/>
          <w:sz w:val="22"/>
          <w:szCs w:val="22"/>
          <w:lang w:val="en-GB"/>
        </w:rPr>
        <w:t>Communication</w:t>
      </w:r>
      <w:r w:rsidRPr="00AC6739">
        <w:rPr>
          <w:rFonts w:eastAsia="Times New Roman"/>
          <w:sz w:val="22"/>
          <w:szCs w:val="22"/>
          <w:lang w:val="en-GB"/>
        </w:rPr>
        <w:t xml:space="preserve"> </w:t>
      </w:r>
      <w:r w:rsidR="00942E0E">
        <w:rPr>
          <w:rFonts w:eastAsia="Times New Roman"/>
          <w:sz w:val="22"/>
          <w:szCs w:val="22"/>
          <w:lang w:val="en-GB"/>
        </w:rPr>
        <w:t xml:space="preserve">activities will </w:t>
      </w:r>
      <w:r w:rsidR="00B7792A">
        <w:rPr>
          <w:rFonts w:eastAsia="Times New Roman"/>
          <w:sz w:val="22"/>
          <w:szCs w:val="22"/>
          <w:lang w:val="en-GB"/>
        </w:rPr>
        <w:t xml:space="preserve">aim </w:t>
      </w:r>
      <w:r w:rsidR="00570D24" w:rsidRPr="00570D24">
        <w:rPr>
          <w:rFonts w:eastAsia="Times New Roman"/>
          <w:sz w:val="22"/>
          <w:szCs w:val="22"/>
          <w:lang w:val="en-GB"/>
        </w:rPr>
        <w:t>to improve participation, assist successful implementation, ensure transparency and increase awareness of the programme, EU and national support.</w:t>
      </w:r>
    </w:p>
    <w:p w:rsidR="00A42DFF" w:rsidRPr="00081ECA" w:rsidRDefault="00A42DFF" w:rsidP="00A42DFF">
      <w:pPr>
        <w:pStyle w:val="Heading2"/>
        <w:spacing w:after="0" w:line="252" w:lineRule="auto"/>
        <w:jc w:val="left"/>
        <w:rPr>
          <w:rFonts w:ascii="Times New Roman" w:hAnsi="Times New Roman"/>
          <w:sz w:val="2"/>
          <w:szCs w:val="2"/>
          <w:lang w:val="en-GB"/>
        </w:rPr>
      </w:pPr>
      <w:r>
        <w:rPr>
          <w:rFonts w:ascii="Times New Roman" w:hAnsi="Times New Roman"/>
          <w:sz w:val="2"/>
          <w:szCs w:val="2"/>
          <w:lang w:val="en-GB"/>
        </w:rPr>
        <w:br w:type="column"/>
      </w:r>
    </w:p>
    <w:p w:rsidR="002D1AFC" w:rsidRPr="002C30C5" w:rsidRDefault="002D1AFC" w:rsidP="00A42DFF">
      <w:pPr>
        <w:pStyle w:val="Heading1"/>
        <w:numPr>
          <w:ilvl w:val="1"/>
          <w:numId w:val="3"/>
        </w:numPr>
        <w:spacing w:before="200" w:after="0" w:line="264" w:lineRule="auto"/>
        <w:ind w:left="1434" w:hanging="357"/>
        <w:jc w:val="left"/>
        <w:rPr>
          <w:sz w:val="40"/>
          <w:szCs w:val="40"/>
          <w:lang w:val="en-GB"/>
        </w:rPr>
      </w:pPr>
      <w:bookmarkStart w:id="6" w:name="_Toc288133424"/>
      <w:r w:rsidRPr="002C30C5">
        <w:rPr>
          <w:sz w:val="40"/>
          <w:szCs w:val="40"/>
          <w:lang w:val="en-GB"/>
        </w:rPr>
        <w:t>Description of the Programme area</w:t>
      </w:r>
      <w:bookmarkEnd w:id="1"/>
      <w:bookmarkEnd w:id="6"/>
    </w:p>
    <w:p w:rsidR="002D1AFC" w:rsidRPr="00683A03" w:rsidRDefault="002D1AFC" w:rsidP="002D1AFC">
      <w:pPr>
        <w:rPr>
          <w:lang w:val="en-GB"/>
        </w:rPr>
      </w:pPr>
    </w:p>
    <w:p w:rsidR="002D1AFC" w:rsidRPr="00F40719" w:rsidRDefault="002D1AFC" w:rsidP="001625ED">
      <w:pPr>
        <w:pStyle w:val="Heading3"/>
        <w:spacing w:before="360" w:after="120" w:line="252" w:lineRule="auto"/>
        <w:rPr>
          <w:b/>
          <w:sz w:val="28"/>
          <w:szCs w:val="28"/>
          <w:lang w:val="en-GB"/>
        </w:rPr>
      </w:pPr>
      <w:bookmarkStart w:id="7" w:name="_Toc276156664"/>
      <w:bookmarkStart w:id="8" w:name="_Toc288133425"/>
      <w:r w:rsidRPr="00F40719">
        <w:rPr>
          <w:b/>
          <w:sz w:val="28"/>
          <w:szCs w:val="28"/>
          <w:lang w:val="en-GB"/>
        </w:rPr>
        <w:t>Participating countries and Programme area</w:t>
      </w:r>
      <w:bookmarkEnd w:id="7"/>
      <w:bookmarkEnd w:id="8"/>
    </w:p>
    <w:p w:rsidR="002D1AFC" w:rsidRPr="001368E0" w:rsidRDefault="002D1AFC" w:rsidP="001625ED">
      <w:pPr>
        <w:pStyle w:val="Normaleprogram"/>
        <w:spacing w:before="120" w:after="60" w:line="264" w:lineRule="auto"/>
        <w:ind w:right="-57"/>
        <w:jc w:val="both"/>
        <w:rPr>
          <w:rFonts w:ascii="Calisto MT" w:hAnsi="Calisto MT"/>
          <w:bCs/>
          <w:sz w:val="22"/>
          <w:szCs w:val="22"/>
        </w:rPr>
      </w:pPr>
      <w:r w:rsidRPr="001368E0">
        <w:rPr>
          <w:rFonts w:ascii="Calisto MT" w:hAnsi="Calisto MT"/>
          <w:bCs/>
          <w:sz w:val="22"/>
          <w:szCs w:val="22"/>
        </w:rPr>
        <w:t>‘Participating countries’ to the ENI CBC Black Sea Basin (BSB) programme include the following:</w:t>
      </w:r>
    </w:p>
    <w:p w:rsidR="002D1AFC" w:rsidRPr="001368E0" w:rsidRDefault="002D1AFC" w:rsidP="001625ED">
      <w:pPr>
        <w:pStyle w:val="Normaleprogram"/>
        <w:numPr>
          <w:ilvl w:val="0"/>
          <w:numId w:val="20"/>
        </w:numPr>
        <w:spacing w:after="60" w:line="264" w:lineRule="auto"/>
        <w:ind w:left="357" w:right="-57" w:hanging="357"/>
        <w:jc w:val="both"/>
        <w:rPr>
          <w:rFonts w:ascii="Calisto MT" w:hAnsi="Calisto MT"/>
          <w:sz w:val="22"/>
          <w:szCs w:val="22"/>
        </w:rPr>
      </w:pPr>
      <w:r w:rsidRPr="001368E0">
        <w:rPr>
          <w:rFonts w:ascii="Calisto MT" w:hAnsi="Calisto MT"/>
          <w:sz w:val="22"/>
          <w:szCs w:val="22"/>
        </w:rPr>
        <w:t>EU Member States: Bulgaria, Greece and Romania</w:t>
      </w:r>
    </w:p>
    <w:p w:rsidR="002D1AFC" w:rsidRPr="001368E0" w:rsidRDefault="002D1AFC" w:rsidP="001625ED">
      <w:pPr>
        <w:pStyle w:val="Normaleprogram"/>
        <w:numPr>
          <w:ilvl w:val="0"/>
          <w:numId w:val="20"/>
        </w:numPr>
        <w:spacing w:after="60" w:line="264" w:lineRule="auto"/>
        <w:ind w:left="357" w:right="-57" w:hanging="357"/>
        <w:jc w:val="both"/>
        <w:rPr>
          <w:rFonts w:ascii="Calisto MT" w:hAnsi="Calisto MT"/>
          <w:bCs/>
          <w:sz w:val="22"/>
          <w:szCs w:val="22"/>
        </w:rPr>
      </w:pPr>
      <w:r w:rsidRPr="001368E0">
        <w:rPr>
          <w:rFonts w:ascii="Calisto MT" w:hAnsi="Calisto MT"/>
          <w:bCs/>
          <w:sz w:val="22"/>
          <w:szCs w:val="22"/>
        </w:rPr>
        <w:t>Partner countries</w:t>
      </w:r>
      <w:r w:rsidRPr="001368E0">
        <w:rPr>
          <w:rStyle w:val="FootnoteReference"/>
          <w:rFonts w:ascii="Calisto MT" w:hAnsi="Calisto MT"/>
          <w:bCs/>
          <w:sz w:val="22"/>
          <w:szCs w:val="22"/>
        </w:rPr>
        <w:footnoteReference w:id="7"/>
      </w:r>
      <w:r w:rsidRPr="001368E0">
        <w:rPr>
          <w:rFonts w:ascii="Calisto MT" w:hAnsi="Calisto MT"/>
          <w:bCs/>
          <w:sz w:val="22"/>
          <w:szCs w:val="22"/>
        </w:rPr>
        <w:t>: Armenia, Azerbaijan, Georgia, Republic of Moldova and Ukraine</w:t>
      </w:r>
    </w:p>
    <w:p w:rsidR="002D1AFC" w:rsidRPr="001368E0" w:rsidRDefault="002D1AFC" w:rsidP="001625ED">
      <w:pPr>
        <w:pStyle w:val="Normaleprogram"/>
        <w:numPr>
          <w:ilvl w:val="0"/>
          <w:numId w:val="20"/>
        </w:numPr>
        <w:spacing w:after="60" w:line="264" w:lineRule="auto"/>
        <w:ind w:left="357" w:right="-57" w:hanging="357"/>
        <w:jc w:val="both"/>
        <w:rPr>
          <w:rFonts w:ascii="Calisto MT" w:hAnsi="Calisto MT"/>
          <w:sz w:val="22"/>
          <w:szCs w:val="22"/>
        </w:rPr>
      </w:pPr>
      <w:r w:rsidRPr="001368E0">
        <w:rPr>
          <w:rFonts w:ascii="Calisto MT" w:hAnsi="Calisto MT"/>
          <w:sz w:val="22"/>
          <w:szCs w:val="22"/>
        </w:rPr>
        <w:t>Candidate country: Turkey</w:t>
      </w:r>
    </w:p>
    <w:p w:rsidR="002D1AFC" w:rsidRPr="001368E0" w:rsidRDefault="002D1AFC" w:rsidP="001625ED">
      <w:pPr>
        <w:pStyle w:val="Normaleprogram"/>
        <w:numPr>
          <w:ilvl w:val="0"/>
          <w:numId w:val="20"/>
        </w:numPr>
        <w:spacing w:after="60" w:line="264" w:lineRule="auto"/>
        <w:ind w:left="357" w:right="-57" w:hanging="357"/>
        <w:jc w:val="both"/>
        <w:rPr>
          <w:rFonts w:ascii="Calisto MT" w:hAnsi="Calisto MT"/>
          <w:sz w:val="22"/>
          <w:szCs w:val="22"/>
        </w:rPr>
      </w:pPr>
      <w:r w:rsidRPr="001368E0">
        <w:rPr>
          <w:rFonts w:ascii="Calisto MT" w:hAnsi="Calisto MT"/>
          <w:sz w:val="22"/>
          <w:szCs w:val="22"/>
        </w:rPr>
        <w:t>Russian Federation</w:t>
      </w:r>
      <w:r w:rsidRPr="001368E0">
        <w:rPr>
          <w:rStyle w:val="FootnoteReference"/>
          <w:rFonts w:ascii="Calisto MT" w:hAnsi="Calisto MT"/>
          <w:sz w:val="22"/>
          <w:szCs w:val="22"/>
        </w:rPr>
        <w:footnoteReference w:id="8"/>
      </w:r>
    </w:p>
    <w:p w:rsidR="002D1AFC" w:rsidRPr="001368E0" w:rsidRDefault="002D1AFC" w:rsidP="001625ED">
      <w:pPr>
        <w:pStyle w:val="Normaleprogram"/>
        <w:spacing w:before="120" w:after="60" w:line="264" w:lineRule="auto"/>
        <w:ind w:right="-57"/>
        <w:jc w:val="both"/>
        <w:rPr>
          <w:rFonts w:ascii="Calisto MT" w:hAnsi="Calisto MT"/>
          <w:bCs/>
          <w:sz w:val="22"/>
          <w:szCs w:val="22"/>
        </w:rPr>
      </w:pPr>
      <w:r w:rsidRPr="001368E0">
        <w:rPr>
          <w:rFonts w:ascii="Calisto MT" w:hAnsi="Calisto MT"/>
          <w:bCs/>
          <w:sz w:val="22"/>
          <w:szCs w:val="22"/>
        </w:rPr>
        <w:t xml:space="preserve">The </w:t>
      </w:r>
      <w:r w:rsidR="00B8329D" w:rsidRPr="001368E0">
        <w:rPr>
          <w:rFonts w:ascii="Calisto MT" w:hAnsi="Calisto MT"/>
          <w:bCs/>
          <w:sz w:val="22"/>
          <w:szCs w:val="22"/>
        </w:rPr>
        <w:t xml:space="preserve">‘Programme area’ for Black Sea Basin </w:t>
      </w:r>
      <w:r w:rsidR="00DD690D" w:rsidRPr="001368E0">
        <w:rPr>
          <w:rFonts w:ascii="Calisto MT" w:hAnsi="Calisto MT"/>
          <w:bCs/>
          <w:sz w:val="22"/>
          <w:szCs w:val="22"/>
        </w:rPr>
        <w:t xml:space="preserve">ENI CBC </w:t>
      </w:r>
      <w:r w:rsidRPr="001368E0">
        <w:rPr>
          <w:rFonts w:ascii="Calisto MT" w:hAnsi="Calisto MT"/>
          <w:bCs/>
          <w:sz w:val="22"/>
          <w:szCs w:val="22"/>
        </w:rPr>
        <w:t>includes</w:t>
      </w:r>
      <w:r w:rsidR="00B8329D" w:rsidRPr="001368E0">
        <w:rPr>
          <w:rFonts w:ascii="Calisto MT" w:hAnsi="Calisto MT"/>
          <w:bCs/>
          <w:sz w:val="22"/>
          <w:szCs w:val="22"/>
        </w:rPr>
        <w:t xml:space="preserve"> only core regions, </w:t>
      </w:r>
      <w:r w:rsidRPr="001368E0">
        <w:rPr>
          <w:rFonts w:ascii="Calisto MT" w:hAnsi="Calisto MT"/>
          <w:bCs/>
          <w:sz w:val="22"/>
          <w:szCs w:val="22"/>
        </w:rPr>
        <w:t>as described below.</w:t>
      </w:r>
      <w:r w:rsidR="00A529E9" w:rsidRPr="001368E0">
        <w:rPr>
          <w:rFonts w:ascii="Calisto MT" w:hAnsi="Calisto MT"/>
          <w:bCs/>
          <w:sz w:val="22"/>
          <w:szCs w:val="22"/>
        </w:rPr>
        <w:t xml:space="preserve"> </w:t>
      </w:r>
    </w:p>
    <w:p w:rsidR="002D1AFC" w:rsidRPr="00F40719" w:rsidRDefault="002D1AFC" w:rsidP="001625ED">
      <w:pPr>
        <w:pStyle w:val="Heading3"/>
        <w:spacing w:before="360" w:after="120" w:line="252" w:lineRule="auto"/>
        <w:rPr>
          <w:b/>
          <w:sz w:val="28"/>
          <w:szCs w:val="28"/>
          <w:lang w:val="en-GB"/>
        </w:rPr>
      </w:pPr>
      <w:bookmarkStart w:id="9" w:name="_Toc273788680"/>
      <w:bookmarkStart w:id="10" w:name="_Toc276156665"/>
      <w:bookmarkStart w:id="11" w:name="_Toc288133426"/>
      <w:r w:rsidRPr="00F40719">
        <w:rPr>
          <w:b/>
          <w:sz w:val="28"/>
          <w:szCs w:val="28"/>
          <w:lang w:val="en-GB"/>
        </w:rPr>
        <w:t>Core regions</w:t>
      </w:r>
      <w:bookmarkEnd w:id="9"/>
      <w:bookmarkEnd w:id="10"/>
      <w:bookmarkEnd w:id="11"/>
    </w:p>
    <w:p w:rsidR="002D1AFC" w:rsidRPr="001368E0" w:rsidRDefault="002D1AFC" w:rsidP="001625ED">
      <w:pPr>
        <w:pStyle w:val="Normaleprogram"/>
        <w:spacing w:before="120" w:after="60" w:line="264" w:lineRule="auto"/>
        <w:ind w:right="-57"/>
        <w:jc w:val="both"/>
        <w:rPr>
          <w:rFonts w:ascii="Calisto MT" w:hAnsi="Calisto MT"/>
          <w:sz w:val="22"/>
          <w:szCs w:val="22"/>
        </w:rPr>
      </w:pPr>
      <w:r w:rsidRPr="001368E0">
        <w:rPr>
          <w:rFonts w:ascii="Calisto MT" w:hAnsi="Calisto MT"/>
          <w:sz w:val="22"/>
          <w:szCs w:val="22"/>
        </w:rPr>
        <w:t xml:space="preserve">The following countries or NUTS II (or equivalent) territorial units form the core eligible area of the Black Sea Basin Programme, as defined in the ENI CBC programming document:  </w:t>
      </w:r>
    </w:p>
    <w:p w:rsidR="002D1AFC" w:rsidRPr="001368E0" w:rsidRDefault="002D1AFC" w:rsidP="001625ED">
      <w:pPr>
        <w:pStyle w:val="Normaleprogram"/>
        <w:numPr>
          <w:ilvl w:val="0"/>
          <w:numId w:val="20"/>
        </w:numPr>
        <w:spacing w:after="60" w:line="264" w:lineRule="auto"/>
        <w:ind w:left="357" w:right="-57" w:hanging="357"/>
        <w:jc w:val="both"/>
        <w:rPr>
          <w:rFonts w:ascii="Calisto MT" w:hAnsi="Calisto MT"/>
          <w:sz w:val="22"/>
          <w:szCs w:val="22"/>
        </w:rPr>
      </w:pPr>
      <w:r w:rsidRPr="001368E0">
        <w:rPr>
          <w:rFonts w:ascii="Calisto MT" w:hAnsi="Calisto MT"/>
          <w:b/>
          <w:sz w:val="22"/>
          <w:szCs w:val="22"/>
        </w:rPr>
        <w:t>Romania</w:t>
      </w:r>
      <w:r w:rsidRPr="001368E0">
        <w:rPr>
          <w:rFonts w:ascii="Calisto MT" w:hAnsi="Calisto MT"/>
          <w:sz w:val="22"/>
          <w:szCs w:val="22"/>
        </w:rPr>
        <w:t>: Sud-Est</w:t>
      </w:r>
    </w:p>
    <w:p w:rsidR="002D1AFC" w:rsidRPr="001368E0" w:rsidRDefault="002D1AFC" w:rsidP="001625ED">
      <w:pPr>
        <w:pStyle w:val="Normaleprogram"/>
        <w:numPr>
          <w:ilvl w:val="0"/>
          <w:numId w:val="20"/>
        </w:numPr>
        <w:spacing w:after="60" w:line="264" w:lineRule="auto"/>
        <w:ind w:left="357" w:right="-57" w:hanging="357"/>
        <w:jc w:val="both"/>
        <w:rPr>
          <w:rFonts w:ascii="Calisto MT" w:hAnsi="Calisto MT"/>
          <w:sz w:val="22"/>
          <w:szCs w:val="22"/>
        </w:rPr>
      </w:pPr>
      <w:r w:rsidRPr="001368E0">
        <w:rPr>
          <w:rFonts w:ascii="Calisto MT" w:hAnsi="Calisto MT"/>
          <w:b/>
          <w:sz w:val="22"/>
          <w:szCs w:val="22"/>
        </w:rPr>
        <w:t>Bulgaria</w:t>
      </w:r>
      <w:r w:rsidRPr="001368E0">
        <w:rPr>
          <w:rFonts w:ascii="Calisto MT" w:hAnsi="Calisto MT"/>
          <w:sz w:val="22"/>
          <w:szCs w:val="22"/>
        </w:rPr>
        <w:t>: Severoiztochen, Yugoiztochen</w:t>
      </w:r>
    </w:p>
    <w:p w:rsidR="002D1AFC" w:rsidRPr="001368E0" w:rsidRDefault="002D1AFC" w:rsidP="001625ED">
      <w:pPr>
        <w:pStyle w:val="Normaleprogram"/>
        <w:numPr>
          <w:ilvl w:val="0"/>
          <w:numId w:val="20"/>
        </w:numPr>
        <w:spacing w:after="60" w:line="264" w:lineRule="auto"/>
        <w:ind w:left="357" w:right="-57" w:hanging="357"/>
        <w:jc w:val="both"/>
        <w:rPr>
          <w:rFonts w:ascii="Calisto MT" w:hAnsi="Calisto MT"/>
          <w:sz w:val="22"/>
          <w:szCs w:val="22"/>
        </w:rPr>
      </w:pPr>
      <w:r w:rsidRPr="001368E0">
        <w:rPr>
          <w:rFonts w:ascii="Calisto MT" w:hAnsi="Calisto MT"/>
          <w:b/>
          <w:sz w:val="22"/>
          <w:szCs w:val="22"/>
        </w:rPr>
        <w:t>Greece</w:t>
      </w:r>
      <w:r w:rsidRPr="001368E0">
        <w:rPr>
          <w:rFonts w:ascii="Calisto MT" w:hAnsi="Calisto MT"/>
          <w:sz w:val="22"/>
          <w:szCs w:val="22"/>
        </w:rPr>
        <w:t>: Kentriki Makedonia, Anatoliki Makedonia Thraki</w:t>
      </w:r>
    </w:p>
    <w:p w:rsidR="002D1AFC" w:rsidRPr="001368E0" w:rsidRDefault="002D1AFC" w:rsidP="001625ED">
      <w:pPr>
        <w:pStyle w:val="Normaleprogram"/>
        <w:numPr>
          <w:ilvl w:val="0"/>
          <w:numId w:val="20"/>
        </w:numPr>
        <w:spacing w:after="60" w:line="264" w:lineRule="auto"/>
        <w:ind w:left="357" w:right="-57" w:hanging="357"/>
        <w:jc w:val="both"/>
        <w:rPr>
          <w:rFonts w:ascii="Calisto MT" w:hAnsi="Calisto MT"/>
          <w:sz w:val="22"/>
          <w:szCs w:val="22"/>
        </w:rPr>
      </w:pPr>
      <w:r w:rsidRPr="001368E0">
        <w:rPr>
          <w:rFonts w:ascii="Calisto MT" w:hAnsi="Calisto MT"/>
          <w:b/>
          <w:sz w:val="22"/>
          <w:szCs w:val="22"/>
        </w:rPr>
        <w:t>Turkey</w:t>
      </w:r>
      <w:r w:rsidRPr="001368E0">
        <w:rPr>
          <w:rFonts w:ascii="Calisto MT" w:hAnsi="Calisto MT"/>
          <w:sz w:val="22"/>
          <w:szCs w:val="22"/>
        </w:rPr>
        <w:t xml:space="preserve">: </w:t>
      </w:r>
      <w:r w:rsidR="000174E4" w:rsidRPr="001368E0">
        <w:rPr>
          <w:rFonts w:ascii="Calisto MT" w:hAnsi="Calisto MT"/>
          <w:sz w:val="22"/>
          <w:szCs w:val="22"/>
        </w:rPr>
        <w:t>TR10 (</w:t>
      </w:r>
      <w:r w:rsidR="000174E4" w:rsidRPr="00D742F3">
        <w:rPr>
          <w:sz w:val="22"/>
          <w:szCs w:val="22"/>
        </w:rPr>
        <w:t>İstanbul</w:t>
      </w:r>
      <w:r w:rsidR="000174E4" w:rsidRPr="001368E0">
        <w:rPr>
          <w:rFonts w:ascii="Calisto MT" w:hAnsi="Calisto MT"/>
          <w:sz w:val="22"/>
          <w:szCs w:val="22"/>
        </w:rPr>
        <w:t>), TR21 (Tekirda</w:t>
      </w:r>
      <w:r w:rsidR="000174E4" w:rsidRPr="00D742F3">
        <w:rPr>
          <w:sz w:val="22"/>
          <w:szCs w:val="22"/>
        </w:rPr>
        <w:t>ğ</w:t>
      </w:r>
      <w:r w:rsidR="000174E4" w:rsidRPr="001368E0">
        <w:rPr>
          <w:rFonts w:ascii="Calisto MT" w:hAnsi="Calisto MT"/>
          <w:sz w:val="22"/>
          <w:szCs w:val="22"/>
        </w:rPr>
        <w:t>, Edirne, Kırklareli), TR42 (Kocaeli, Sakarya, Düzce, Bolu, Yalova), TR81 (Zonguldak, Karabük, Bartın), TR82 (Kastamonu, Çankırı, Sinop), TR83 (Samsun, Tokat, Çorum, Amasya) and TR90 (Trabzon, Ordu, Giresun, Rize, Artvin, Gümü</w:t>
      </w:r>
      <w:r w:rsidR="000174E4" w:rsidRPr="00D742F3">
        <w:rPr>
          <w:sz w:val="22"/>
          <w:szCs w:val="22"/>
        </w:rPr>
        <w:t>şhane</w:t>
      </w:r>
      <w:r w:rsidR="000174E4" w:rsidRPr="001368E0">
        <w:rPr>
          <w:rFonts w:ascii="Calisto MT" w:hAnsi="Calisto MT"/>
          <w:sz w:val="22"/>
          <w:szCs w:val="22"/>
        </w:rPr>
        <w:t>)</w:t>
      </w:r>
    </w:p>
    <w:p w:rsidR="002D1AFC" w:rsidRPr="001368E0" w:rsidRDefault="002D1AFC" w:rsidP="001625ED">
      <w:pPr>
        <w:pStyle w:val="Normaleprogram"/>
        <w:numPr>
          <w:ilvl w:val="0"/>
          <w:numId w:val="20"/>
        </w:numPr>
        <w:spacing w:after="60" w:line="264" w:lineRule="auto"/>
        <w:ind w:left="357" w:right="-57" w:hanging="357"/>
        <w:jc w:val="both"/>
        <w:rPr>
          <w:rFonts w:ascii="Calisto MT" w:hAnsi="Calisto MT"/>
          <w:sz w:val="22"/>
          <w:szCs w:val="22"/>
        </w:rPr>
      </w:pPr>
      <w:r w:rsidRPr="001368E0">
        <w:rPr>
          <w:rFonts w:ascii="Calisto MT" w:hAnsi="Calisto MT"/>
          <w:b/>
          <w:sz w:val="22"/>
          <w:szCs w:val="22"/>
        </w:rPr>
        <w:t>Russia</w:t>
      </w:r>
      <w:r w:rsidRPr="001368E0">
        <w:rPr>
          <w:rFonts w:ascii="Calisto MT" w:hAnsi="Calisto MT"/>
          <w:sz w:val="22"/>
          <w:szCs w:val="22"/>
        </w:rPr>
        <w:t>: Rostov Oblast, Krasnodar Krai, Adygea republic</w:t>
      </w:r>
    </w:p>
    <w:p w:rsidR="002D1AFC" w:rsidRPr="001368E0" w:rsidRDefault="002D1AFC" w:rsidP="001625ED">
      <w:pPr>
        <w:pStyle w:val="Normaleprogram"/>
        <w:numPr>
          <w:ilvl w:val="0"/>
          <w:numId w:val="20"/>
        </w:numPr>
        <w:spacing w:after="60" w:line="264" w:lineRule="auto"/>
        <w:ind w:left="357" w:right="-57" w:hanging="357"/>
        <w:jc w:val="both"/>
        <w:rPr>
          <w:rFonts w:ascii="Calisto MT" w:hAnsi="Calisto MT"/>
          <w:sz w:val="22"/>
          <w:szCs w:val="22"/>
        </w:rPr>
      </w:pPr>
      <w:r w:rsidRPr="001368E0">
        <w:rPr>
          <w:rFonts w:ascii="Calisto MT" w:hAnsi="Calisto MT"/>
          <w:b/>
          <w:sz w:val="22"/>
          <w:szCs w:val="22"/>
        </w:rPr>
        <w:t>Ukraine</w:t>
      </w:r>
      <w:r w:rsidRPr="001368E0">
        <w:rPr>
          <w:rStyle w:val="FootnoteReference"/>
          <w:rFonts w:ascii="Calisto MT" w:hAnsi="Calisto MT"/>
          <w:sz w:val="22"/>
          <w:szCs w:val="22"/>
        </w:rPr>
        <w:footnoteReference w:id="9"/>
      </w:r>
      <w:r w:rsidRPr="001368E0">
        <w:rPr>
          <w:rFonts w:ascii="Calisto MT" w:hAnsi="Calisto MT"/>
          <w:sz w:val="22"/>
          <w:szCs w:val="22"/>
        </w:rPr>
        <w:t>: Odess</w:t>
      </w:r>
      <w:r w:rsidR="00EF18BE" w:rsidRPr="001368E0">
        <w:rPr>
          <w:rFonts w:ascii="Calisto MT" w:hAnsi="Calisto MT"/>
          <w:sz w:val="22"/>
          <w:szCs w:val="22"/>
        </w:rPr>
        <w:t>a, Mykolaiv, Kherson</w:t>
      </w:r>
      <w:r w:rsidRPr="001368E0">
        <w:rPr>
          <w:rFonts w:ascii="Calisto MT" w:hAnsi="Calisto MT"/>
          <w:sz w:val="22"/>
          <w:szCs w:val="22"/>
        </w:rPr>
        <w:t>, Zaporosh’ye and Donetsk Oblasts, Crimea Republic, Sevastopol</w:t>
      </w:r>
    </w:p>
    <w:p w:rsidR="002D1AFC" w:rsidRPr="001368E0" w:rsidRDefault="002D1AFC" w:rsidP="001625ED">
      <w:pPr>
        <w:pStyle w:val="Normaleprogram"/>
        <w:numPr>
          <w:ilvl w:val="0"/>
          <w:numId w:val="20"/>
        </w:numPr>
        <w:spacing w:after="60" w:line="264" w:lineRule="auto"/>
        <w:ind w:left="357" w:right="-57" w:hanging="357"/>
        <w:jc w:val="both"/>
        <w:rPr>
          <w:rFonts w:ascii="Calisto MT" w:hAnsi="Calisto MT"/>
          <w:sz w:val="22"/>
          <w:szCs w:val="22"/>
        </w:rPr>
      </w:pPr>
      <w:r w:rsidRPr="001368E0">
        <w:rPr>
          <w:rFonts w:ascii="Calisto MT" w:hAnsi="Calisto MT"/>
          <w:b/>
          <w:sz w:val="22"/>
          <w:szCs w:val="22"/>
        </w:rPr>
        <w:t>Moldova, Georgia, Armenia, Azerbaijan</w:t>
      </w:r>
      <w:r w:rsidRPr="001368E0">
        <w:rPr>
          <w:rFonts w:ascii="Calisto MT" w:hAnsi="Calisto MT"/>
          <w:sz w:val="22"/>
          <w:szCs w:val="22"/>
        </w:rPr>
        <w:t>: the whole country</w:t>
      </w:r>
    </w:p>
    <w:p w:rsidR="0055637D" w:rsidRPr="004165AE" w:rsidRDefault="0055637D" w:rsidP="0055637D">
      <w:pPr>
        <w:pStyle w:val="Heading3"/>
        <w:spacing w:before="200" w:after="80" w:line="252" w:lineRule="auto"/>
        <w:rPr>
          <w:b/>
          <w:sz w:val="28"/>
          <w:szCs w:val="28"/>
          <w:lang w:val="en-GB"/>
        </w:rPr>
      </w:pPr>
      <w:bookmarkStart w:id="12" w:name="_Toc273788683"/>
      <w:bookmarkStart w:id="13" w:name="_Toc276156668"/>
      <w:r>
        <w:rPr>
          <w:sz w:val="28"/>
          <w:szCs w:val="28"/>
          <w:lang w:val="en-GB"/>
        </w:rPr>
        <w:br w:type="column"/>
      </w:r>
      <w:bookmarkStart w:id="14" w:name="_Toc288133427"/>
      <w:r w:rsidR="002D1AFC" w:rsidRPr="001625ED">
        <w:rPr>
          <w:b/>
          <w:sz w:val="28"/>
          <w:szCs w:val="28"/>
          <w:lang w:val="en-GB"/>
        </w:rPr>
        <w:lastRenderedPageBreak/>
        <w:t>Map of the programme area</w:t>
      </w:r>
      <w:bookmarkEnd w:id="12"/>
      <w:bookmarkEnd w:id="13"/>
      <w:bookmarkEnd w:id="14"/>
    </w:p>
    <w:p w:rsidR="00E1281E" w:rsidRPr="004B58D3" w:rsidRDefault="006102F6" w:rsidP="00E1281E">
      <w:pPr>
        <w:pStyle w:val="Caption"/>
        <w:spacing w:after="0" w:line="252" w:lineRule="auto"/>
        <w:jc w:val="left"/>
        <w:rPr>
          <w:sz w:val="22"/>
          <w:szCs w:val="22"/>
          <w:lang w:val="en-GB"/>
        </w:rPr>
      </w:pPr>
      <w:r>
        <w:rPr>
          <w:rFonts w:ascii="Times New Roman" w:hAnsi="Times New Roman"/>
          <w:noProof/>
          <w:sz w:val="22"/>
          <w:szCs w:val="22"/>
          <w:lang w:val="ro-RO" w:eastAsia="ro-RO"/>
        </w:rPr>
        <w:drawing>
          <wp:inline distT="0" distB="0" distL="0" distR="0">
            <wp:extent cx="6905625" cy="5524500"/>
            <wp:effectExtent l="19050" t="0" r="9525"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srcRect/>
                    <a:stretch>
                      <a:fillRect/>
                    </a:stretch>
                  </pic:blipFill>
                  <pic:spPr bwMode="auto">
                    <a:xfrm>
                      <a:off x="0" y="0"/>
                      <a:ext cx="6905625" cy="5524500"/>
                    </a:xfrm>
                    <a:prstGeom prst="rect">
                      <a:avLst/>
                    </a:prstGeom>
                    <a:noFill/>
                    <a:ln w="9525">
                      <a:noFill/>
                      <a:miter lim="800000"/>
                      <a:headEnd/>
                      <a:tailEnd/>
                    </a:ln>
                  </pic:spPr>
                </pic:pic>
              </a:graphicData>
            </a:graphic>
          </wp:inline>
        </w:drawing>
      </w:r>
      <w:r w:rsidR="00E1281E" w:rsidRPr="001625ED">
        <w:rPr>
          <w:sz w:val="22"/>
          <w:szCs w:val="22"/>
          <w:lang w:val="en-GB"/>
        </w:rPr>
        <w:t>Map of the pr</w:t>
      </w:r>
      <w:r w:rsidR="00B76639" w:rsidRPr="001625ED">
        <w:rPr>
          <w:sz w:val="22"/>
          <w:szCs w:val="22"/>
          <w:lang w:val="en-GB"/>
        </w:rPr>
        <w:t>ogramme</w:t>
      </w:r>
      <w:r w:rsidR="00E1281E" w:rsidRPr="001625ED">
        <w:rPr>
          <w:sz w:val="22"/>
          <w:szCs w:val="22"/>
          <w:lang w:val="en-GB"/>
        </w:rPr>
        <w:t>: EU regions</w:t>
      </w:r>
      <w:r w:rsidR="003C3C1D" w:rsidRPr="001625ED">
        <w:rPr>
          <w:sz w:val="22"/>
          <w:szCs w:val="22"/>
          <w:lang w:val="en-GB"/>
        </w:rPr>
        <w:t xml:space="preserve"> cooperation area</w:t>
      </w:r>
      <w:r w:rsidR="005B7B9B" w:rsidRPr="001625ED">
        <w:rPr>
          <w:sz w:val="22"/>
          <w:szCs w:val="22"/>
          <w:lang w:val="en-GB"/>
        </w:rPr>
        <w:t>s</w:t>
      </w:r>
      <w:r w:rsidR="00E1281E" w:rsidRPr="001625ED">
        <w:rPr>
          <w:sz w:val="22"/>
          <w:szCs w:val="22"/>
          <w:lang w:val="en-GB"/>
        </w:rPr>
        <w:t xml:space="preserve"> in dark blue, other cooperation area</w:t>
      </w:r>
      <w:r w:rsidR="00EB15ED" w:rsidRPr="001625ED">
        <w:rPr>
          <w:sz w:val="22"/>
          <w:szCs w:val="22"/>
          <w:lang w:val="en-GB"/>
        </w:rPr>
        <w:t>s</w:t>
      </w:r>
      <w:r w:rsidR="00E1281E" w:rsidRPr="001625ED">
        <w:rPr>
          <w:sz w:val="22"/>
          <w:szCs w:val="22"/>
          <w:lang w:val="en-GB"/>
        </w:rPr>
        <w:t xml:space="preserve"> in</w:t>
      </w:r>
      <w:r w:rsidR="00EB15ED" w:rsidRPr="001625ED">
        <w:rPr>
          <w:sz w:val="22"/>
          <w:szCs w:val="22"/>
          <w:lang w:val="en-GB"/>
        </w:rPr>
        <w:t xml:space="preserve"> pale blue</w:t>
      </w:r>
      <w:r w:rsidR="006F4961" w:rsidRPr="001625ED">
        <w:rPr>
          <w:rStyle w:val="EndnoteReference"/>
          <w:sz w:val="22"/>
          <w:szCs w:val="22"/>
          <w:lang w:val="en-GB"/>
        </w:rPr>
        <w:endnoteReference w:id="1"/>
      </w:r>
      <w:r w:rsidR="004165AE" w:rsidRPr="001625ED">
        <w:rPr>
          <w:rStyle w:val="FootnoteReference"/>
          <w:sz w:val="22"/>
          <w:szCs w:val="22"/>
          <w:lang w:val="en-GB"/>
        </w:rPr>
        <w:footnoteReference w:id="10"/>
      </w:r>
      <w:r w:rsidR="00E1281E">
        <w:rPr>
          <w:sz w:val="22"/>
          <w:szCs w:val="22"/>
          <w:lang w:val="en-GB"/>
        </w:rPr>
        <w:t xml:space="preserve"> </w:t>
      </w:r>
    </w:p>
    <w:p w:rsidR="00E2125D" w:rsidRPr="00E1281E" w:rsidRDefault="00E1281E" w:rsidP="00081ECA">
      <w:pPr>
        <w:pStyle w:val="Heading2"/>
        <w:spacing w:after="0" w:line="252" w:lineRule="auto"/>
        <w:jc w:val="left"/>
        <w:rPr>
          <w:rFonts w:ascii="Times New Roman" w:hAnsi="Times New Roman"/>
          <w:sz w:val="10"/>
          <w:szCs w:val="10"/>
          <w:lang w:val="en-GB"/>
        </w:rPr>
      </w:pPr>
      <w:r>
        <w:rPr>
          <w:rFonts w:ascii="Times New Roman" w:hAnsi="Times New Roman"/>
          <w:sz w:val="22"/>
          <w:szCs w:val="22"/>
          <w:lang w:val="en-GB"/>
        </w:rPr>
        <w:br w:type="column"/>
      </w:r>
    </w:p>
    <w:p w:rsidR="00752914" w:rsidRDefault="002D1AFC" w:rsidP="00A10588">
      <w:pPr>
        <w:pStyle w:val="Heading1"/>
        <w:numPr>
          <w:ilvl w:val="1"/>
          <w:numId w:val="3"/>
        </w:numPr>
        <w:spacing w:before="120" w:line="252" w:lineRule="auto"/>
        <w:ind w:left="1434" w:hanging="357"/>
        <w:jc w:val="left"/>
      </w:pPr>
      <w:bookmarkStart w:id="15" w:name="_Toc288133428"/>
      <w:r>
        <w:rPr>
          <w:sz w:val="40"/>
          <w:szCs w:val="40"/>
          <w:lang w:val="en-GB"/>
        </w:rPr>
        <w:t>Programme o</w:t>
      </w:r>
      <w:r w:rsidR="00272E36" w:rsidRPr="00272E36">
        <w:rPr>
          <w:sz w:val="40"/>
          <w:szCs w:val="40"/>
          <w:lang w:val="en-GB"/>
        </w:rPr>
        <w:t>verall</w:t>
      </w:r>
      <w:r w:rsidR="002A5FA0" w:rsidRPr="00272E36">
        <w:rPr>
          <w:sz w:val="40"/>
          <w:szCs w:val="40"/>
          <w:lang w:val="en-GB"/>
        </w:rPr>
        <w:t xml:space="preserve"> </w:t>
      </w:r>
      <w:r w:rsidR="00752914" w:rsidRPr="00272E36">
        <w:rPr>
          <w:sz w:val="40"/>
          <w:szCs w:val="40"/>
          <w:lang w:val="en-GB"/>
        </w:rPr>
        <w:t>strategic framework</w:t>
      </w:r>
      <w:bookmarkEnd w:id="15"/>
      <w:r w:rsidR="00272E36" w:rsidRPr="00272E36">
        <w:rPr>
          <w:sz w:val="40"/>
          <w:szCs w:val="40"/>
          <w:lang w:val="en-GB"/>
        </w:rPr>
        <w:t xml:space="preserve"> </w:t>
      </w:r>
    </w:p>
    <w:p w:rsidR="002B5493" w:rsidRPr="002B5493" w:rsidRDefault="002B5493" w:rsidP="00EE604A">
      <w:pPr>
        <w:pStyle w:val="Heading3"/>
        <w:spacing w:before="200" w:after="240" w:line="264" w:lineRule="auto"/>
        <w:rPr>
          <w:sz w:val="12"/>
          <w:szCs w:val="12"/>
          <w:lang w:val="en-GB"/>
        </w:rPr>
      </w:pPr>
    </w:p>
    <w:p w:rsidR="00E65C40" w:rsidRPr="00F40719" w:rsidRDefault="004A2E6E" w:rsidP="00EE604A">
      <w:pPr>
        <w:pStyle w:val="Heading3"/>
        <w:spacing w:before="200" w:after="240" w:line="264" w:lineRule="auto"/>
        <w:rPr>
          <w:b/>
          <w:sz w:val="28"/>
          <w:szCs w:val="28"/>
          <w:lang w:val="en-GB"/>
        </w:rPr>
      </w:pPr>
      <w:bookmarkStart w:id="16" w:name="_Toc288133429"/>
      <w:r w:rsidRPr="00F40719">
        <w:rPr>
          <w:b/>
          <w:sz w:val="28"/>
          <w:szCs w:val="28"/>
          <w:lang w:val="en-GB"/>
        </w:rPr>
        <w:t>EU</w:t>
      </w:r>
      <w:r w:rsidR="00E65C40" w:rsidRPr="00F40719">
        <w:rPr>
          <w:b/>
          <w:sz w:val="28"/>
          <w:szCs w:val="28"/>
          <w:lang w:val="en-GB"/>
        </w:rPr>
        <w:t xml:space="preserve"> strategy</w:t>
      </w:r>
      <w:r w:rsidRPr="00F40719">
        <w:rPr>
          <w:b/>
          <w:sz w:val="28"/>
          <w:szCs w:val="28"/>
          <w:lang w:val="en-GB"/>
        </w:rPr>
        <w:t xml:space="preserve"> for ENI CBC</w:t>
      </w:r>
      <w:bookmarkEnd w:id="16"/>
    </w:p>
    <w:p w:rsidR="00D561E3" w:rsidRPr="004408A1" w:rsidRDefault="000D6E4B" w:rsidP="00966685">
      <w:pPr>
        <w:autoSpaceDE w:val="0"/>
        <w:autoSpaceDN w:val="0"/>
        <w:adjustRightInd w:val="0"/>
        <w:spacing w:after="120" w:line="264" w:lineRule="auto"/>
        <w:jc w:val="both"/>
        <w:rPr>
          <w:sz w:val="22"/>
          <w:szCs w:val="22"/>
          <w:lang w:val="en-GB"/>
        </w:rPr>
      </w:pPr>
      <w:r w:rsidRPr="004408A1">
        <w:rPr>
          <w:sz w:val="22"/>
          <w:szCs w:val="22"/>
          <w:lang w:val="en-GB"/>
        </w:rPr>
        <w:t xml:space="preserve">Cross-border cooperation </w:t>
      </w:r>
      <w:r w:rsidR="00FF6B07">
        <w:rPr>
          <w:sz w:val="22"/>
          <w:szCs w:val="22"/>
          <w:lang w:val="en-GB"/>
        </w:rPr>
        <w:t xml:space="preserve">(CBC) </w:t>
      </w:r>
      <w:r w:rsidRPr="004408A1">
        <w:rPr>
          <w:sz w:val="22"/>
          <w:szCs w:val="22"/>
          <w:lang w:val="en-GB"/>
        </w:rPr>
        <w:t xml:space="preserve">on the external borders of the EU is a key priority both in the European Neighbourhood Policy and in the EU’s strategic partnership with Russia. </w:t>
      </w:r>
      <w:r w:rsidR="0057093E" w:rsidRPr="004408A1">
        <w:rPr>
          <w:sz w:val="22"/>
          <w:szCs w:val="22"/>
          <w:lang w:val="en-GB"/>
        </w:rPr>
        <w:t>CBC under the European Neighbourhood Instrument (ENI) will build on CBC under its predecessor, the E</w:t>
      </w:r>
      <w:r w:rsidR="00B61DEB" w:rsidRPr="004408A1">
        <w:rPr>
          <w:sz w:val="22"/>
          <w:szCs w:val="22"/>
          <w:lang w:val="en-GB"/>
        </w:rPr>
        <w:t xml:space="preserve">uropean </w:t>
      </w:r>
      <w:r w:rsidR="0057093E" w:rsidRPr="004408A1">
        <w:rPr>
          <w:sz w:val="22"/>
          <w:szCs w:val="22"/>
          <w:lang w:val="en-GB"/>
        </w:rPr>
        <w:t>N</w:t>
      </w:r>
      <w:r w:rsidR="00B61DEB" w:rsidRPr="004408A1">
        <w:rPr>
          <w:sz w:val="22"/>
          <w:szCs w:val="22"/>
          <w:lang w:val="en-GB"/>
        </w:rPr>
        <w:t>eighbourhood and Partnership Instrument (EN</w:t>
      </w:r>
      <w:r w:rsidR="0057093E" w:rsidRPr="004408A1">
        <w:rPr>
          <w:sz w:val="22"/>
          <w:szCs w:val="22"/>
          <w:lang w:val="en-GB"/>
        </w:rPr>
        <w:t>PI</w:t>
      </w:r>
      <w:r w:rsidR="00B61DEB" w:rsidRPr="004408A1">
        <w:rPr>
          <w:sz w:val="22"/>
          <w:szCs w:val="22"/>
          <w:lang w:val="en-GB"/>
        </w:rPr>
        <w:t>)</w:t>
      </w:r>
      <w:r w:rsidR="0057093E" w:rsidRPr="004408A1">
        <w:rPr>
          <w:sz w:val="22"/>
          <w:szCs w:val="22"/>
          <w:lang w:val="en-GB"/>
        </w:rPr>
        <w:t>.</w:t>
      </w:r>
      <w:r w:rsidR="00F30726" w:rsidRPr="004408A1">
        <w:rPr>
          <w:sz w:val="22"/>
          <w:szCs w:val="22"/>
          <w:lang w:val="en-GB"/>
        </w:rPr>
        <w:t xml:space="preserve"> </w:t>
      </w:r>
    </w:p>
    <w:p w:rsidR="00062B20" w:rsidRPr="004408A1" w:rsidRDefault="00F728C6" w:rsidP="00966685">
      <w:pPr>
        <w:autoSpaceDE w:val="0"/>
        <w:autoSpaceDN w:val="0"/>
        <w:adjustRightInd w:val="0"/>
        <w:spacing w:after="120" w:line="264" w:lineRule="auto"/>
        <w:jc w:val="both"/>
        <w:rPr>
          <w:sz w:val="22"/>
          <w:szCs w:val="22"/>
          <w:lang w:val="en-GB"/>
        </w:rPr>
      </w:pPr>
      <w:r>
        <w:rPr>
          <w:sz w:val="22"/>
          <w:szCs w:val="22"/>
          <w:lang w:val="en-GB"/>
        </w:rPr>
        <w:t xml:space="preserve">ENI CBC </w:t>
      </w:r>
      <w:r w:rsidR="00F30726" w:rsidRPr="004408A1">
        <w:rPr>
          <w:sz w:val="22"/>
          <w:szCs w:val="22"/>
          <w:lang w:val="en-GB"/>
        </w:rPr>
        <w:t>receives funding from the European Regional Development Fund as well as the Europ</w:t>
      </w:r>
      <w:r w:rsidR="00D561E3" w:rsidRPr="004408A1">
        <w:rPr>
          <w:sz w:val="22"/>
          <w:szCs w:val="22"/>
          <w:lang w:val="en-GB"/>
        </w:rPr>
        <w:t>ean Neighbourhood Instrument</w:t>
      </w:r>
      <w:r w:rsidR="004F5A62">
        <w:rPr>
          <w:sz w:val="22"/>
          <w:szCs w:val="22"/>
          <w:lang w:val="en-GB"/>
        </w:rPr>
        <w:t xml:space="preserve"> and the Instrument for Pre-Accession</w:t>
      </w:r>
      <w:r w:rsidR="0088103C">
        <w:rPr>
          <w:rStyle w:val="FootnoteReference"/>
          <w:sz w:val="22"/>
          <w:szCs w:val="22"/>
          <w:lang w:val="en-GB"/>
        </w:rPr>
        <w:footnoteReference w:id="11"/>
      </w:r>
      <w:r w:rsidR="00D561E3" w:rsidRPr="004408A1">
        <w:rPr>
          <w:sz w:val="22"/>
          <w:szCs w:val="22"/>
          <w:lang w:val="en-GB"/>
        </w:rPr>
        <w:t>.</w:t>
      </w:r>
      <w:r w:rsidR="009A4209" w:rsidRPr="004408A1">
        <w:rPr>
          <w:lang w:val="en-GB"/>
        </w:rPr>
        <w:t xml:space="preserve"> </w:t>
      </w:r>
      <w:r w:rsidR="008921D0">
        <w:rPr>
          <w:sz w:val="22"/>
          <w:szCs w:val="22"/>
          <w:lang w:val="en-GB"/>
        </w:rPr>
        <w:t>All</w:t>
      </w:r>
      <w:r w:rsidR="009A4209" w:rsidRPr="004408A1">
        <w:rPr>
          <w:sz w:val="22"/>
          <w:szCs w:val="22"/>
          <w:lang w:val="en-GB"/>
        </w:rPr>
        <w:t xml:space="preserve"> sources of funding may be used on either side of the EU external border, for actions of common benefit.</w:t>
      </w:r>
      <w:r w:rsidR="00D561E3" w:rsidRPr="004408A1">
        <w:rPr>
          <w:sz w:val="22"/>
          <w:szCs w:val="22"/>
          <w:lang w:val="en-GB"/>
        </w:rPr>
        <w:t xml:space="preserve"> </w:t>
      </w:r>
      <w:r w:rsidR="0012518A" w:rsidRPr="004408A1">
        <w:rPr>
          <w:sz w:val="22"/>
          <w:szCs w:val="22"/>
          <w:lang w:val="en-GB"/>
        </w:rPr>
        <w:t>The ENI Regulation</w:t>
      </w:r>
      <w:r w:rsidR="004408A1">
        <w:rPr>
          <w:rStyle w:val="FootnoteReference"/>
          <w:sz w:val="22"/>
          <w:szCs w:val="22"/>
          <w:lang w:val="en-GB"/>
        </w:rPr>
        <w:footnoteReference w:id="12"/>
      </w:r>
      <w:r w:rsidR="0012518A" w:rsidRPr="004408A1">
        <w:rPr>
          <w:sz w:val="22"/>
          <w:szCs w:val="22"/>
          <w:lang w:val="en-GB"/>
        </w:rPr>
        <w:t xml:space="preserve"> sets out the basis for CBC</w:t>
      </w:r>
      <w:r w:rsidR="008F3EF7" w:rsidRPr="004408A1">
        <w:rPr>
          <w:sz w:val="22"/>
          <w:szCs w:val="22"/>
          <w:lang w:val="en-GB"/>
        </w:rPr>
        <w:t>, further d</w:t>
      </w:r>
      <w:r w:rsidR="00F9487E">
        <w:rPr>
          <w:sz w:val="22"/>
          <w:szCs w:val="22"/>
          <w:lang w:val="en-GB"/>
        </w:rPr>
        <w:t>efined in ENI CBC Implementing Regulation</w:t>
      </w:r>
      <w:r w:rsidR="004408A1">
        <w:rPr>
          <w:rStyle w:val="FootnoteReference"/>
          <w:sz w:val="22"/>
          <w:szCs w:val="22"/>
          <w:lang w:val="en-GB"/>
        </w:rPr>
        <w:footnoteReference w:id="13"/>
      </w:r>
      <w:r w:rsidR="008F3EF7" w:rsidRPr="004408A1">
        <w:rPr>
          <w:sz w:val="22"/>
          <w:szCs w:val="22"/>
          <w:lang w:val="en-GB"/>
        </w:rPr>
        <w:t xml:space="preserve"> and ENI CBC programming document</w:t>
      </w:r>
      <w:r w:rsidR="00422207">
        <w:rPr>
          <w:rStyle w:val="FootnoteReference"/>
          <w:sz w:val="22"/>
          <w:szCs w:val="22"/>
          <w:lang w:val="en-GB"/>
        </w:rPr>
        <w:footnoteReference w:id="14"/>
      </w:r>
      <w:r w:rsidR="008F3EF7" w:rsidRPr="004408A1">
        <w:rPr>
          <w:sz w:val="22"/>
          <w:szCs w:val="22"/>
          <w:lang w:val="en-GB"/>
        </w:rPr>
        <w:t>.</w:t>
      </w:r>
    </w:p>
    <w:p w:rsidR="00062B20" w:rsidRPr="004408A1" w:rsidRDefault="00752914" w:rsidP="00EE604A">
      <w:pPr>
        <w:autoSpaceDE w:val="0"/>
        <w:autoSpaceDN w:val="0"/>
        <w:adjustRightInd w:val="0"/>
        <w:spacing w:after="180" w:line="264" w:lineRule="auto"/>
        <w:jc w:val="both"/>
        <w:rPr>
          <w:sz w:val="22"/>
          <w:szCs w:val="22"/>
          <w:lang w:val="en-GB"/>
        </w:rPr>
      </w:pPr>
      <w:r w:rsidRPr="004408A1">
        <w:rPr>
          <w:b/>
          <w:lang w:val="en-GB"/>
        </w:rPr>
        <w:t>Overall objective</w:t>
      </w:r>
      <w:r w:rsidR="00A670CC" w:rsidRPr="004408A1">
        <w:rPr>
          <w:b/>
          <w:lang w:val="en-GB"/>
        </w:rPr>
        <w:t xml:space="preserve"> and s</w:t>
      </w:r>
      <w:r w:rsidRPr="004408A1">
        <w:rPr>
          <w:b/>
          <w:lang w:val="en-GB"/>
        </w:rPr>
        <w:t>trategic objectives</w:t>
      </w:r>
    </w:p>
    <w:p w:rsidR="0050606D" w:rsidRDefault="00BB098F" w:rsidP="00966685">
      <w:pPr>
        <w:autoSpaceDE w:val="0"/>
        <w:autoSpaceDN w:val="0"/>
        <w:adjustRightInd w:val="0"/>
        <w:spacing w:before="120" w:after="60" w:line="264" w:lineRule="auto"/>
        <w:jc w:val="both"/>
        <w:rPr>
          <w:sz w:val="22"/>
          <w:szCs w:val="22"/>
          <w:lang w:val="en-GB"/>
        </w:rPr>
      </w:pPr>
      <w:r>
        <w:rPr>
          <w:sz w:val="22"/>
          <w:szCs w:val="22"/>
          <w:lang w:val="en-GB"/>
        </w:rPr>
        <w:t>ENI CBC aims to</w:t>
      </w:r>
      <w:r w:rsidR="00A670CC" w:rsidRPr="004408A1">
        <w:rPr>
          <w:sz w:val="22"/>
          <w:szCs w:val="22"/>
          <w:lang w:val="en-GB"/>
        </w:rPr>
        <w:t xml:space="preserve"> </w:t>
      </w:r>
      <w:r w:rsidR="00C56E1F">
        <w:rPr>
          <w:sz w:val="22"/>
          <w:szCs w:val="22"/>
          <w:lang w:val="en-GB"/>
        </w:rPr>
        <w:t>“</w:t>
      </w:r>
      <w:r w:rsidRPr="004369F3">
        <w:rPr>
          <w:i/>
          <w:sz w:val="22"/>
          <w:szCs w:val="22"/>
          <w:lang w:val="en-GB"/>
        </w:rPr>
        <w:t>promote co-operation across the borders between EU Member States and the countries on the European Neighbourhood and Russian Federation</w:t>
      </w:r>
      <w:r w:rsidR="00C56E1F">
        <w:rPr>
          <w:sz w:val="22"/>
          <w:szCs w:val="22"/>
          <w:lang w:val="en-GB"/>
        </w:rPr>
        <w:t>”</w:t>
      </w:r>
      <w:r w:rsidRPr="004369F3">
        <w:rPr>
          <w:sz w:val="22"/>
          <w:szCs w:val="22"/>
          <w:lang w:val="en-GB"/>
        </w:rPr>
        <w:t xml:space="preserve"> and it </w:t>
      </w:r>
      <w:r w:rsidR="00A670CC" w:rsidRPr="004408A1">
        <w:rPr>
          <w:sz w:val="22"/>
          <w:szCs w:val="22"/>
          <w:lang w:val="en-GB"/>
        </w:rPr>
        <w:t xml:space="preserve">should contribute to the overall ENI objective of progress towards </w:t>
      </w:r>
      <w:r w:rsidR="00C56E1F">
        <w:rPr>
          <w:i/>
          <w:sz w:val="22"/>
          <w:szCs w:val="22"/>
          <w:lang w:val="en-GB"/>
        </w:rPr>
        <w:t>“</w:t>
      </w:r>
      <w:r w:rsidR="00A670CC" w:rsidRPr="004408A1">
        <w:rPr>
          <w:i/>
          <w:sz w:val="22"/>
          <w:szCs w:val="22"/>
          <w:lang w:val="en-GB"/>
        </w:rPr>
        <w:t>an area of shared prosperity and good neighbourliness</w:t>
      </w:r>
      <w:r w:rsidR="002E49C8">
        <w:rPr>
          <w:sz w:val="22"/>
          <w:szCs w:val="22"/>
          <w:lang w:val="en-GB"/>
        </w:rPr>
        <w:t>”</w:t>
      </w:r>
      <w:r w:rsidR="00A670CC" w:rsidRPr="004408A1">
        <w:rPr>
          <w:sz w:val="22"/>
          <w:szCs w:val="22"/>
          <w:lang w:val="en-GB"/>
        </w:rPr>
        <w:t xml:space="preserve"> between EU Member States and their neighbours. </w:t>
      </w:r>
      <w:r w:rsidR="00AB143A">
        <w:rPr>
          <w:sz w:val="22"/>
          <w:szCs w:val="22"/>
          <w:lang w:val="en-GB"/>
        </w:rPr>
        <w:t>Due to its geographical location, Turkey also participate</w:t>
      </w:r>
      <w:r w:rsidR="002525E1">
        <w:rPr>
          <w:sz w:val="22"/>
          <w:szCs w:val="22"/>
          <w:lang w:val="en-GB"/>
        </w:rPr>
        <w:t>s</w:t>
      </w:r>
      <w:r w:rsidR="00AB143A">
        <w:rPr>
          <w:sz w:val="22"/>
          <w:szCs w:val="22"/>
          <w:lang w:val="en-GB"/>
        </w:rPr>
        <w:t xml:space="preserve"> in the Black Sea Basin ENI CBC</w:t>
      </w:r>
      <w:r w:rsidR="00A67919">
        <w:rPr>
          <w:sz w:val="22"/>
          <w:szCs w:val="22"/>
          <w:lang w:val="en-GB"/>
        </w:rPr>
        <w:t xml:space="preserve"> as a candidate country.</w:t>
      </w:r>
    </w:p>
    <w:p w:rsidR="00A670CC" w:rsidRPr="004408A1" w:rsidRDefault="00A670CC" w:rsidP="00966685">
      <w:pPr>
        <w:autoSpaceDE w:val="0"/>
        <w:autoSpaceDN w:val="0"/>
        <w:adjustRightInd w:val="0"/>
        <w:spacing w:before="120" w:after="60" w:line="264" w:lineRule="auto"/>
        <w:jc w:val="both"/>
        <w:rPr>
          <w:sz w:val="22"/>
          <w:szCs w:val="22"/>
          <w:lang w:val="en-GB"/>
        </w:rPr>
      </w:pPr>
      <w:r w:rsidRPr="004408A1">
        <w:rPr>
          <w:sz w:val="22"/>
          <w:szCs w:val="22"/>
          <w:lang w:val="en-GB"/>
        </w:rPr>
        <w:t xml:space="preserve">CBC under the ENI has </w:t>
      </w:r>
      <w:r w:rsidRPr="004408A1">
        <w:rPr>
          <w:b/>
          <w:sz w:val="22"/>
          <w:szCs w:val="22"/>
          <w:lang w:val="en-GB"/>
        </w:rPr>
        <w:t>3 overarching strategic objectives</w:t>
      </w:r>
      <w:r w:rsidRPr="004408A1">
        <w:rPr>
          <w:sz w:val="22"/>
          <w:szCs w:val="22"/>
          <w:lang w:val="en-GB"/>
        </w:rPr>
        <w:t>:</w:t>
      </w:r>
    </w:p>
    <w:p w:rsidR="00A670CC" w:rsidRPr="00976C2F" w:rsidRDefault="00A670CC" w:rsidP="00EE745F">
      <w:pPr>
        <w:pStyle w:val="ListParagraph"/>
        <w:numPr>
          <w:ilvl w:val="0"/>
          <w:numId w:val="13"/>
        </w:numPr>
        <w:autoSpaceDE w:val="0"/>
        <w:autoSpaceDN w:val="0"/>
        <w:adjustRightInd w:val="0"/>
        <w:spacing w:after="60" w:line="264" w:lineRule="auto"/>
        <w:rPr>
          <w:sz w:val="22"/>
          <w:szCs w:val="22"/>
          <w:lang w:val="en-GB"/>
        </w:rPr>
      </w:pPr>
      <w:r w:rsidRPr="00976C2F">
        <w:rPr>
          <w:sz w:val="22"/>
          <w:szCs w:val="22"/>
          <w:lang w:val="en-GB"/>
        </w:rPr>
        <w:t>Promote economic and social development in regions on both sides of common borders;</w:t>
      </w:r>
    </w:p>
    <w:p w:rsidR="00A670CC" w:rsidRPr="00976C2F" w:rsidRDefault="00A670CC" w:rsidP="00EE745F">
      <w:pPr>
        <w:pStyle w:val="ListParagraph"/>
        <w:numPr>
          <w:ilvl w:val="0"/>
          <w:numId w:val="13"/>
        </w:numPr>
        <w:autoSpaceDE w:val="0"/>
        <w:autoSpaceDN w:val="0"/>
        <w:adjustRightInd w:val="0"/>
        <w:spacing w:after="60" w:line="264" w:lineRule="auto"/>
        <w:rPr>
          <w:sz w:val="22"/>
          <w:szCs w:val="22"/>
          <w:lang w:val="en-GB"/>
        </w:rPr>
      </w:pPr>
      <w:r w:rsidRPr="00976C2F">
        <w:rPr>
          <w:sz w:val="22"/>
          <w:szCs w:val="22"/>
          <w:lang w:val="en-GB"/>
        </w:rPr>
        <w:t>Address common challenges in environment, public health, safety and security;</w:t>
      </w:r>
      <w:r w:rsidR="001D0679" w:rsidRPr="00976C2F">
        <w:rPr>
          <w:sz w:val="22"/>
          <w:szCs w:val="22"/>
          <w:lang w:val="en-GB"/>
        </w:rPr>
        <w:t xml:space="preserve"> </w:t>
      </w:r>
    </w:p>
    <w:p w:rsidR="00A670CC" w:rsidRPr="00976C2F" w:rsidRDefault="00A670CC" w:rsidP="00EE745F">
      <w:pPr>
        <w:pStyle w:val="ListParagraph"/>
        <w:numPr>
          <w:ilvl w:val="0"/>
          <w:numId w:val="13"/>
        </w:numPr>
        <w:autoSpaceDE w:val="0"/>
        <w:autoSpaceDN w:val="0"/>
        <w:adjustRightInd w:val="0"/>
        <w:spacing w:after="60" w:line="264" w:lineRule="auto"/>
        <w:rPr>
          <w:sz w:val="22"/>
          <w:szCs w:val="22"/>
          <w:lang w:val="en-GB"/>
        </w:rPr>
      </w:pPr>
      <w:r w:rsidRPr="00976C2F">
        <w:rPr>
          <w:sz w:val="22"/>
          <w:szCs w:val="22"/>
          <w:lang w:val="en-GB"/>
        </w:rPr>
        <w:t>Promotion of better conditions and modalities for ensuring the mobility of persons, goods and capital.</w:t>
      </w:r>
    </w:p>
    <w:p w:rsidR="00A670CC" w:rsidRPr="004408A1" w:rsidRDefault="00A670CC" w:rsidP="00966685">
      <w:pPr>
        <w:autoSpaceDE w:val="0"/>
        <w:autoSpaceDN w:val="0"/>
        <w:adjustRightInd w:val="0"/>
        <w:spacing w:before="120" w:after="180" w:line="264" w:lineRule="auto"/>
        <w:jc w:val="both"/>
        <w:rPr>
          <w:sz w:val="22"/>
          <w:szCs w:val="22"/>
          <w:lang w:val="en-GB"/>
        </w:rPr>
      </w:pPr>
      <w:r w:rsidRPr="004408A1">
        <w:rPr>
          <w:sz w:val="22"/>
          <w:szCs w:val="22"/>
          <w:lang w:val="en-GB"/>
        </w:rPr>
        <w:t xml:space="preserve">Each ENI CBC programme must contribute to </w:t>
      </w:r>
      <w:r w:rsidRPr="004408A1">
        <w:rPr>
          <w:i/>
          <w:sz w:val="22"/>
          <w:szCs w:val="22"/>
          <w:lang w:val="en-GB"/>
        </w:rPr>
        <w:t>at least one</w:t>
      </w:r>
      <w:r w:rsidRPr="004408A1">
        <w:rPr>
          <w:sz w:val="22"/>
          <w:szCs w:val="22"/>
          <w:lang w:val="en-GB"/>
        </w:rPr>
        <w:t xml:space="preserve"> of the strategic objectives.</w:t>
      </w:r>
    </w:p>
    <w:p w:rsidR="00752914" w:rsidRPr="004408A1" w:rsidRDefault="00A54C0E" w:rsidP="00EE604A">
      <w:pPr>
        <w:spacing w:after="180" w:line="264" w:lineRule="auto"/>
        <w:rPr>
          <w:b/>
          <w:lang w:val="en-GB"/>
        </w:rPr>
      </w:pPr>
      <w:r w:rsidRPr="004408A1">
        <w:rPr>
          <w:b/>
          <w:lang w:val="en-GB"/>
        </w:rPr>
        <w:t>T</w:t>
      </w:r>
      <w:r w:rsidR="00752914" w:rsidRPr="004408A1">
        <w:rPr>
          <w:b/>
          <w:lang w:val="en-GB"/>
        </w:rPr>
        <w:t>hematic objectives</w:t>
      </w:r>
      <w:r w:rsidR="00922494" w:rsidRPr="004408A1">
        <w:rPr>
          <w:b/>
          <w:lang w:val="en-GB"/>
        </w:rPr>
        <w:t xml:space="preserve"> </w:t>
      </w:r>
    </w:p>
    <w:p w:rsidR="00A670CC" w:rsidRPr="004408A1" w:rsidRDefault="00CC331F" w:rsidP="00EE604A">
      <w:pPr>
        <w:spacing w:after="60" w:line="264" w:lineRule="auto"/>
        <w:jc w:val="both"/>
        <w:rPr>
          <w:sz w:val="22"/>
          <w:szCs w:val="22"/>
          <w:lang w:val="en-GB"/>
        </w:rPr>
      </w:pPr>
      <w:r w:rsidRPr="004408A1">
        <w:rPr>
          <w:sz w:val="22"/>
          <w:szCs w:val="22"/>
          <w:lang w:val="en-GB"/>
        </w:rPr>
        <w:t xml:space="preserve">Taking the strategic objectives above into consideration, </w:t>
      </w:r>
      <w:r w:rsidR="00711912" w:rsidRPr="004408A1">
        <w:rPr>
          <w:sz w:val="22"/>
          <w:szCs w:val="22"/>
          <w:lang w:val="en-GB"/>
        </w:rPr>
        <w:t xml:space="preserve">and based on the specific circumstances and requirements of the programme cooperation area, </w:t>
      </w:r>
      <w:r w:rsidRPr="004408A1">
        <w:rPr>
          <w:sz w:val="22"/>
          <w:szCs w:val="22"/>
          <w:lang w:val="en-GB"/>
        </w:rPr>
        <w:t xml:space="preserve">each programme </w:t>
      </w:r>
      <w:r w:rsidR="004D434B" w:rsidRPr="004408A1">
        <w:rPr>
          <w:sz w:val="22"/>
          <w:szCs w:val="22"/>
          <w:lang w:val="en-GB"/>
        </w:rPr>
        <w:t xml:space="preserve">shall </w:t>
      </w:r>
      <w:r w:rsidRPr="004408A1">
        <w:rPr>
          <w:sz w:val="22"/>
          <w:szCs w:val="22"/>
          <w:lang w:val="en-GB"/>
        </w:rPr>
        <w:t xml:space="preserve">focus on </w:t>
      </w:r>
      <w:r w:rsidRPr="004408A1">
        <w:rPr>
          <w:i/>
          <w:sz w:val="22"/>
          <w:szCs w:val="22"/>
          <w:lang w:val="en-GB"/>
        </w:rPr>
        <w:t>a maximum of 4</w:t>
      </w:r>
      <w:r w:rsidRPr="004408A1">
        <w:rPr>
          <w:sz w:val="22"/>
          <w:szCs w:val="22"/>
          <w:lang w:val="en-GB"/>
        </w:rPr>
        <w:t xml:space="preserve"> thematic objectives chosen within a list defined in ENI CBC </w:t>
      </w:r>
      <w:r w:rsidR="00856BFA" w:rsidRPr="004408A1">
        <w:rPr>
          <w:sz w:val="22"/>
          <w:szCs w:val="22"/>
          <w:lang w:val="en-GB"/>
        </w:rPr>
        <w:t>programming document, that is</w:t>
      </w:r>
      <w:r w:rsidR="004D434B" w:rsidRPr="004408A1">
        <w:rPr>
          <w:sz w:val="22"/>
          <w:szCs w:val="22"/>
          <w:lang w:val="en-GB"/>
        </w:rPr>
        <w:t>:</w:t>
      </w:r>
    </w:p>
    <w:p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Business and SME development (Strategic objective: A)</w:t>
      </w:r>
    </w:p>
    <w:p w:rsid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Support to education, research, technological development and innovation (Strategic objective: A)</w:t>
      </w:r>
    </w:p>
    <w:p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lastRenderedPageBreak/>
        <w:t>Promotion of local culture and preservation of historical heritage (Strategic objective: A)</w:t>
      </w:r>
    </w:p>
    <w:p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Pr</w:t>
      </w:r>
      <w:r>
        <w:rPr>
          <w:rFonts w:eastAsia="Calibri"/>
          <w:sz w:val="22"/>
          <w:szCs w:val="22"/>
          <w:lang w:val="en-GB"/>
        </w:rPr>
        <w:t>omotion of social inclusion and</w:t>
      </w:r>
      <w:r w:rsidRPr="00856BFA">
        <w:rPr>
          <w:rFonts w:eastAsia="Calibri"/>
          <w:sz w:val="22"/>
          <w:szCs w:val="22"/>
          <w:lang w:val="en-GB"/>
        </w:rPr>
        <w:t xml:space="preserve"> f</w:t>
      </w:r>
      <w:r>
        <w:rPr>
          <w:rFonts w:eastAsia="Calibri"/>
          <w:sz w:val="22"/>
          <w:szCs w:val="22"/>
          <w:lang w:val="en-GB"/>
        </w:rPr>
        <w:t xml:space="preserve">ight against poverty </w:t>
      </w:r>
      <w:r w:rsidRPr="00856BFA">
        <w:rPr>
          <w:rFonts w:eastAsia="Calibri"/>
          <w:sz w:val="22"/>
          <w:szCs w:val="22"/>
          <w:lang w:val="en-GB"/>
        </w:rPr>
        <w:t>(Strategic objectives: A, B, C)</w:t>
      </w:r>
    </w:p>
    <w:p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Support to l</w:t>
      </w:r>
      <w:r>
        <w:rPr>
          <w:rFonts w:eastAsia="Calibri"/>
          <w:sz w:val="22"/>
          <w:szCs w:val="22"/>
          <w:lang w:val="en-GB"/>
        </w:rPr>
        <w:t xml:space="preserve">ocal </w:t>
      </w:r>
      <w:r w:rsidR="00746A9A">
        <w:rPr>
          <w:rFonts w:eastAsia="Calibri"/>
          <w:sz w:val="22"/>
          <w:szCs w:val="22"/>
          <w:lang w:val="en-GB"/>
        </w:rPr>
        <w:t>and</w:t>
      </w:r>
      <w:r>
        <w:rPr>
          <w:rFonts w:eastAsia="Calibri"/>
          <w:sz w:val="22"/>
          <w:szCs w:val="22"/>
          <w:lang w:val="en-GB"/>
        </w:rPr>
        <w:t xml:space="preserve"> regional good governance </w:t>
      </w:r>
      <w:r w:rsidRPr="00856BFA">
        <w:rPr>
          <w:rFonts w:eastAsia="Calibri"/>
          <w:sz w:val="22"/>
          <w:szCs w:val="22"/>
          <w:lang w:val="en-GB"/>
        </w:rPr>
        <w:t>(Strategic objectives: A, B, C)</w:t>
      </w:r>
    </w:p>
    <w:p w:rsidR="00856BFA" w:rsidRPr="00856BFA" w:rsidRDefault="00856BFA" w:rsidP="007426FD">
      <w:pPr>
        <w:numPr>
          <w:ilvl w:val="0"/>
          <w:numId w:val="8"/>
        </w:numPr>
        <w:spacing w:after="0" w:line="264" w:lineRule="auto"/>
        <w:ind w:left="714" w:hanging="357"/>
        <w:jc w:val="both"/>
        <w:rPr>
          <w:rFonts w:eastAsia="Calibri"/>
          <w:sz w:val="22"/>
          <w:szCs w:val="22"/>
          <w:lang w:val="fr-BE"/>
        </w:rPr>
      </w:pPr>
      <w:r w:rsidRPr="00856BFA">
        <w:rPr>
          <w:rFonts w:eastAsia="Calibri"/>
          <w:sz w:val="22"/>
          <w:szCs w:val="22"/>
          <w:lang w:val="fr-BE"/>
        </w:rPr>
        <w:t xml:space="preserve">Environmental protection, </w:t>
      </w:r>
      <w:r w:rsidR="00746A9A">
        <w:rPr>
          <w:rFonts w:eastAsia="Calibri"/>
          <w:sz w:val="22"/>
          <w:szCs w:val="22"/>
          <w:lang w:val="fr-BE"/>
        </w:rPr>
        <w:t xml:space="preserve">and </w:t>
      </w:r>
      <w:r w:rsidRPr="00856BFA">
        <w:rPr>
          <w:rFonts w:eastAsia="Calibri"/>
          <w:sz w:val="22"/>
          <w:szCs w:val="22"/>
          <w:lang w:val="fr-BE"/>
        </w:rPr>
        <w:t xml:space="preserve">climate change </w:t>
      </w:r>
      <w:r w:rsidR="00746A9A">
        <w:rPr>
          <w:rFonts w:eastAsia="Calibri"/>
          <w:sz w:val="22"/>
          <w:szCs w:val="22"/>
          <w:lang w:val="fr-BE"/>
        </w:rPr>
        <w:t xml:space="preserve">mitigation and </w:t>
      </w:r>
      <w:r w:rsidRPr="00856BFA">
        <w:rPr>
          <w:rFonts w:eastAsia="Calibri"/>
          <w:sz w:val="22"/>
          <w:szCs w:val="22"/>
          <w:lang w:val="fr-BE"/>
        </w:rPr>
        <w:t>adaptation (Strategic objective: B)</w:t>
      </w:r>
    </w:p>
    <w:p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 xml:space="preserve">Improvement of accessibility to the regions, development of </w:t>
      </w:r>
      <w:r w:rsidR="00746A9A">
        <w:rPr>
          <w:rFonts w:eastAsia="Calibri"/>
          <w:sz w:val="22"/>
          <w:szCs w:val="22"/>
          <w:lang w:val="en-GB"/>
        </w:rPr>
        <w:t xml:space="preserve">sustainable and climate-proof </w:t>
      </w:r>
      <w:r w:rsidRPr="00856BFA">
        <w:rPr>
          <w:rFonts w:eastAsia="Calibri"/>
          <w:sz w:val="22"/>
          <w:szCs w:val="22"/>
          <w:lang w:val="en-GB"/>
        </w:rPr>
        <w:t>transport and communication networks and system</w:t>
      </w:r>
      <w:r w:rsidR="004A2E6E">
        <w:rPr>
          <w:rFonts w:eastAsia="Calibri"/>
          <w:sz w:val="22"/>
          <w:szCs w:val="22"/>
          <w:lang w:val="en-GB"/>
        </w:rPr>
        <w:t>s</w:t>
      </w:r>
      <w:r w:rsidR="004A2E6E" w:rsidRPr="00856BFA">
        <w:rPr>
          <w:rFonts w:eastAsia="Calibri"/>
          <w:sz w:val="22"/>
          <w:szCs w:val="22"/>
          <w:lang w:val="en-GB"/>
        </w:rPr>
        <w:t xml:space="preserve"> </w:t>
      </w:r>
      <w:r w:rsidRPr="00856BFA">
        <w:rPr>
          <w:rFonts w:eastAsia="Calibri"/>
          <w:sz w:val="22"/>
          <w:szCs w:val="22"/>
          <w:lang w:val="en-GB"/>
        </w:rPr>
        <w:t>(Strategic objective: C)</w:t>
      </w:r>
    </w:p>
    <w:p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Common challenges in the field of safety and security (Strategic objective: B)</w:t>
      </w:r>
    </w:p>
    <w:p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 xml:space="preserve">Promotion of </w:t>
      </w:r>
      <w:r w:rsidR="00746A9A">
        <w:rPr>
          <w:rFonts w:eastAsia="Calibri"/>
          <w:sz w:val="22"/>
          <w:szCs w:val="22"/>
          <w:lang w:val="en-GB"/>
        </w:rPr>
        <w:t xml:space="preserve">and cooperation on sustainable </w:t>
      </w:r>
      <w:r w:rsidRPr="00856BFA">
        <w:rPr>
          <w:rFonts w:eastAsia="Calibri"/>
          <w:sz w:val="22"/>
          <w:szCs w:val="22"/>
          <w:lang w:val="en-GB"/>
        </w:rPr>
        <w:t xml:space="preserve">energy </w:t>
      </w:r>
      <w:r w:rsidR="00746A9A">
        <w:rPr>
          <w:rFonts w:eastAsia="Calibri"/>
          <w:sz w:val="22"/>
          <w:szCs w:val="22"/>
          <w:lang w:val="en-GB"/>
        </w:rPr>
        <w:t>and energy security</w:t>
      </w:r>
      <w:r w:rsidRPr="00856BFA">
        <w:rPr>
          <w:rFonts w:eastAsia="Calibri"/>
          <w:sz w:val="22"/>
          <w:szCs w:val="22"/>
          <w:lang w:val="en-GB"/>
        </w:rPr>
        <w:t xml:space="preserve"> (Strategic objective: B)</w:t>
      </w:r>
    </w:p>
    <w:p w:rsidR="00856BFA" w:rsidRDefault="00856BFA" w:rsidP="007426FD">
      <w:pPr>
        <w:pStyle w:val="ListParagraph"/>
        <w:numPr>
          <w:ilvl w:val="0"/>
          <w:numId w:val="8"/>
        </w:numPr>
        <w:spacing w:after="60" w:line="264" w:lineRule="auto"/>
        <w:ind w:left="714" w:hanging="357"/>
        <w:jc w:val="both"/>
        <w:rPr>
          <w:rFonts w:eastAsia="Calibri"/>
          <w:sz w:val="22"/>
          <w:szCs w:val="22"/>
          <w:lang w:val="en-GB"/>
        </w:rPr>
      </w:pPr>
      <w:r w:rsidRPr="00856BFA">
        <w:rPr>
          <w:rFonts w:eastAsia="Calibri"/>
          <w:sz w:val="22"/>
          <w:szCs w:val="22"/>
          <w:lang w:val="en-GB"/>
        </w:rPr>
        <w:t>Promotion of border management, border security</w:t>
      </w:r>
      <w:r w:rsidR="00746A9A">
        <w:rPr>
          <w:rFonts w:eastAsia="Calibri"/>
          <w:sz w:val="22"/>
          <w:szCs w:val="22"/>
          <w:lang w:val="en-GB"/>
        </w:rPr>
        <w:t xml:space="preserve"> and mobility</w:t>
      </w:r>
      <w:r w:rsidRPr="00856BFA">
        <w:rPr>
          <w:rFonts w:eastAsia="Calibri"/>
          <w:sz w:val="22"/>
          <w:szCs w:val="22"/>
          <w:lang w:val="en-GB"/>
        </w:rPr>
        <w:t xml:space="preserve"> (Strategic objective: C)</w:t>
      </w:r>
    </w:p>
    <w:p w:rsidR="00746A9A" w:rsidRPr="00746A9A" w:rsidRDefault="00746A9A" w:rsidP="00746A9A">
      <w:pPr>
        <w:spacing w:after="60" w:line="264" w:lineRule="auto"/>
        <w:jc w:val="both"/>
        <w:rPr>
          <w:rFonts w:eastAsia="Calibri"/>
          <w:sz w:val="22"/>
          <w:szCs w:val="22"/>
          <w:lang w:val="en-GB"/>
        </w:rPr>
      </w:pPr>
    </w:p>
    <w:p w:rsidR="00C4167E" w:rsidRDefault="00C910D0" w:rsidP="00E81C33">
      <w:pPr>
        <w:spacing w:before="120" w:after="120" w:line="264" w:lineRule="auto"/>
        <w:jc w:val="both"/>
        <w:rPr>
          <w:sz w:val="22"/>
          <w:szCs w:val="22"/>
          <w:lang w:val="en-GB"/>
        </w:rPr>
      </w:pPr>
      <w:r w:rsidRPr="004408A1">
        <w:rPr>
          <w:sz w:val="22"/>
          <w:szCs w:val="22"/>
          <w:lang w:val="en-GB"/>
        </w:rPr>
        <w:t xml:space="preserve">A list of indicative activities is provided under each Thematic Objective in </w:t>
      </w:r>
      <w:r w:rsidR="004408A1">
        <w:rPr>
          <w:sz w:val="22"/>
          <w:szCs w:val="22"/>
          <w:lang w:val="en-GB"/>
        </w:rPr>
        <w:t xml:space="preserve">the </w:t>
      </w:r>
      <w:r w:rsidRPr="004408A1">
        <w:rPr>
          <w:sz w:val="22"/>
          <w:szCs w:val="22"/>
          <w:lang w:val="en-GB"/>
        </w:rPr>
        <w:t xml:space="preserve">ENI CBC programming document. </w:t>
      </w:r>
    </w:p>
    <w:p w:rsidR="00C910D0" w:rsidRPr="004408A1" w:rsidRDefault="00C4167E" w:rsidP="00966685">
      <w:pPr>
        <w:spacing w:after="120" w:line="264" w:lineRule="auto"/>
        <w:jc w:val="both"/>
        <w:rPr>
          <w:sz w:val="22"/>
          <w:szCs w:val="22"/>
          <w:lang w:val="en-GB"/>
        </w:rPr>
      </w:pPr>
      <w:r>
        <w:rPr>
          <w:sz w:val="22"/>
          <w:szCs w:val="22"/>
          <w:lang w:val="en-GB"/>
        </w:rPr>
        <w:t>Within this framework, it is</w:t>
      </w:r>
      <w:r w:rsidRPr="00C4167E">
        <w:rPr>
          <w:sz w:val="22"/>
          <w:szCs w:val="22"/>
          <w:lang w:val="en-GB"/>
        </w:rPr>
        <w:t xml:space="preserve"> the task of the local programme partners, working together across the borders, </w:t>
      </w:r>
      <w:r w:rsidR="00C56E1F">
        <w:rPr>
          <w:sz w:val="22"/>
          <w:szCs w:val="22"/>
          <w:lang w:val="en-GB"/>
        </w:rPr>
        <w:t>“</w:t>
      </w:r>
      <w:r w:rsidRPr="00650F19">
        <w:rPr>
          <w:i/>
          <w:sz w:val="22"/>
          <w:szCs w:val="22"/>
          <w:lang w:val="en-GB"/>
        </w:rPr>
        <w:t>to analyse the needs in the programme area, to identify the specific thematic objectives and priorities</w:t>
      </w:r>
      <w:r w:rsidR="00C56E1F">
        <w:rPr>
          <w:i/>
          <w:sz w:val="22"/>
          <w:szCs w:val="22"/>
          <w:lang w:val="en-GB"/>
        </w:rPr>
        <w:t>”</w:t>
      </w:r>
      <w:r w:rsidRPr="00C4167E">
        <w:rPr>
          <w:sz w:val="22"/>
          <w:szCs w:val="22"/>
          <w:lang w:val="en-GB"/>
        </w:rPr>
        <w:t xml:space="preserve"> which are most relevant to their own local circumstances.</w:t>
      </w:r>
    </w:p>
    <w:p w:rsidR="00890C79" w:rsidRPr="004408A1" w:rsidRDefault="00890C79" w:rsidP="00966685">
      <w:pPr>
        <w:spacing w:after="120" w:line="264" w:lineRule="auto"/>
        <w:jc w:val="both"/>
        <w:rPr>
          <w:sz w:val="22"/>
          <w:szCs w:val="22"/>
          <w:lang w:val="en-GB"/>
        </w:rPr>
      </w:pPr>
      <w:r w:rsidRPr="004408A1">
        <w:rPr>
          <w:sz w:val="22"/>
          <w:szCs w:val="22"/>
          <w:lang w:val="en-GB"/>
        </w:rPr>
        <w:t xml:space="preserve">The promotion of local cross-border </w:t>
      </w:r>
      <w:r w:rsidR="00C56E1F">
        <w:rPr>
          <w:i/>
          <w:sz w:val="22"/>
          <w:szCs w:val="22"/>
          <w:lang w:val="en-GB"/>
        </w:rPr>
        <w:t>“</w:t>
      </w:r>
      <w:r w:rsidRPr="004408A1">
        <w:rPr>
          <w:i/>
          <w:sz w:val="22"/>
          <w:szCs w:val="22"/>
          <w:lang w:val="en-GB"/>
        </w:rPr>
        <w:t xml:space="preserve">people-to-people actions </w:t>
      </w:r>
      <w:r w:rsidR="009548A8" w:rsidRPr="004408A1">
        <w:rPr>
          <w:i/>
          <w:sz w:val="22"/>
          <w:szCs w:val="22"/>
          <w:lang w:val="en-GB"/>
        </w:rPr>
        <w:t>is not considered as a thematic objective but as</w:t>
      </w:r>
      <w:r w:rsidRPr="004408A1">
        <w:rPr>
          <w:i/>
          <w:sz w:val="22"/>
          <w:szCs w:val="22"/>
          <w:lang w:val="en-GB"/>
        </w:rPr>
        <w:t xml:space="preserve"> an important modality to be deployed in support of any of these objectives</w:t>
      </w:r>
      <w:r w:rsidR="00C56E1F">
        <w:rPr>
          <w:i/>
          <w:sz w:val="22"/>
          <w:szCs w:val="22"/>
          <w:lang w:val="en-GB"/>
        </w:rPr>
        <w:t>”</w:t>
      </w:r>
      <w:r w:rsidRPr="004408A1">
        <w:rPr>
          <w:sz w:val="22"/>
          <w:szCs w:val="22"/>
          <w:lang w:val="en-GB"/>
        </w:rPr>
        <w:t>. This could include support for enhanced cooperation among local and regional authorities, NGOs and other civil society groups, universities and schools, chambers of commerce etc.</w:t>
      </w:r>
    </w:p>
    <w:p w:rsidR="00A670CC" w:rsidRPr="00A670CC" w:rsidRDefault="005A1255" w:rsidP="00966685">
      <w:pPr>
        <w:spacing w:before="180" w:after="120" w:line="264" w:lineRule="auto"/>
        <w:rPr>
          <w:b/>
        </w:rPr>
      </w:pPr>
      <w:r>
        <w:rPr>
          <w:b/>
        </w:rPr>
        <w:t>Key</w:t>
      </w:r>
      <w:r w:rsidR="00CE517B">
        <w:rPr>
          <w:b/>
        </w:rPr>
        <w:t xml:space="preserve"> p</w:t>
      </w:r>
      <w:r w:rsidR="001843E4">
        <w:rPr>
          <w:b/>
        </w:rPr>
        <w:t>rogramming orientations</w:t>
      </w:r>
    </w:p>
    <w:p w:rsidR="00E12B3A" w:rsidRPr="004408A1" w:rsidRDefault="00F7531C"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t xml:space="preserve">Coherence and complementarity between the ENI CBC programmes and other relevant EU instruments are to be ensured through the programming process. </w:t>
      </w:r>
      <w:r w:rsidR="00E12B3A" w:rsidRPr="004408A1">
        <w:rPr>
          <w:sz w:val="22"/>
          <w:szCs w:val="22"/>
          <w:lang w:val="en-GB"/>
        </w:rPr>
        <w:t xml:space="preserve">CBC programmes must deliver </w:t>
      </w:r>
      <w:r w:rsidR="00E12B3A" w:rsidRPr="004408A1">
        <w:rPr>
          <w:i/>
          <w:sz w:val="22"/>
          <w:szCs w:val="22"/>
          <w:lang w:val="en-GB"/>
        </w:rPr>
        <w:t>real cross-border added value and not cover elements which are already funded or could more suitably be funded from other</w:t>
      </w:r>
      <w:r w:rsidR="00E12B3A" w:rsidRPr="004408A1">
        <w:rPr>
          <w:sz w:val="22"/>
          <w:szCs w:val="22"/>
          <w:lang w:val="en-GB"/>
        </w:rPr>
        <w:t xml:space="preserve"> ENI or EU programmes.</w:t>
      </w:r>
    </w:p>
    <w:p w:rsidR="001843E4" w:rsidRPr="004408A1" w:rsidRDefault="004835F2" w:rsidP="007426FD">
      <w:pPr>
        <w:pStyle w:val="ListParagraph"/>
        <w:numPr>
          <w:ilvl w:val="0"/>
          <w:numId w:val="9"/>
        </w:numPr>
        <w:spacing w:line="264" w:lineRule="auto"/>
        <w:ind w:left="714" w:hanging="357"/>
        <w:jc w:val="both"/>
        <w:rPr>
          <w:sz w:val="22"/>
          <w:szCs w:val="22"/>
          <w:lang w:val="en-GB"/>
        </w:rPr>
      </w:pPr>
      <w:r>
        <w:rPr>
          <w:sz w:val="22"/>
          <w:szCs w:val="22"/>
          <w:lang w:val="en-GB"/>
        </w:rPr>
        <w:t xml:space="preserve">Under </w:t>
      </w:r>
      <w:r w:rsidR="001843E4" w:rsidRPr="004408A1">
        <w:rPr>
          <w:sz w:val="22"/>
          <w:szCs w:val="22"/>
          <w:lang w:val="en-GB"/>
        </w:rPr>
        <w:t xml:space="preserve">sea-basin programmes, it will be </w:t>
      </w:r>
      <w:r w:rsidR="00976C2F" w:rsidRPr="00EE604A">
        <w:rPr>
          <w:i/>
          <w:sz w:val="22"/>
          <w:szCs w:val="22"/>
          <w:lang w:val="en-GB"/>
        </w:rPr>
        <w:t>possible to support activities involving a single partner on either side</w:t>
      </w:r>
      <w:r w:rsidR="00976C2F" w:rsidRPr="00EE604A">
        <w:rPr>
          <w:sz w:val="22"/>
          <w:szCs w:val="22"/>
          <w:lang w:val="en-GB"/>
        </w:rPr>
        <w:t xml:space="preserve"> (EU-internal and –external) of the sea-basins</w:t>
      </w:r>
      <w:r w:rsidR="001843E4" w:rsidRPr="004408A1">
        <w:rPr>
          <w:sz w:val="22"/>
          <w:szCs w:val="22"/>
          <w:lang w:val="en-GB"/>
        </w:rPr>
        <w:t>, as well as activities involving more than one partner on either side of the sea-basin.</w:t>
      </w:r>
      <w:r w:rsidR="001843E4" w:rsidRPr="004408A1">
        <w:rPr>
          <w:lang w:val="en-GB"/>
        </w:rPr>
        <w:t xml:space="preserve"> </w:t>
      </w:r>
    </w:p>
    <w:p w:rsidR="00CE517B" w:rsidRPr="004408A1" w:rsidRDefault="001843E4"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t>The partners implement</w:t>
      </w:r>
      <w:r w:rsidR="004835F2">
        <w:rPr>
          <w:sz w:val="22"/>
          <w:szCs w:val="22"/>
          <w:lang w:val="en-GB"/>
        </w:rPr>
        <w:t>ing projects under the sea-basin</w:t>
      </w:r>
      <w:r w:rsidRPr="004408A1">
        <w:rPr>
          <w:sz w:val="22"/>
          <w:szCs w:val="22"/>
          <w:lang w:val="en-GB"/>
        </w:rPr>
        <w:t xml:space="preserve"> programmes will </w:t>
      </w:r>
      <w:r w:rsidRPr="004408A1">
        <w:rPr>
          <w:i/>
          <w:sz w:val="22"/>
          <w:szCs w:val="22"/>
          <w:lang w:val="en-GB"/>
        </w:rPr>
        <w:t>primarily represent the regional and sub-national administrative levels, as well as civil society organisations</w:t>
      </w:r>
      <w:r w:rsidRPr="004408A1">
        <w:rPr>
          <w:sz w:val="22"/>
          <w:szCs w:val="22"/>
          <w:lang w:val="en-GB"/>
        </w:rPr>
        <w:t xml:space="preserve"> based within the eligible programme area.</w:t>
      </w:r>
      <w:r w:rsidR="00A33656" w:rsidRPr="004408A1">
        <w:rPr>
          <w:sz w:val="22"/>
          <w:szCs w:val="22"/>
          <w:lang w:val="en-GB"/>
        </w:rPr>
        <w:t xml:space="preserve"> Eligibility is based on the ENI regulation, but priority should be given to local and regional authorities, civil society, chambers of commerce, and the academic and educational community; as well as other eligible actors based within the geographical eligibility of the programme and important for the realisation of the objectives of the individual programme. Involvement of national authorities will be necessary in all programme development stages and, when this is necessary, in project implementation</w:t>
      </w:r>
      <w:r w:rsidR="006A53F4" w:rsidRPr="004408A1">
        <w:rPr>
          <w:sz w:val="22"/>
          <w:szCs w:val="22"/>
          <w:lang w:val="en-GB"/>
        </w:rPr>
        <w:t>.</w:t>
      </w:r>
    </w:p>
    <w:p w:rsidR="00CE517B" w:rsidRPr="004408A1" w:rsidRDefault="00CE517B"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t xml:space="preserve">Participation of major social, economic or cultural centres in a programme may be considered where it can be </w:t>
      </w:r>
      <w:r w:rsidR="00985C22">
        <w:rPr>
          <w:sz w:val="22"/>
          <w:szCs w:val="22"/>
          <w:lang w:val="en-GB"/>
        </w:rPr>
        <w:t>demonstrated in the Joint Operational Programme</w:t>
      </w:r>
      <w:r w:rsidRPr="004408A1">
        <w:rPr>
          <w:sz w:val="22"/>
          <w:szCs w:val="22"/>
          <w:lang w:val="en-GB"/>
        </w:rPr>
        <w:t xml:space="preserve"> that the involvement of such centres in the programme (i) would bring substantial added value for the core eligible border area, (ii) would strongly contribute to the achievement of the CBC impact in the core eligible border area, and (iii) is essential to achieving the programme objectives in a sustainable way. </w:t>
      </w:r>
      <w:r w:rsidR="00976C2F" w:rsidRPr="00EE604A">
        <w:rPr>
          <w:sz w:val="22"/>
          <w:szCs w:val="22"/>
          <w:lang w:val="en-GB"/>
        </w:rPr>
        <w:t xml:space="preserve">Consideration should be given to involving such centres </w:t>
      </w:r>
      <w:r w:rsidR="00976C2F" w:rsidRPr="00EE604A">
        <w:rPr>
          <w:i/>
          <w:sz w:val="22"/>
          <w:szCs w:val="22"/>
          <w:lang w:val="en-GB"/>
        </w:rPr>
        <w:t>only to address certain programme priorities or measures and to limit their eligibility to certain categories of project partners</w:t>
      </w:r>
      <w:r w:rsidR="00976C2F" w:rsidRPr="00EE604A">
        <w:rPr>
          <w:sz w:val="22"/>
          <w:szCs w:val="22"/>
          <w:lang w:val="en-GB"/>
        </w:rPr>
        <w:t xml:space="preserve"> (e.g. eligibility of public entities and research centres and not of civil society organisations established in the selected centre).  </w:t>
      </w:r>
    </w:p>
    <w:p w:rsidR="00C95057" w:rsidRPr="004408A1" w:rsidRDefault="00C95057"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lastRenderedPageBreak/>
        <w:t xml:space="preserve">Efforts should be made to </w:t>
      </w:r>
      <w:r w:rsidRPr="004408A1">
        <w:rPr>
          <w:i/>
          <w:sz w:val="22"/>
          <w:szCs w:val="22"/>
          <w:lang w:val="en-GB"/>
        </w:rPr>
        <w:t>ensure the benefits of regional and local development supported by CBC can be sustained</w:t>
      </w:r>
      <w:r w:rsidRPr="004408A1">
        <w:rPr>
          <w:sz w:val="22"/>
          <w:szCs w:val="22"/>
          <w:lang w:val="en-GB"/>
        </w:rPr>
        <w:t xml:space="preserve"> after CBC funding is complete. This issue should be reflected in the criteria for calls for proposals.</w:t>
      </w:r>
    </w:p>
    <w:p w:rsidR="00E65C40" w:rsidRPr="00002063" w:rsidRDefault="00240D53" w:rsidP="00E81C33">
      <w:pPr>
        <w:pStyle w:val="Heading3"/>
        <w:spacing w:before="360" w:after="240" w:line="264" w:lineRule="auto"/>
        <w:rPr>
          <w:b/>
          <w:sz w:val="28"/>
          <w:szCs w:val="28"/>
          <w:lang w:val="en-GB"/>
        </w:rPr>
      </w:pPr>
      <w:bookmarkStart w:id="17" w:name="_Toc288133430"/>
      <w:r w:rsidRPr="00002063">
        <w:rPr>
          <w:b/>
          <w:sz w:val="28"/>
          <w:szCs w:val="28"/>
          <w:lang w:val="en-GB"/>
        </w:rPr>
        <w:t>EU</w:t>
      </w:r>
      <w:r w:rsidR="00E65C40" w:rsidRPr="00002063">
        <w:rPr>
          <w:b/>
          <w:sz w:val="28"/>
          <w:szCs w:val="28"/>
          <w:lang w:val="en-GB"/>
        </w:rPr>
        <w:t xml:space="preserve"> strategic framework for the Black Sea Basin</w:t>
      </w:r>
      <w:bookmarkEnd w:id="17"/>
      <w:r w:rsidR="00E65C40" w:rsidRPr="00002063">
        <w:rPr>
          <w:b/>
          <w:sz w:val="28"/>
          <w:szCs w:val="28"/>
          <w:lang w:val="en-GB"/>
        </w:rPr>
        <w:t xml:space="preserve"> </w:t>
      </w:r>
    </w:p>
    <w:p w:rsidR="004020DC" w:rsidRPr="004408A1" w:rsidRDefault="00706A77" w:rsidP="00EE604A">
      <w:pPr>
        <w:spacing w:line="264" w:lineRule="auto"/>
        <w:jc w:val="both"/>
        <w:rPr>
          <w:sz w:val="22"/>
          <w:szCs w:val="22"/>
          <w:lang w:val="en-GB"/>
        </w:rPr>
      </w:pPr>
      <w:r>
        <w:rPr>
          <w:sz w:val="22"/>
          <w:szCs w:val="22"/>
          <w:lang w:val="en-GB"/>
        </w:rPr>
        <w:t xml:space="preserve">The </w:t>
      </w:r>
      <w:r w:rsidR="004020DC" w:rsidRPr="004408A1">
        <w:rPr>
          <w:sz w:val="22"/>
          <w:szCs w:val="22"/>
          <w:lang w:val="en-GB"/>
        </w:rPr>
        <w:t xml:space="preserve">EU communication on the Black Sea </w:t>
      </w:r>
      <w:r w:rsidR="002E49C8">
        <w:rPr>
          <w:sz w:val="22"/>
          <w:szCs w:val="22"/>
          <w:lang w:val="en-GB"/>
        </w:rPr>
        <w:t>S</w:t>
      </w:r>
      <w:r w:rsidR="004020DC" w:rsidRPr="004408A1">
        <w:rPr>
          <w:sz w:val="22"/>
          <w:szCs w:val="22"/>
          <w:lang w:val="en-GB"/>
        </w:rPr>
        <w:t xml:space="preserve">ynergy (2007) and </w:t>
      </w:r>
      <w:r>
        <w:rPr>
          <w:sz w:val="22"/>
          <w:szCs w:val="22"/>
          <w:lang w:val="en-GB"/>
        </w:rPr>
        <w:t xml:space="preserve">the </w:t>
      </w:r>
      <w:r w:rsidR="004020DC" w:rsidRPr="004408A1">
        <w:rPr>
          <w:sz w:val="22"/>
          <w:szCs w:val="22"/>
          <w:lang w:val="en-GB"/>
        </w:rPr>
        <w:t>Parliament resolution on a</w:t>
      </w:r>
      <w:r>
        <w:rPr>
          <w:sz w:val="22"/>
          <w:szCs w:val="22"/>
          <w:lang w:val="en-GB"/>
        </w:rPr>
        <w:t>n</w:t>
      </w:r>
      <w:r w:rsidR="004020DC" w:rsidRPr="004408A1">
        <w:rPr>
          <w:sz w:val="22"/>
          <w:szCs w:val="22"/>
          <w:lang w:val="en-GB"/>
        </w:rPr>
        <w:t xml:space="preserve"> EU Strategy for the Black Sea Region (2011) </w:t>
      </w:r>
      <w:r w:rsidR="00192E4E" w:rsidRPr="004408A1">
        <w:rPr>
          <w:sz w:val="22"/>
          <w:szCs w:val="22"/>
          <w:lang w:val="en-GB"/>
        </w:rPr>
        <w:t xml:space="preserve">lay down </w:t>
      </w:r>
      <w:r w:rsidR="001E65F6" w:rsidRPr="004408A1">
        <w:rPr>
          <w:sz w:val="22"/>
          <w:szCs w:val="22"/>
          <w:lang w:val="en-GB"/>
        </w:rPr>
        <w:t>strategic orientations</w:t>
      </w:r>
      <w:r w:rsidR="001A557D" w:rsidRPr="004408A1">
        <w:rPr>
          <w:sz w:val="22"/>
          <w:szCs w:val="22"/>
          <w:lang w:val="en-GB"/>
        </w:rPr>
        <w:t xml:space="preserve"> for cooperation in the</w:t>
      </w:r>
      <w:r w:rsidR="00D42B5E" w:rsidRPr="004408A1">
        <w:rPr>
          <w:sz w:val="22"/>
          <w:szCs w:val="22"/>
          <w:lang w:val="en-GB"/>
        </w:rPr>
        <w:t xml:space="preserve"> </w:t>
      </w:r>
      <w:r w:rsidR="004020DC" w:rsidRPr="004408A1">
        <w:rPr>
          <w:sz w:val="22"/>
          <w:szCs w:val="22"/>
          <w:lang w:val="en-GB"/>
        </w:rPr>
        <w:t>Black Sea Basin</w:t>
      </w:r>
      <w:r w:rsidR="007F774F" w:rsidRPr="004408A1">
        <w:rPr>
          <w:sz w:val="22"/>
          <w:szCs w:val="22"/>
          <w:lang w:val="en-GB"/>
        </w:rPr>
        <w:t>.</w:t>
      </w:r>
    </w:p>
    <w:p w:rsidR="00D540C1" w:rsidRDefault="004E597F" w:rsidP="00D540C1">
      <w:pPr>
        <w:spacing w:before="180" w:after="120" w:line="264" w:lineRule="auto"/>
        <w:rPr>
          <w:b/>
          <w:lang w:val="en-GB"/>
        </w:rPr>
      </w:pPr>
      <w:r>
        <w:rPr>
          <w:b/>
          <w:lang w:val="en-GB"/>
        </w:rPr>
        <w:t>Black Sea S</w:t>
      </w:r>
      <w:r w:rsidR="00E65C40" w:rsidRPr="004408A1">
        <w:rPr>
          <w:b/>
          <w:lang w:val="en-GB"/>
        </w:rPr>
        <w:t>ynergy</w:t>
      </w:r>
    </w:p>
    <w:p w:rsidR="00B80C16" w:rsidRPr="00D540C1" w:rsidRDefault="00B80C16" w:rsidP="00E81C33">
      <w:pPr>
        <w:spacing w:before="180" w:after="120" w:line="264" w:lineRule="auto"/>
        <w:jc w:val="both"/>
        <w:rPr>
          <w:b/>
          <w:lang w:val="en-GB"/>
        </w:rPr>
      </w:pPr>
      <w:r w:rsidRPr="004408A1">
        <w:rPr>
          <w:sz w:val="22"/>
          <w:szCs w:val="22"/>
          <w:lang w:val="en-GB"/>
        </w:rPr>
        <w:t>The EC commu</w:t>
      </w:r>
      <w:r w:rsidR="001818AA" w:rsidRPr="004408A1">
        <w:rPr>
          <w:sz w:val="22"/>
          <w:szCs w:val="22"/>
          <w:lang w:val="en-GB"/>
        </w:rPr>
        <w:t xml:space="preserve">nication on the Black Sea Synergy, adopted by the European Council in June 2007, </w:t>
      </w:r>
      <w:r w:rsidRPr="004408A1">
        <w:rPr>
          <w:sz w:val="22"/>
          <w:szCs w:val="22"/>
          <w:lang w:val="en-GB"/>
        </w:rPr>
        <w:t>was followed by</w:t>
      </w:r>
      <w:r w:rsidR="001818AA" w:rsidRPr="004408A1">
        <w:rPr>
          <w:sz w:val="22"/>
          <w:szCs w:val="22"/>
          <w:lang w:val="en-GB"/>
        </w:rPr>
        <w:t xml:space="preserve"> a conferen</w:t>
      </w:r>
      <w:r w:rsidR="006C2DB4" w:rsidRPr="004408A1">
        <w:rPr>
          <w:sz w:val="22"/>
          <w:szCs w:val="22"/>
          <w:lang w:val="en-GB"/>
        </w:rPr>
        <w:t>c</w:t>
      </w:r>
      <w:r w:rsidR="001818AA" w:rsidRPr="004408A1">
        <w:rPr>
          <w:sz w:val="22"/>
          <w:szCs w:val="22"/>
          <w:lang w:val="en-GB"/>
        </w:rPr>
        <w:t>e between EU and Black Sea Foreign Affairs Ministers in Kiev</w:t>
      </w:r>
      <w:r w:rsidRPr="004408A1">
        <w:rPr>
          <w:sz w:val="22"/>
          <w:szCs w:val="22"/>
          <w:lang w:val="en-GB"/>
        </w:rPr>
        <w:t xml:space="preserve"> </w:t>
      </w:r>
      <w:r w:rsidR="006C2DB4" w:rsidRPr="004408A1">
        <w:rPr>
          <w:sz w:val="22"/>
          <w:szCs w:val="22"/>
          <w:lang w:val="en-GB"/>
        </w:rPr>
        <w:t>in 2008 that led to a joint statement</w:t>
      </w:r>
      <w:r w:rsidR="00BB73E8" w:rsidRPr="000F4B41">
        <w:rPr>
          <w:vertAlign w:val="superscript"/>
        </w:rPr>
        <w:footnoteReference w:id="15"/>
      </w:r>
      <w:r w:rsidR="006C2DB4" w:rsidRPr="004408A1">
        <w:rPr>
          <w:sz w:val="22"/>
          <w:szCs w:val="22"/>
          <w:lang w:val="en-GB"/>
        </w:rPr>
        <w:t xml:space="preserve"> initiating the Synergy. The initiative is </w:t>
      </w:r>
      <w:r w:rsidRPr="004408A1">
        <w:rPr>
          <w:sz w:val="22"/>
          <w:szCs w:val="22"/>
          <w:lang w:val="en-GB"/>
        </w:rPr>
        <w:t>designed as a flexible framework to ensure greater coherence and policy guidance</w:t>
      </w:r>
      <w:r w:rsidR="006C2DB4" w:rsidRPr="004408A1">
        <w:rPr>
          <w:sz w:val="22"/>
          <w:szCs w:val="22"/>
          <w:lang w:val="en-GB"/>
        </w:rPr>
        <w:t>,</w:t>
      </w:r>
      <w:r w:rsidRPr="004408A1">
        <w:rPr>
          <w:sz w:val="22"/>
          <w:szCs w:val="22"/>
          <w:lang w:val="en-GB"/>
        </w:rPr>
        <w:t xml:space="preserve"> while also inviting a more in</w:t>
      </w:r>
      <w:r w:rsidR="006C2DB4" w:rsidRPr="004408A1">
        <w:rPr>
          <w:sz w:val="22"/>
          <w:szCs w:val="22"/>
          <w:lang w:val="en-GB"/>
        </w:rPr>
        <w:t>tegrated approach and closer regional ties in order to:</w:t>
      </w:r>
    </w:p>
    <w:p w:rsidR="00B80C16" w:rsidRPr="00B80C16"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rPr>
      </w:pPr>
      <w:r>
        <w:rPr>
          <w:rFonts w:cs="Verdana"/>
          <w:sz w:val="22"/>
          <w:szCs w:val="22"/>
        </w:rPr>
        <w:t>S</w:t>
      </w:r>
      <w:r w:rsidR="00B80C16" w:rsidRPr="00B80C16">
        <w:rPr>
          <w:rFonts w:cs="Verdana"/>
          <w:sz w:val="22"/>
          <w:szCs w:val="22"/>
        </w:rPr>
        <w:t>timulate democratic and economic reforms</w:t>
      </w:r>
    </w:p>
    <w:p w:rsidR="00B80C16" w:rsidRPr="00B80C16"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rPr>
      </w:pPr>
      <w:r>
        <w:rPr>
          <w:rFonts w:cs="Verdana"/>
          <w:sz w:val="22"/>
          <w:szCs w:val="22"/>
        </w:rPr>
        <w:t>S</w:t>
      </w:r>
      <w:r w:rsidR="00B80C16" w:rsidRPr="00B80C16">
        <w:rPr>
          <w:rFonts w:cs="Verdana"/>
          <w:sz w:val="22"/>
          <w:szCs w:val="22"/>
        </w:rPr>
        <w:t>upport stability and promote development</w:t>
      </w:r>
    </w:p>
    <w:p w:rsidR="00B80C16" w:rsidRPr="004408A1"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lang w:val="en-GB"/>
        </w:rPr>
      </w:pPr>
      <w:r w:rsidRPr="004408A1">
        <w:rPr>
          <w:rFonts w:cs="Verdana"/>
          <w:sz w:val="22"/>
          <w:szCs w:val="22"/>
          <w:lang w:val="en-GB"/>
        </w:rPr>
        <w:t>F</w:t>
      </w:r>
      <w:r w:rsidR="00B80C16" w:rsidRPr="004408A1">
        <w:rPr>
          <w:rFonts w:cs="Verdana"/>
          <w:sz w:val="22"/>
          <w:szCs w:val="22"/>
          <w:lang w:val="en-GB"/>
        </w:rPr>
        <w:t>acilitate practical projects in areas of common concern</w:t>
      </w:r>
    </w:p>
    <w:p w:rsidR="00B80C16" w:rsidRPr="004408A1"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lang w:val="en-GB"/>
        </w:rPr>
      </w:pPr>
      <w:r w:rsidRPr="004408A1">
        <w:rPr>
          <w:rFonts w:cs="Verdana"/>
          <w:sz w:val="22"/>
          <w:szCs w:val="22"/>
          <w:lang w:val="en-GB"/>
        </w:rPr>
        <w:t>O</w:t>
      </w:r>
      <w:r w:rsidR="00B80C16" w:rsidRPr="004408A1">
        <w:rPr>
          <w:rFonts w:cs="Verdana"/>
          <w:sz w:val="22"/>
          <w:szCs w:val="22"/>
          <w:lang w:val="en-GB"/>
        </w:rPr>
        <w:t>pen up opportunities and challenges through coordinated action in a regional framework</w:t>
      </w:r>
    </w:p>
    <w:p w:rsidR="0050376E" w:rsidRPr="004408A1" w:rsidRDefault="001B75A5" w:rsidP="007426FD">
      <w:pPr>
        <w:widowControl w:val="0"/>
        <w:numPr>
          <w:ilvl w:val="0"/>
          <w:numId w:val="6"/>
        </w:numPr>
        <w:tabs>
          <w:tab w:val="left" w:pos="220"/>
          <w:tab w:val="left" w:pos="720"/>
        </w:tabs>
        <w:autoSpaceDE w:val="0"/>
        <w:autoSpaceDN w:val="0"/>
        <w:adjustRightInd w:val="0"/>
        <w:spacing w:after="60" w:line="264" w:lineRule="auto"/>
        <w:ind w:left="714" w:hanging="357"/>
        <w:jc w:val="both"/>
        <w:rPr>
          <w:rFonts w:cs="Verdana"/>
          <w:sz w:val="22"/>
          <w:szCs w:val="22"/>
          <w:lang w:val="en-GB"/>
        </w:rPr>
      </w:pPr>
      <w:r w:rsidRPr="004408A1">
        <w:rPr>
          <w:rFonts w:cs="Verdana"/>
          <w:sz w:val="22"/>
          <w:szCs w:val="22"/>
          <w:lang w:val="en-GB"/>
        </w:rPr>
        <w:t>E</w:t>
      </w:r>
      <w:r w:rsidR="00E81C33">
        <w:rPr>
          <w:rFonts w:cs="Verdana"/>
          <w:sz w:val="22"/>
          <w:szCs w:val="22"/>
          <w:lang w:val="en-GB"/>
        </w:rPr>
        <w:t xml:space="preserve">ncourage the peaceful </w:t>
      </w:r>
      <w:r w:rsidR="00B80C16" w:rsidRPr="004408A1">
        <w:rPr>
          <w:rFonts w:cs="Verdana"/>
          <w:sz w:val="22"/>
          <w:szCs w:val="22"/>
          <w:lang w:val="en-GB"/>
        </w:rPr>
        <w:t>resolution of conflicts in the region</w:t>
      </w:r>
    </w:p>
    <w:p w:rsidR="00D94F3E" w:rsidRPr="004408A1" w:rsidRDefault="002A5FA0" w:rsidP="00EE604A">
      <w:pPr>
        <w:spacing w:before="180" w:after="180" w:line="264" w:lineRule="auto"/>
        <w:rPr>
          <w:b/>
          <w:lang w:val="en-GB"/>
        </w:rPr>
      </w:pPr>
      <w:r w:rsidRPr="004408A1">
        <w:rPr>
          <w:b/>
          <w:lang w:val="en-GB"/>
        </w:rPr>
        <w:t>A</w:t>
      </w:r>
      <w:r w:rsidR="00E65C40" w:rsidRPr="004408A1">
        <w:rPr>
          <w:b/>
          <w:lang w:val="en-GB"/>
        </w:rPr>
        <w:t xml:space="preserve"> strategy for</w:t>
      </w:r>
      <w:r w:rsidR="00F82130" w:rsidRPr="004408A1">
        <w:rPr>
          <w:b/>
          <w:lang w:val="en-GB"/>
        </w:rPr>
        <w:t xml:space="preserve"> the Black Sea </w:t>
      </w:r>
    </w:p>
    <w:p w:rsidR="00E65C40" w:rsidRPr="004408A1" w:rsidRDefault="00706A77" w:rsidP="00EE604A">
      <w:pPr>
        <w:spacing w:after="60" w:line="264" w:lineRule="auto"/>
        <w:jc w:val="both"/>
        <w:rPr>
          <w:sz w:val="22"/>
          <w:szCs w:val="22"/>
          <w:lang w:val="en-GB"/>
        </w:rPr>
      </w:pPr>
      <w:r>
        <w:rPr>
          <w:sz w:val="22"/>
          <w:szCs w:val="22"/>
          <w:lang w:val="en-GB"/>
        </w:rPr>
        <w:t xml:space="preserve">The </w:t>
      </w:r>
      <w:r w:rsidR="008B7D46" w:rsidRPr="004408A1">
        <w:rPr>
          <w:sz w:val="22"/>
          <w:szCs w:val="22"/>
          <w:lang w:val="en-GB"/>
        </w:rPr>
        <w:t>EU Parliament adopted a resolution</w:t>
      </w:r>
      <w:r w:rsidR="00DA7C6B" w:rsidRPr="004408A1">
        <w:rPr>
          <w:sz w:val="22"/>
          <w:szCs w:val="22"/>
          <w:lang w:val="en-GB"/>
        </w:rPr>
        <w:t xml:space="preserve"> </w:t>
      </w:r>
      <w:r w:rsidR="0049087B" w:rsidRPr="004408A1">
        <w:rPr>
          <w:sz w:val="22"/>
          <w:szCs w:val="22"/>
          <w:lang w:val="en-GB"/>
        </w:rPr>
        <w:t>on 20 January 2011</w:t>
      </w:r>
      <w:r w:rsidR="00A26B1D">
        <w:rPr>
          <w:rStyle w:val="FootnoteReference"/>
          <w:sz w:val="22"/>
          <w:szCs w:val="22"/>
        </w:rPr>
        <w:footnoteReference w:id="16"/>
      </w:r>
      <w:r w:rsidR="0049087B" w:rsidRPr="004408A1">
        <w:rPr>
          <w:sz w:val="22"/>
          <w:szCs w:val="22"/>
          <w:lang w:val="en-GB"/>
        </w:rPr>
        <w:t xml:space="preserve"> </w:t>
      </w:r>
      <w:r w:rsidR="00DA7C6B" w:rsidRPr="004408A1">
        <w:rPr>
          <w:sz w:val="22"/>
          <w:szCs w:val="22"/>
          <w:lang w:val="en-GB"/>
        </w:rPr>
        <w:t>for a</w:t>
      </w:r>
      <w:r>
        <w:rPr>
          <w:sz w:val="22"/>
          <w:szCs w:val="22"/>
          <w:lang w:val="en-GB"/>
        </w:rPr>
        <w:t>n</w:t>
      </w:r>
      <w:r w:rsidR="00DA7C6B" w:rsidRPr="004408A1">
        <w:rPr>
          <w:sz w:val="22"/>
          <w:szCs w:val="22"/>
          <w:lang w:val="en-GB"/>
        </w:rPr>
        <w:t xml:space="preserve"> EU Strategy for the Black Sea Region</w:t>
      </w:r>
      <w:r w:rsidR="0049087B" w:rsidRPr="004408A1">
        <w:rPr>
          <w:sz w:val="22"/>
          <w:szCs w:val="22"/>
          <w:lang w:val="en-GB"/>
        </w:rPr>
        <w:t xml:space="preserve"> to be launched</w:t>
      </w:r>
      <w:r w:rsidR="00DA7C6B" w:rsidRPr="004408A1">
        <w:rPr>
          <w:sz w:val="22"/>
          <w:szCs w:val="22"/>
          <w:lang w:val="en-GB"/>
        </w:rPr>
        <w:t xml:space="preserve">. </w:t>
      </w:r>
      <w:r w:rsidR="00350835" w:rsidRPr="004408A1">
        <w:rPr>
          <w:sz w:val="22"/>
          <w:szCs w:val="22"/>
          <w:lang w:val="en-GB"/>
        </w:rPr>
        <w:t xml:space="preserve">Parliament </w:t>
      </w:r>
      <w:r w:rsidR="00DA7C6B" w:rsidRPr="004408A1">
        <w:rPr>
          <w:sz w:val="22"/>
          <w:szCs w:val="22"/>
          <w:lang w:val="en-GB"/>
        </w:rPr>
        <w:t>stress</w:t>
      </w:r>
      <w:r w:rsidR="005665BA" w:rsidRPr="004408A1">
        <w:rPr>
          <w:sz w:val="22"/>
          <w:szCs w:val="22"/>
          <w:lang w:val="en-GB"/>
        </w:rPr>
        <w:t>e</w:t>
      </w:r>
      <w:r>
        <w:rPr>
          <w:sz w:val="22"/>
          <w:szCs w:val="22"/>
          <w:lang w:val="en-GB"/>
        </w:rPr>
        <w:t>d</w:t>
      </w:r>
      <w:r w:rsidR="00DA7C6B" w:rsidRPr="004408A1">
        <w:rPr>
          <w:sz w:val="22"/>
          <w:szCs w:val="22"/>
          <w:lang w:val="en-GB"/>
        </w:rPr>
        <w:t xml:space="preserve"> that the main obj</w:t>
      </w:r>
      <w:r w:rsidR="00C92F63" w:rsidRPr="004408A1">
        <w:rPr>
          <w:sz w:val="22"/>
          <w:szCs w:val="22"/>
          <w:lang w:val="en-GB"/>
        </w:rPr>
        <w:t xml:space="preserve">ective </w:t>
      </w:r>
      <w:r w:rsidR="00A127B4">
        <w:rPr>
          <w:sz w:val="22"/>
          <w:szCs w:val="22"/>
          <w:lang w:val="en-GB"/>
        </w:rPr>
        <w:t>for</w:t>
      </w:r>
      <w:r w:rsidR="00C92F63" w:rsidRPr="004408A1">
        <w:rPr>
          <w:sz w:val="22"/>
          <w:szCs w:val="22"/>
          <w:lang w:val="en-GB"/>
        </w:rPr>
        <w:t xml:space="preserve"> the EU and </w:t>
      </w:r>
      <w:r>
        <w:rPr>
          <w:sz w:val="22"/>
          <w:szCs w:val="22"/>
          <w:lang w:val="en-GB"/>
        </w:rPr>
        <w:t xml:space="preserve">the </w:t>
      </w:r>
      <w:r w:rsidR="00C92F63" w:rsidRPr="004408A1">
        <w:rPr>
          <w:sz w:val="22"/>
          <w:szCs w:val="22"/>
          <w:lang w:val="en-GB"/>
        </w:rPr>
        <w:t>EU</w:t>
      </w:r>
      <w:r w:rsidR="00DA7C6B" w:rsidRPr="004408A1">
        <w:rPr>
          <w:sz w:val="22"/>
          <w:szCs w:val="22"/>
          <w:lang w:val="en-GB"/>
        </w:rPr>
        <w:t xml:space="preserve"> Member States in this strategy </w:t>
      </w:r>
      <w:r w:rsidR="00A127B4">
        <w:rPr>
          <w:sz w:val="22"/>
          <w:szCs w:val="22"/>
          <w:lang w:val="en-GB"/>
        </w:rPr>
        <w:t>is</w:t>
      </w:r>
      <w:r w:rsidR="00DA7C6B" w:rsidRPr="004408A1">
        <w:rPr>
          <w:sz w:val="22"/>
          <w:szCs w:val="22"/>
          <w:lang w:val="en-GB"/>
        </w:rPr>
        <w:t xml:space="preserve"> </w:t>
      </w:r>
      <w:r w:rsidR="008273F1" w:rsidRPr="004408A1">
        <w:rPr>
          <w:sz w:val="22"/>
          <w:szCs w:val="22"/>
          <w:lang w:val="en-GB"/>
        </w:rPr>
        <w:t>to establish an area of peace, democracy, prosperity and stability founded on respect for human rights and fundamental freedoms and providing for EU energy security. It consider</w:t>
      </w:r>
      <w:r w:rsidR="00A127B4">
        <w:rPr>
          <w:sz w:val="22"/>
          <w:szCs w:val="22"/>
          <w:lang w:val="en-GB"/>
        </w:rPr>
        <w:t>ed</w:t>
      </w:r>
      <w:r w:rsidR="008273F1" w:rsidRPr="004408A1">
        <w:rPr>
          <w:sz w:val="22"/>
          <w:szCs w:val="22"/>
          <w:lang w:val="en-GB"/>
        </w:rPr>
        <w:t xml:space="preserve"> that good governance, the rule of law, promotion of respect </w:t>
      </w:r>
      <w:r w:rsidR="002E49C8">
        <w:rPr>
          <w:sz w:val="22"/>
          <w:szCs w:val="22"/>
          <w:lang w:val="en-GB"/>
        </w:rPr>
        <w:t>for</w:t>
      </w:r>
      <w:r w:rsidR="002E49C8" w:rsidRPr="004408A1">
        <w:rPr>
          <w:sz w:val="22"/>
          <w:szCs w:val="22"/>
          <w:lang w:val="en-GB"/>
        </w:rPr>
        <w:t xml:space="preserve"> </w:t>
      </w:r>
      <w:r w:rsidR="008273F1" w:rsidRPr="004408A1">
        <w:rPr>
          <w:sz w:val="22"/>
          <w:szCs w:val="22"/>
          <w:lang w:val="en-GB"/>
        </w:rPr>
        <w:t>human rights, migration management, energy, transport, the environment and economic and social development should constitute priority actions.</w:t>
      </w:r>
    </w:p>
    <w:p w:rsidR="00CF39DE" w:rsidRPr="004408A1" w:rsidRDefault="00CF39DE" w:rsidP="00EE604A">
      <w:pPr>
        <w:spacing w:after="60" w:line="264" w:lineRule="auto"/>
        <w:jc w:val="both"/>
        <w:rPr>
          <w:sz w:val="22"/>
          <w:szCs w:val="22"/>
          <w:lang w:val="en-GB"/>
        </w:rPr>
      </w:pPr>
      <w:r w:rsidRPr="004408A1">
        <w:rPr>
          <w:sz w:val="22"/>
          <w:szCs w:val="22"/>
          <w:lang w:val="en-GB"/>
        </w:rPr>
        <w:t xml:space="preserve">The resolution encourages priority financing </w:t>
      </w:r>
      <w:r w:rsidR="00A127B4">
        <w:rPr>
          <w:sz w:val="22"/>
          <w:szCs w:val="22"/>
          <w:lang w:val="en-GB"/>
        </w:rPr>
        <w:t>for</w:t>
      </w:r>
      <w:r w:rsidR="00A127B4" w:rsidRPr="004408A1">
        <w:rPr>
          <w:sz w:val="22"/>
          <w:szCs w:val="22"/>
          <w:lang w:val="en-GB"/>
        </w:rPr>
        <w:t xml:space="preserve"> </w:t>
      </w:r>
      <w:r w:rsidRPr="004408A1">
        <w:rPr>
          <w:sz w:val="22"/>
          <w:szCs w:val="22"/>
          <w:lang w:val="en-GB"/>
        </w:rPr>
        <w:t>small-scale development projects and stresses the need for a project-based approach with a view to including local authorities, business communities, NGOs or other civil society organisations.</w:t>
      </w:r>
    </w:p>
    <w:p w:rsidR="00CF39DE" w:rsidRPr="004408A1" w:rsidRDefault="00CF39DE" w:rsidP="00EE604A">
      <w:pPr>
        <w:spacing w:after="60" w:line="264" w:lineRule="auto"/>
        <w:jc w:val="both"/>
        <w:rPr>
          <w:sz w:val="22"/>
          <w:szCs w:val="22"/>
          <w:lang w:val="en-GB"/>
        </w:rPr>
      </w:pPr>
      <w:r w:rsidRPr="004408A1">
        <w:rPr>
          <w:sz w:val="22"/>
          <w:szCs w:val="22"/>
          <w:lang w:val="en-GB"/>
        </w:rPr>
        <w:t>It encourages the development of syn</w:t>
      </w:r>
      <w:r w:rsidR="009C716B" w:rsidRPr="004408A1">
        <w:rPr>
          <w:sz w:val="22"/>
          <w:szCs w:val="22"/>
          <w:lang w:val="en-GB"/>
        </w:rPr>
        <w:t>ergies between the various EU</w:t>
      </w:r>
      <w:r w:rsidRPr="004408A1">
        <w:rPr>
          <w:sz w:val="22"/>
          <w:szCs w:val="22"/>
          <w:lang w:val="en-GB"/>
        </w:rPr>
        <w:t xml:space="preserve"> policies that come into play in the Strategy, particularly the Structural Funds, the Research and Development Framework Programme and the Trans-European Transport Networks in order to ensure the sustainability of t</w:t>
      </w:r>
      <w:r w:rsidR="003F469B" w:rsidRPr="004408A1">
        <w:rPr>
          <w:sz w:val="22"/>
          <w:szCs w:val="22"/>
          <w:lang w:val="en-GB"/>
        </w:rPr>
        <w:t>he actions financed so that</w:t>
      </w:r>
      <w:r w:rsidRPr="004408A1">
        <w:rPr>
          <w:sz w:val="22"/>
          <w:szCs w:val="22"/>
          <w:lang w:val="en-GB"/>
        </w:rPr>
        <w:t xml:space="preserve"> opportunities created by one economic development initiative can be taken up by another, complementary initiative.</w:t>
      </w:r>
    </w:p>
    <w:p w:rsidR="00E65C40" w:rsidRPr="00002063" w:rsidRDefault="00CC219A" w:rsidP="00E81C33">
      <w:pPr>
        <w:pStyle w:val="Heading3"/>
        <w:spacing w:before="360" w:after="240" w:line="264" w:lineRule="auto"/>
        <w:rPr>
          <w:b/>
          <w:sz w:val="28"/>
          <w:szCs w:val="28"/>
          <w:lang w:val="en-GB"/>
        </w:rPr>
      </w:pPr>
      <w:bookmarkStart w:id="18" w:name="_Toc288133431"/>
      <w:r w:rsidRPr="00002063">
        <w:rPr>
          <w:b/>
          <w:sz w:val="28"/>
          <w:szCs w:val="28"/>
          <w:lang w:val="en-GB"/>
        </w:rPr>
        <w:t>Other relevant EU policies and initiatives</w:t>
      </w:r>
      <w:bookmarkEnd w:id="18"/>
    </w:p>
    <w:p w:rsidR="001949C1" w:rsidRPr="004408A1" w:rsidRDefault="001949C1" w:rsidP="00EE604A">
      <w:pPr>
        <w:spacing w:after="60" w:line="264" w:lineRule="auto"/>
        <w:jc w:val="both"/>
        <w:rPr>
          <w:sz w:val="22"/>
          <w:szCs w:val="22"/>
          <w:lang w:val="en-GB"/>
        </w:rPr>
      </w:pPr>
      <w:r w:rsidRPr="004408A1">
        <w:rPr>
          <w:sz w:val="22"/>
          <w:szCs w:val="22"/>
          <w:lang w:val="en-GB"/>
        </w:rPr>
        <w:t xml:space="preserve">Other </w:t>
      </w:r>
      <w:r w:rsidR="002810BA" w:rsidRPr="004408A1">
        <w:rPr>
          <w:sz w:val="22"/>
          <w:szCs w:val="22"/>
          <w:lang w:val="en-GB"/>
        </w:rPr>
        <w:t>key EU</w:t>
      </w:r>
      <w:r w:rsidR="00453BA8" w:rsidRPr="004408A1">
        <w:rPr>
          <w:sz w:val="22"/>
          <w:szCs w:val="22"/>
          <w:lang w:val="en-GB"/>
        </w:rPr>
        <w:t xml:space="preserve"> strategies and</w:t>
      </w:r>
      <w:r w:rsidR="002810BA" w:rsidRPr="004408A1">
        <w:rPr>
          <w:sz w:val="22"/>
          <w:szCs w:val="22"/>
          <w:lang w:val="en-GB"/>
        </w:rPr>
        <w:t xml:space="preserve"> </w:t>
      </w:r>
      <w:r w:rsidR="00453BA8" w:rsidRPr="004408A1">
        <w:rPr>
          <w:sz w:val="22"/>
          <w:szCs w:val="22"/>
          <w:lang w:val="en-GB"/>
        </w:rPr>
        <w:t>policies</w:t>
      </w:r>
      <w:r w:rsidR="002260F5" w:rsidRPr="004408A1">
        <w:rPr>
          <w:sz w:val="22"/>
          <w:szCs w:val="22"/>
          <w:lang w:val="en-GB"/>
        </w:rPr>
        <w:t xml:space="preserve"> to take into acccount in</w:t>
      </w:r>
      <w:r w:rsidR="005A0164" w:rsidRPr="004408A1">
        <w:rPr>
          <w:sz w:val="22"/>
          <w:szCs w:val="22"/>
          <w:lang w:val="en-GB"/>
        </w:rPr>
        <w:t xml:space="preserve"> ENI CBC</w:t>
      </w:r>
      <w:r w:rsidR="002260F5" w:rsidRPr="004408A1">
        <w:rPr>
          <w:sz w:val="22"/>
          <w:szCs w:val="22"/>
          <w:lang w:val="en-GB"/>
        </w:rPr>
        <w:t xml:space="preserve"> Black Sea Basin</w:t>
      </w:r>
      <w:r w:rsidRPr="004408A1">
        <w:rPr>
          <w:sz w:val="22"/>
          <w:szCs w:val="22"/>
          <w:lang w:val="en-GB"/>
        </w:rPr>
        <w:t xml:space="preserve"> strategy development</w:t>
      </w:r>
      <w:r w:rsidR="002260F5" w:rsidRPr="004408A1">
        <w:rPr>
          <w:sz w:val="22"/>
          <w:szCs w:val="22"/>
          <w:lang w:val="en-GB"/>
        </w:rPr>
        <w:t xml:space="preserve"> include the following</w:t>
      </w:r>
      <w:r w:rsidR="0066045A">
        <w:rPr>
          <w:sz w:val="22"/>
          <w:szCs w:val="22"/>
          <w:lang w:val="en-GB"/>
        </w:rPr>
        <w:t>.</w:t>
      </w:r>
    </w:p>
    <w:p w:rsidR="0050376E" w:rsidRPr="004408A1" w:rsidRDefault="00480683" w:rsidP="00EE604A">
      <w:pPr>
        <w:spacing w:before="180" w:after="180" w:line="264" w:lineRule="auto"/>
        <w:rPr>
          <w:b/>
          <w:lang w:val="en-GB"/>
        </w:rPr>
      </w:pPr>
      <w:r w:rsidRPr="004408A1">
        <w:rPr>
          <w:b/>
          <w:lang w:val="en-GB"/>
        </w:rPr>
        <w:lastRenderedPageBreak/>
        <w:t>Eastern P</w:t>
      </w:r>
      <w:r w:rsidR="009C7C9A" w:rsidRPr="004408A1">
        <w:rPr>
          <w:b/>
          <w:lang w:val="en-GB"/>
        </w:rPr>
        <w:t>artnership </w:t>
      </w:r>
    </w:p>
    <w:p w:rsidR="009C7C9A" w:rsidRPr="004408A1" w:rsidRDefault="0050376E" w:rsidP="00EE604A">
      <w:pPr>
        <w:spacing w:after="60" w:line="264" w:lineRule="auto"/>
        <w:jc w:val="both"/>
        <w:rPr>
          <w:sz w:val="22"/>
          <w:szCs w:val="22"/>
          <w:lang w:val="en-GB"/>
        </w:rPr>
      </w:pPr>
      <w:r w:rsidRPr="004408A1">
        <w:rPr>
          <w:sz w:val="22"/>
          <w:szCs w:val="22"/>
          <w:lang w:val="en-GB"/>
        </w:rPr>
        <w:t>R</w:t>
      </w:r>
      <w:r w:rsidR="009C7C9A" w:rsidRPr="004408A1">
        <w:rPr>
          <w:sz w:val="22"/>
          <w:szCs w:val="22"/>
          <w:lang w:val="en-GB"/>
        </w:rPr>
        <w:t xml:space="preserve">epresenting the Eastern dimension of the </w:t>
      </w:r>
      <w:r w:rsidR="009C7C9A" w:rsidRPr="004408A1">
        <w:rPr>
          <w:b/>
          <w:sz w:val="22"/>
          <w:szCs w:val="22"/>
          <w:lang w:val="en-GB"/>
        </w:rPr>
        <w:t>European Neigbourhood Policy</w:t>
      </w:r>
      <w:r w:rsidR="009C7C9A" w:rsidRPr="004408A1">
        <w:rPr>
          <w:sz w:val="22"/>
          <w:szCs w:val="22"/>
          <w:lang w:val="en-GB"/>
        </w:rPr>
        <w:t>, this initiative was launched at the Prague summit in 2009</w:t>
      </w:r>
      <w:r w:rsidR="00A127B4">
        <w:rPr>
          <w:sz w:val="22"/>
          <w:szCs w:val="22"/>
          <w:lang w:val="en-GB"/>
        </w:rPr>
        <w:t xml:space="preserve"> and</w:t>
      </w:r>
      <w:r w:rsidR="009C7C9A" w:rsidRPr="004408A1">
        <w:rPr>
          <w:sz w:val="22"/>
          <w:szCs w:val="22"/>
          <w:lang w:val="en-GB"/>
        </w:rPr>
        <w:t xml:space="preserve"> </w:t>
      </w:r>
      <w:r w:rsidR="004F0D7B">
        <w:rPr>
          <w:sz w:val="22"/>
          <w:szCs w:val="22"/>
          <w:lang w:val="en-GB"/>
        </w:rPr>
        <w:t xml:space="preserve">was </w:t>
      </w:r>
      <w:r w:rsidR="009C7C9A" w:rsidRPr="004408A1">
        <w:rPr>
          <w:sz w:val="22"/>
          <w:szCs w:val="22"/>
          <w:lang w:val="en-GB"/>
        </w:rPr>
        <w:t xml:space="preserve">reaffirmed in 2011 and 2013. It aims to deepen and strengthen relations between the European Union and its </w:t>
      </w:r>
      <w:r w:rsidR="00A127B4">
        <w:rPr>
          <w:sz w:val="22"/>
          <w:szCs w:val="22"/>
          <w:lang w:val="en-GB"/>
        </w:rPr>
        <w:t>six</w:t>
      </w:r>
      <w:r w:rsidR="00A127B4" w:rsidRPr="004408A1">
        <w:rPr>
          <w:sz w:val="22"/>
          <w:szCs w:val="22"/>
          <w:lang w:val="en-GB"/>
        </w:rPr>
        <w:t xml:space="preserve"> </w:t>
      </w:r>
      <w:r w:rsidR="009C7C9A" w:rsidRPr="004408A1">
        <w:rPr>
          <w:sz w:val="22"/>
          <w:szCs w:val="22"/>
          <w:lang w:val="en-GB"/>
        </w:rPr>
        <w:t>Eastern neighbours</w:t>
      </w:r>
      <w:r w:rsidR="00A127B4">
        <w:rPr>
          <w:sz w:val="22"/>
          <w:szCs w:val="22"/>
          <w:lang w:val="en-GB"/>
        </w:rPr>
        <w:t>,</w:t>
      </w:r>
      <w:r w:rsidR="009C7C9A" w:rsidRPr="004408A1">
        <w:rPr>
          <w:sz w:val="22"/>
          <w:szCs w:val="22"/>
          <w:lang w:val="en-GB"/>
        </w:rPr>
        <w:t xml:space="preserve"> Armenia, Azerbaijan, Belarus, Georgia, Moldova and Ukraine. The main objective is to support political and socio-economic reforms in partner countries to:</w:t>
      </w:r>
    </w:p>
    <w:p w:rsidR="009C7C9A" w:rsidRPr="004408A1" w:rsidRDefault="001B75A5"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4408A1">
        <w:rPr>
          <w:rFonts w:cs="Verdana"/>
          <w:sz w:val="22"/>
          <w:szCs w:val="22"/>
          <w:lang w:val="en-GB"/>
        </w:rPr>
        <w:t>F</w:t>
      </w:r>
      <w:r w:rsidR="009C7C9A" w:rsidRPr="004408A1">
        <w:rPr>
          <w:rFonts w:cs="Verdana"/>
          <w:sz w:val="22"/>
          <w:szCs w:val="22"/>
          <w:lang w:val="en-GB"/>
        </w:rPr>
        <w:t>oster political association and further economic integration</w:t>
      </w:r>
    </w:p>
    <w:p w:rsidR="009C7C9A" w:rsidRPr="00EA42F2" w:rsidRDefault="001B75A5"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EA42F2">
        <w:rPr>
          <w:rFonts w:cs="Verdana"/>
          <w:sz w:val="22"/>
          <w:szCs w:val="22"/>
          <w:lang w:val="en-GB"/>
        </w:rPr>
        <w:t>S</w:t>
      </w:r>
      <w:r w:rsidR="009C7C9A" w:rsidRPr="00EA42F2">
        <w:rPr>
          <w:rFonts w:cs="Verdana"/>
          <w:sz w:val="22"/>
          <w:szCs w:val="22"/>
          <w:lang w:val="en-GB"/>
        </w:rPr>
        <w:t>upport mobility of citizens and visa liberalisation as a long term goal</w:t>
      </w:r>
    </w:p>
    <w:p w:rsidR="009C7C9A" w:rsidRPr="0034253F" w:rsidRDefault="001B75A5"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rPr>
      </w:pPr>
      <w:r>
        <w:rPr>
          <w:rFonts w:cs="Verdana"/>
          <w:sz w:val="22"/>
          <w:szCs w:val="22"/>
        </w:rPr>
        <w:t>E</w:t>
      </w:r>
      <w:r w:rsidR="009C7C9A" w:rsidRPr="0034253F">
        <w:rPr>
          <w:rFonts w:cs="Verdana"/>
          <w:sz w:val="22"/>
          <w:szCs w:val="22"/>
        </w:rPr>
        <w:t>nhance sector cooperation</w:t>
      </w:r>
    </w:p>
    <w:p w:rsidR="009C7C9A" w:rsidRPr="00C04013" w:rsidRDefault="001B75A5" w:rsidP="007426FD">
      <w:pPr>
        <w:pStyle w:val="ListParagraph"/>
        <w:widowControl w:val="0"/>
        <w:numPr>
          <w:ilvl w:val="0"/>
          <w:numId w:val="5"/>
        </w:numPr>
        <w:autoSpaceDE w:val="0"/>
        <w:autoSpaceDN w:val="0"/>
        <w:adjustRightInd w:val="0"/>
        <w:spacing w:after="60" w:line="264" w:lineRule="auto"/>
        <w:ind w:left="714" w:hanging="357"/>
        <w:jc w:val="both"/>
        <w:rPr>
          <w:sz w:val="22"/>
          <w:szCs w:val="22"/>
        </w:rPr>
      </w:pPr>
      <w:r>
        <w:rPr>
          <w:rFonts w:cs="Verdana"/>
          <w:sz w:val="22"/>
          <w:szCs w:val="22"/>
        </w:rPr>
        <w:t>S</w:t>
      </w:r>
      <w:r w:rsidR="009C7C9A" w:rsidRPr="0034253F">
        <w:rPr>
          <w:rFonts w:cs="Verdana"/>
          <w:sz w:val="22"/>
          <w:szCs w:val="22"/>
        </w:rPr>
        <w:t>upport civil society</w:t>
      </w:r>
    </w:p>
    <w:p w:rsidR="00112CC3" w:rsidRPr="004408A1" w:rsidRDefault="00112CC3" w:rsidP="00EE604A">
      <w:pPr>
        <w:spacing w:after="60" w:line="264" w:lineRule="auto"/>
        <w:jc w:val="both"/>
        <w:rPr>
          <w:sz w:val="22"/>
          <w:szCs w:val="22"/>
          <w:lang w:val="en-GB"/>
        </w:rPr>
      </w:pPr>
      <w:r w:rsidRPr="004408A1">
        <w:rPr>
          <w:sz w:val="22"/>
          <w:szCs w:val="22"/>
          <w:lang w:val="en-GB"/>
        </w:rPr>
        <w:t>I</w:t>
      </w:r>
      <w:r w:rsidR="00C72B16" w:rsidRPr="004408A1">
        <w:rPr>
          <w:sz w:val="22"/>
          <w:szCs w:val="22"/>
          <w:lang w:val="en-GB"/>
        </w:rPr>
        <w:t>t i</w:t>
      </w:r>
      <w:r w:rsidRPr="004408A1">
        <w:rPr>
          <w:sz w:val="22"/>
          <w:szCs w:val="22"/>
          <w:lang w:val="en-GB"/>
        </w:rPr>
        <w:t>ncludes four multi-lateral platforms focusing on:</w:t>
      </w:r>
    </w:p>
    <w:p w:rsidR="00112CC3" w:rsidRPr="00D52D3F" w:rsidRDefault="00112CC3" w:rsidP="007426FD">
      <w:pPr>
        <w:numPr>
          <w:ilvl w:val="0"/>
          <w:numId w:val="10"/>
        </w:numPr>
        <w:spacing w:after="0" w:line="264" w:lineRule="auto"/>
        <w:jc w:val="both"/>
        <w:rPr>
          <w:rFonts w:eastAsia="Calibri"/>
          <w:sz w:val="22"/>
          <w:szCs w:val="22"/>
          <w:lang w:val="en-GB"/>
        </w:rPr>
      </w:pPr>
      <w:r w:rsidRPr="00D52D3F">
        <w:rPr>
          <w:rFonts w:eastAsia="Calibri"/>
          <w:sz w:val="22"/>
          <w:szCs w:val="22"/>
          <w:lang w:val="en-GB"/>
        </w:rPr>
        <w:t xml:space="preserve">Democracy, Good governance and Stability </w:t>
      </w:r>
    </w:p>
    <w:p w:rsidR="00014C13" w:rsidRPr="00D52D3F" w:rsidRDefault="00B90B49" w:rsidP="00014C13">
      <w:pPr>
        <w:numPr>
          <w:ilvl w:val="0"/>
          <w:numId w:val="10"/>
        </w:numPr>
        <w:spacing w:after="0" w:line="264" w:lineRule="auto"/>
        <w:ind w:left="714" w:hanging="357"/>
        <w:jc w:val="both"/>
        <w:rPr>
          <w:rFonts w:eastAsia="Calibri"/>
          <w:sz w:val="22"/>
          <w:szCs w:val="22"/>
          <w:lang w:val="en-GB"/>
        </w:rPr>
      </w:pPr>
      <w:r w:rsidRPr="00D52D3F">
        <w:rPr>
          <w:rFonts w:eastAsia="Calibri"/>
          <w:sz w:val="22"/>
          <w:szCs w:val="22"/>
          <w:lang w:val="en-GB"/>
        </w:rPr>
        <w:t>Economic Integration and Convergence with EU Policies</w:t>
      </w:r>
    </w:p>
    <w:p w:rsidR="00112CC3" w:rsidRPr="00D52D3F" w:rsidRDefault="00112CC3" w:rsidP="007426FD">
      <w:pPr>
        <w:numPr>
          <w:ilvl w:val="0"/>
          <w:numId w:val="10"/>
        </w:numPr>
        <w:spacing w:after="0" w:line="264" w:lineRule="auto"/>
        <w:ind w:left="714" w:hanging="357"/>
        <w:jc w:val="both"/>
        <w:rPr>
          <w:rFonts w:eastAsia="Calibri"/>
          <w:sz w:val="22"/>
          <w:szCs w:val="22"/>
          <w:lang w:val="en-GB"/>
        </w:rPr>
      </w:pPr>
      <w:r w:rsidRPr="00D52D3F">
        <w:rPr>
          <w:rFonts w:eastAsia="Calibri"/>
          <w:sz w:val="22"/>
          <w:szCs w:val="22"/>
          <w:lang w:val="en-GB"/>
        </w:rPr>
        <w:t xml:space="preserve">Energy Security </w:t>
      </w:r>
    </w:p>
    <w:p w:rsidR="002517BE" w:rsidRPr="00BE564F" w:rsidRDefault="00112CC3" w:rsidP="00BE564F">
      <w:pPr>
        <w:numPr>
          <w:ilvl w:val="0"/>
          <w:numId w:val="10"/>
        </w:numPr>
        <w:spacing w:after="0" w:line="264" w:lineRule="auto"/>
        <w:ind w:left="714" w:hanging="357"/>
        <w:jc w:val="both"/>
        <w:rPr>
          <w:rFonts w:eastAsia="Calibri"/>
          <w:sz w:val="22"/>
          <w:szCs w:val="22"/>
          <w:lang w:val="en-GB"/>
        </w:rPr>
      </w:pPr>
      <w:r w:rsidRPr="00D52D3F">
        <w:rPr>
          <w:rFonts w:eastAsia="Calibri"/>
          <w:sz w:val="22"/>
          <w:szCs w:val="22"/>
          <w:lang w:val="en-GB"/>
        </w:rPr>
        <w:t>Contacts between people</w:t>
      </w:r>
      <w:r w:rsidR="00FE0006">
        <w:rPr>
          <w:rStyle w:val="FootnoteReference"/>
          <w:rFonts w:eastAsia="Calibri"/>
          <w:sz w:val="22"/>
          <w:szCs w:val="22"/>
          <w:lang w:val="en-GB"/>
        </w:rPr>
        <w:footnoteReference w:id="17"/>
      </w:r>
    </w:p>
    <w:p w:rsidR="009C7C9A" w:rsidRPr="0050376E" w:rsidRDefault="00547859" w:rsidP="00EE604A">
      <w:pPr>
        <w:spacing w:before="180" w:after="180" w:line="264" w:lineRule="auto"/>
        <w:rPr>
          <w:b/>
        </w:rPr>
      </w:pPr>
      <w:r w:rsidRPr="0050376E">
        <w:rPr>
          <w:b/>
        </w:rPr>
        <w:t>Danube Strategy</w:t>
      </w:r>
    </w:p>
    <w:p w:rsidR="00E65C40" w:rsidRPr="004408A1" w:rsidRDefault="00F06F4B" w:rsidP="00EE604A">
      <w:pPr>
        <w:spacing w:after="60" w:line="264" w:lineRule="auto"/>
        <w:jc w:val="both"/>
        <w:rPr>
          <w:sz w:val="22"/>
          <w:szCs w:val="22"/>
          <w:lang w:val="en-GB"/>
        </w:rPr>
      </w:pPr>
      <w:r w:rsidRPr="004408A1">
        <w:rPr>
          <w:sz w:val="22"/>
          <w:szCs w:val="22"/>
          <w:lang w:val="en-GB"/>
        </w:rPr>
        <w:t xml:space="preserve">A </w:t>
      </w:r>
      <w:r w:rsidR="004E3E20" w:rsidRPr="004408A1">
        <w:rPr>
          <w:sz w:val="22"/>
          <w:szCs w:val="22"/>
          <w:lang w:val="en-GB"/>
        </w:rPr>
        <w:t xml:space="preserve">macro-regional </w:t>
      </w:r>
      <w:r w:rsidRPr="004408A1">
        <w:rPr>
          <w:sz w:val="22"/>
          <w:szCs w:val="22"/>
          <w:lang w:val="en-GB"/>
        </w:rPr>
        <w:t>strategy to boost the development of the Danube Region was proposed by the European Commission in 2010 and endorsed by the European Council on 13 April 2011</w:t>
      </w:r>
      <w:r w:rsidR="00423F0A" w:rsidRPr="004408A1">
        <w:rPr>
          <w:sz w:val="22"/>
          <w:szCs w:val="22"/>
          <w:lang w:val="en-GB"/>
        </w:rPr>
        <w:t>.</w:t>
      </w:r>
      <w:r w:rsidR="00EE3B3A" w:rsidRPr="004408A1">
        <w:rPr>
          <w:sz w:val="22"/>
          <w:szCs w:val="22"/>
          <w:lang w:val="en-GB"/>
        </w:rPr>
        <w:t xml:space="preserve"> The Strategy seeks to create synergies and coordination between existing policies and initiatives taking place across the Danube Region</w:t>
      </w:r>
      <w:r w:rsidR="00A657D3" w:rsidRPr="004408A1">
        <w:rPr>
          <w:sz w:val="22"/>
          <w:szCs w:val="22"/>
          <w:lang w:val="en-GB"/>
        </w:rPr>
        <w:t xml:space="preserve">, </w:t>
      </w:r>
      <w:r w:rsidR="00147D40" w:rsidRPr="004408A1">
        <w:rPr>
          <w:sz w:val="22"/>
          <w:szCs w:val="22"/>
          <w:lang w:val="en-GB"/>
        </w:rPr>
        <w:t xml:space="preserve">including </w:t>
      </w:r>
      <w:r w:rsidR="00785A2A" w:rsidRPr="004408A1">
        <w:rPr>
          <w:sz w:val="22"/>
          <w:szCs w:val="22"/>
          <w:lang w:val="en-GB"/>
        </w:rPr>
        <w:t xml:space="preserve">14 countries among which </w:t>
      </w:r>
      <w:r w:rsidR="00147D40" w:rsidRPr="004408A1">
        <w:rPr>
          <w:sz w:val="22"/>
          <w:szCs w:val="22"/>
          <w:lang w:val="en-GB"/>
        </w:rPr>
        <w:t>Bulgaria, Romania, Moldova and Ukraine</w:t>
      </w:r>
      <w:r w:rsidR="00F701E1">
        <w:rPr>
          <w:sz w:val="22"/>
          <w:szCs w:val="22"/>
          <w:lang w:val="en-GB"/>
        </w:rPr>
        <w:t xml:space="preserve"> are</w:t>
      </w:r>
      <w:r w:rsidR="00785A2A" w:rsidRPr="004408A1">
        <w:rPr>
          <w:sz w:val="22"/>
          <w:szCs w:val="22"/>
          <w:lang w:val="en-GB"/>
        </w:rPr>
        <w:t xml:space="preserve"> from </w:t>
      </w:r>
      <w:r w:rsidR="00A127B4">
        <w:rPr>
          <w:sz w:val="22"/>
          <w:szCs w:val="22"/>
          <w:lang w:val="en-GB"/>
        </w:rPr>
        <w:t xml:space="preserve">the </w:t>
      </w:r>
      <w:r w:rsidR="00785A2A" w:rsidRPr="004408A1">
        <w:rPr>
          <w:sz w:val="22"/>
          <w:szCs w:val="22"/>
          <w:lang w:val="en-GB"/>
        </w:rPr>
        <w:t>B</w:t>
      </w:r>
      <w:r w:rsidR="00A127B4">
        <w:rPr>
          <w:sz w:val="22"/>
          <w:szCs w:val="22"/>
          <w:lang w:val="en-GB"/>
        </w:rPr>
        <w:t xml:space="preserve">lack </w:t>
      </w:r>
      <w:r w:rsidR="00785A2A" w:rsidRPr="004408A1">
        <w:rPr>
          <w:sz w:val="22"/>
          <w:szCs w:val="22"/>
          <w:lang w:val="en-GB"/>
        </w:rPr>
        <w:t>S</w:t>
      </w:r>
      <w:r w:rsidR="00A127B4">
        <w:rPr>
          <w:sz w:val="22"/>
          <w:szCs w:val="22"/>
          <w:lang w:val="en-GB"/>
        </w:rPr>
        <w:t xml:space="preserve">ea </w:t>
      </w:r>
      <w:r w:rsidR="00785A2A" w:rsidRPr="004408A1">
        <w:rPr>
          <w:sz w:val="22"/>
          <w:szCs w:val="22"/>
          <w:lang w:val="en-GB"/>
        </w:rPr>
        <w:t>B</w:t>
      </w:r>
      <w:r w:rsidR="00A127B4">
        <w:rPr>
          <w:sz w:val="22"/>
          <w:szCs w:val="22"/>
          <w:lang w:val="en-GB"/>
        </w:rPr>
        <w:t>asin</w:t>
      </w:r>
      <w:r w:rsidR="00EE3B3A" w:rsidRPr="004408A1">
        <w:rPr>
          <w:sz w:val="22"/>
          <w:szCs w:val="22"/>
          <w:lang w:val="en-GB"/>
        </w:rPr>
        <w:t>.</w:t>
      </w:r>
    </w:p>
    <w:p w:rsidR="002E0FBD" w:rsidRPr="004408A1" w:rsidRDefault="00D77CCE" w:rsidP="00EE604A">
      <w:pPr>
        <w:spacing w:after="60" w:line="264" w:lineRule="auto"/>
        <w:jc w:val="both"/>
        <w:rPr>
          <w:rFonts w:cs="Verdana"/>
          <w:sz w:val="22"/>
          <w:szCs w:val="22"/>
          <w:lang w:val="en-GB"/>
        </w:rPr>
      </w:pPr>
      <w:r w:rsidRPr="004408A1">
        <w:rPr>
          <w:sz w:val="22"/>
          <w:szCs w:val="22"/>
          <w:lang w:val="en-GB"/>
        </w:rPr>
        <w:t xml:space="preserve">The Danube Region Strategy addresses a wide range of issues, divided among 11 priority areas within </w:t>
      </w:r>
      <w:r w:rsidR="00A127B4">
        <w:rPr>
          <w:sz w:val="22"/>
          <w:szCs w:val="22"/>
          <w:lang w:val="en-GB"/>
        </w:rPr>
        <w:t>four</w:t>
      </w:r>
      <w:r w:rsidR="00A127B4" w:rsidRPr="004408A1">
        <w:rPr>
          <w:sz w:val="22"/>
          <w:szCs w:val="22"/>
          <w:lang w:val="en-GB"/>
        </w:rPr>
        <w:t xml:space="preserve"> </w:t>
      </w:r>
      <w:r w:rsidRPr="004408A1">
        <w:rPr>
          <w:sz w:val="22"/>
          <w:szCs w:val="22"/>
          <w:lang w:val="en-GB"/>
        </w:rPr>
        <w:t>pillars</w:t>
      </w:r>
      <w:r w:rsidR="002E49C8">
        <w:rPr>
          <w:sz w:val="22"/>
          <w:szCs w:val="22"/>
          <w:lang w:val="en-GB"/>
        </w:rPr>
        <w:t>,</w:t>
      </w:r>
      <w:r w:rsidR="00D224BA" w:rsidRPr="004408A1">
        <w:rPr>
          <w:rFonts w:cs="Verdana"/>
          <w:sz w:val="22"/>
          <w:szCs w:val="22"/>
          <w:lang w:val="en-GB"/>
        </w:rPr>
        <w:t xml:space="preserve"> connecting the region, protecting the environment, </w:t>
      </w:r>
      <w:r w:rsidR="007E3DDF" w:rsidRPr="004408A1">
        <w:rPr>
          <w:rFonts w:cs="Verdana"/>
          <w:sz w:val="22"/>
          <w:szCs w:val="22"/>
          <w:lang w:val="en-GB"/>
        </w:rPr>
        <w:t>building prosperity and</w:t>
      </w:r>
      <w:r w:rsidR="00D224BA" w:rsidRPr="004408A1">
        <w:rPr>
          <w:rFonts w:cs="Verdana"/>
          <w:sz w:val="22"/>
          <w:szCs w:val="22"/>
          <w:lang w:val="en-GB"/>
        </w:rPr>
        <w:t xml:space="preserve"> strenghtening the region</w:t>
      </w:r>
      <w:r w:rsidR="004F01EC">
        <w:rPr>
          <w:rStyle w:val="FootnoteReference"/>
          <w:rFonts w:cs="Verdana"/>
          <w:sz w:val="22"/>
          <w:szCs w:val="22"/>
        </w:rPr>
        <w:footnoteReference w:id="18"/>
      </w:r>
      <w:r w:rsidR="00D224BA" w:rsidRPr="004408A1">
        <w:rPr>
          <w:rFonts w:cs="Verdana"/>
          <w:sz w:val="22"/>
          <w:szCs w:val="22"/>
          <w:lang w:val="en-GB"/>
        </w:rPr>
        <w:t>.</w:t>
      </w:r>
    </w:p>
    <w:p w:rsidR="0013115A" w:rsidRPr="004408A1" w:rsidRDefault="00935585" w:rsidP="00EE604A">
      <w:pPr>
        <w:spacing w:before="180" w:after="180" w:line="264" w:lineRule="auto"/>
        <w:rPr>
          <w:b/>
          <w:lang w:val="en-GB"/>
        </w:rPr>
      </w:pPr>
      <w:r>
        <w:rPr>
          <w:b/>
          <w:lang w:val="en-GB"/>
        </w:rPr>
        <w:t>Blue G</w:t>
      </w:r>
      <w:r w:rsidR="0013115A" w:rsidRPr="004408A1">
        <w:rPr>
          <w:b/>
          <w:lang w:val="en-GB"/>
        </w:rPr>
        <w:t>rowth</w:t>
      </w:r>
      <w:r>
        <w:rPr>
          <w:b/>
          <w:lang w:val="en-GB"/>
        </w:rPr>
        <w:t xml:space="preserve"> S</w:t>
      </w:r>
      <w:r w:rsidR="00A81E91" w:rsidRPr="004408A1">
        <w:rPr>
          <w:b/>
          <w:lang w:val="en-GB"/>
        </w:rPr>
        <w:t>trategy</w:t>
      </w:r>
    </w:p>
    <w:p w:rsidR="00E767FF" w:rsidRPr="004408A1" w:rsidRDefault="00E767FF" w:rsidP="00EE604A">
      <w:pPr>
        <w:spacing w:after="60" w:line="264" w:lineRule="auto"/>
        <w:jc w:val="both"/>
        <w:rPr>
          <w:rFonts w:eastAsia="Times New Roman"/>
          <w:sz w:val="22"/>
          <w:szCs w:val="22"/>
          <w:lang w:val="en-GB"/>
        </w:rPr>
      </w:pPr>
      <w:r w:rsidRPr="004408A1">
        <w:rPr>
          <w:rFonts w:eastAsia="Times New Roman"/>
          <w:sz w:val="22"/>
          <w:szCs w:val="22"/>
          <w:lang w:val="en-GB"/>
        </w:rPr>
        <w:t xml:space="preserve">The Blue Growth communication adopted in September 2012 is the maritime strand of the </w:t>
      </w:r>
      <w:r w:rsidR="00FE0006" w:rsidRPr="00D2074C">
        <w:rPr>
          <w:rFonts w:eastAsia="Times New Roman"/>
          <w:b/>
          <w:sz w:val="22"/>
          <w:szCs w:val="22"/>
          <w:lang w:val="en-GB"/>
        </w:rPr>
        <w:t xml:space="preserve">Europe </w:t>
      </w:r>
      <w:r w:rsidRPr="00D2074C">
        <w:rPr>
          <w:rFonts w:eastAsia="Times New Roman"/>
          <w:b/>
          <w:sz w:val="22"/>
          <w:szCs w:val="22"/>
          <w:lang w:val="en-GB"/>
        </w:rPr>
        <w:t>2020</w:t>
      </w:r>
      <w:r w:rsidRPr="004408A1">
        <w:rPr>
          <w:rFonts w:eastAsia="Times New Roman"/>
          <w:sz w:val="22"/>
          <w:szCs w:val="22"/>
          <w:lang w:val="en-GB"/>
        </w:rPr>
        <w:t xml:space="preserve"> </w:t>
      </w:r>
      <w:r w:rsidR="00FE0006">
        <w:rPr>
          <w:rFonts w:eastAsia="Times New Roman"/>
          <w:sz w:val="22"/>
          <w:szCs w:val="22"/>
          <w:lang w:val="en-GB"/>
        </w:rPr>
        <w:t>strategy (see below)</w:t>
      </w:r>
      <w:r w:rsidR="005B1E9C">
        <w:rPr>
          <w:rFonts w:eastAsia="Times New Roman"/>
          <w:sz w:val="22"/>
          <w:szCs w:val="22"/>
          <w:lang w:val="en-GB"/>
        </w:rPr>
        <w:t xml:space="preserve"> </w:t>
      </w:r>
      <w:r w:rsidRPr="004408A1">
        <w:rPr>
          <w:rFonts w:eastAsia="Times New Roman"/>
          <w:sz w:val="22"/>
          <w:szCs w:val="22"/>
          <w:lang w:val="en-GB"/>
        </w:rPr>
        <w:t xml:space="preserve">and an update of the </w:t>
      </w:r>
      <w:r w:rsidR="00A81E91" w:rsidRPr="004408A1">
        <w:rPr>
          <w:rFonts w:eastAsia="Times New Roman"/>
          <w:b/>
          <w:sz w:val="22"/>
          <w:szCs w:val="22"/>
          <w:lang w:val="en-GB"/>
        </w:rPr>
        <w:t>Integrated Maritime Policy</w:t>
      </w:r>
      <w:r w:rsidRPr="004408A1">
        <w:rPr>
          <w:rFonts w:eastAsia="Times New Roman"/>
          <w:sz w:val="22"/>
          <w:szCs w:val="22"/>
          <w:lang w:val="en-GB"/>
        </w:rPr>
        <w:t>.</w:t>
      </w:r>
    </w:p>
    <w:p w:rsidR="00E767FF" w:rsidRPr="004408A1" w:rsidRDefault="00E767FF" w:rsidP="00014C13">
      <w:pPr>
        <w:spacing w:after="60" w:line="264" w:lineRule="auto"/>
        <w:jc w:val="both"/>
        <w:rPr>
          <w:rFonts w:eastAsia="Times New Roman"/>
          <w:sz w:val="22"/>
          <w:szCs w:val="22"/>
          <w:lang w:val="en-GB"/>
        </w:rPr>
      </w:pPr>
      <w:r w:rsidRPr="004408A1">
        <w:rPr>
          <w:rFonts w:eastAsia="Times New Roman"/>
          <w:sz w:val="22"/>
          <w:szCs w:val="22"/>
          <w:lang w:val="en-GB"/>
        </w:rPr>
        <w:t xml:space="preserve">This strategy consists of </w:t>
      </w:r>
      <w:r w:rsidR="002E49C8">
        <w:rPr>
          <w:rFonts w:eastAsia="Times New Roman"/>
          <w:sz w:val="22"/>
          <w:szCs w:val="22"/>
          <w:lang w:val="en-GB"/>
        </w:rPr>
        <w:t>three</w:t>
      </w:r>
      <w:r w:rsidR="002E49C8" w:rsidRPr="004408A1">
        <w:rPr>
          <w:rFonts w:eastAsia="Times New Roman"/>
          <w:sz w:val="22"/>
          <w:szCs w:val="22"/>
          <w:lang w:val="en-GB"/>
        </w:rPr>
        <w:t xml:space="preserve"> </w:t>
      </w:r>
      <w:r w:rsidRPr="004408A1">
        <w:rPr>
          <w:rFonts w:eastAsia="Times New Roman"/>
          <w:sz w:val="22"/>
          <w:szCs w:val="22"/>
          <w:lang w:val="en-GB"/>
        </w:rPr>
        <w:t>components:</w:t>
      </w:r>
    </w:p>
    <w:p w:rsidR="00E767FF" w:rsidRPr="00014C13" w:rsidRDefault="00E767FF" w:rsidP="00EE745F">
      <w:pPr>
        <w:numPr>
          <w:ilvl w:val="0"/>
          <w:numId w:val="18"/>
        </w:numPr>
        <w:spacing w:after="0" w:line="264" w:lineRule="auto"/>
        <w:jc w:val="both"/>
        <w:rPr>
          <w:rFonts w:eastAsia="Calibri"/>
          <w:sz w:val="22"/>
          <w:szCs w:val="22"/>
          <w:lang w:val="en-GB"/>
        </w:rPr>
      </w:pPr>
      <w:r w:rsidRPr="00014C13">
        <w:rPr>
          <w:rFonts w:eastAsia="Calibri"/>
          <w:sz w:val="22"/>
          <w:szCs w:val="22"/>
          <w:lang w:val="en-GB"/>
        </w:rPr>
        <w:t>Targeted effort towards specific activities (focus areas) identified as being the most promising sectors for growth development</w:t>
      </w:r>
      <w:r w:rsidR="00232A6F" w:rsidRPr="00014C13">
        <w:rPr>
          <w:rFonts w:eastAsia="Calibri"/>
          <w:sz w:val="22"/>
          <w:szCs w:val="22"/>
          <w:lang w:val="en-GB"/>
        </w:rPr>
        <w:t>:</w:t>
      </w:r>
      <w:r w:rsidRPr="00014C13">
        <w:rPr>
          <w:rFonts w:eastAsia="Calibri"/>
          <w:sz w:val="22"/>
          <w:szCs w:val="22"/>
          <w:lang w:val="en-GB"/>
        </w:rPr>
        <w:t xml:space="preserve"> coastal tourism, blue energy, aquaculture, blue biotechnology</w:t>
      </w:r>
      <w:r w:rsidR="005B1E9C" w:rsidRPr="00014C13">
        <w:rPr>
          <w:rFonts w:eastAsia="Calibri"/>
          <w:sz w:val="22"/>
          <w:szCs w:val="22"/>
          <w:lang w:val="en-GB"/>
        </w:rPr>
        <w:t xml:space="preserve"> and</w:t>
      </w:r>
      <w:r w:rsidRPr="00014C13">
        <w:rPr>
          <w:rFonts w:eastAsia="Calibri"/>
          <w:sz w:val="22"/>
          <w:szCs w:val="22"/>
          <w:lang w:val="en-GB"/>
        </w:rPr>
        <w:t xml:space="preserve"> marine minerals mining. </w:t>
      </w:r>
    </w:p>
    <w:p w:rsidR="00E767FF" w:rsidRPr="00014C13" w:rsidRDefault="00E767FF" w:rsidP="00EE745F">
      <w:pPr>
        <w:numPr>
          <w:ilvl w:val="0"/>
          <w:numId w:val="18"/>
        </w:numPr>
        <w:spacing w:after="0" w:line="264" w:lineRule="auto"/>
        <w:jc w:val="both"/>
        <w:rPr>
          <w:rFonts w:eastAsia="Calibri"/>
          <w:sz w:val="22"/>
          <w:szCs w:val="22"/>
          <w:lang w:val="en-GB"/>
        </w:rPr>
      </w:pPr>
      <w:r w:rsidRPr="00014C13">
        <w:rPr>
          <w:rFonts w:eastAsia="Calibri"/>
          <w:sz w:val="22"/>
          <w:szCs w:val="22"/>
          <w:lang w:val="en-GB"/>
        </w:rPr>
        <w:t>Cross-cutting tools which are specific</w:t>
      </w:r>
      <w:r w:rsidR="005B1E9C" w:rsidRPr="00014C13">
        <w:rPr>
          <w:rFonts w:eastAsia="Calibri"/>
          <w:sz w:val="22"/>
          <w:szCs w:val="22"/>
          <w:lang w:val="en-GB"/>
        </w:rPr>
        <w:t>,</w:t>
      </w:r>
      <w:r w:rsidRPr="00014C13">
        <w:rPr>
          <w:rFonts w:eastAsia="Calibri"/>
          <w:sz w:val="22"/>
          <w:szCs w:val="22"/>
          <w:lang w:val="en-GB"/>
        </w:rPr>
        <w:t xml:space="preserve"> policy integrated measures across sectors</w:t>
      </w:r>
      <w:r w:rsidR="005B1E9C" w:rsidRPr="00014C13">
        <w:rPr>
          <w:rFonts w:eastAsia="Calibri"/>
          <w:sz w:val="22"/>
          <w:szCs w:val="22"/>
          <w:lang w:val="en-GB"/>
        </w:rPr>
        <w:t xml:space="preserve"> including</w:t>
      </w:r>
      <w:r w:rsidR="00A81E91" w:rsidRPr="00014C13">
        <w:rPr>
          <w:rFonts w:eastAsia="Calibri"/>
          <w:sz w:val="22"/>
          <w:szCs w:val="22"/>
          <w:lang w:val="en-GB"/>
        </w:rPr>
        <w:t xml:space="preserve"> Maritime Spatial Planning</w:t>
      </w:r>
      <w:r w:rsidRPr="00014C13">
        <w:rPr>
          <w:rFonts w:eastAsia="Calibri"/>
          <w:sz w:val="22"/>
          <w:szCs w:val="22"/>
          <w:lang w:val="en-GB"/>
        </w:rPr>
        <w:t xml:space="preserve">, </w:t>
      </w:r>
      <w:r w:rsidR="00D57341" w:rsidRPr="00014C13">
        <w:rPr>
          <w:rFonts w:eastAsia="Calibri"/>
          <w:sz w:val="22"/>
          <w:szCs w:val="22"/>
          <w:lang w:val="en-GB"/>
        </w:rPr>
        <w:t xml:space="preserve">Integrated Coastal Management, </w:t>
      </w:r>
      <w:r w:rsidRPr="00014C13">
        <w:rPr>
          <w:rFonts w:eastAsia="Calibri"/>
          <w:sz w:val="22"/>
          <w:szCs w:val="22"/>
          <w:lang w:val="en-GB"/>
        </w:rPr>
        <w:t>Marine Knowledge 2020 initiative and maritime surveillance.</w:t>
      </w:r>
    </w:p>
    <w:p w:rsidR="00E767FF" w:rsidRPr="004408A1" w:rsidRDefault="00E767FF" w:rsidP="00EE745F">
      <w:pPr>
        <w:numPr>
          <w:ilvl w:val="0"/>
          <w:numId w:val="18"/>
        </w:numPr>
        <w:spacing w:after="60" w:line="264" w:lineRule="auto"/>
        <w:ind w:left="714" w:hanging="357"/>
        <w:jc w:val="both"/>
        <w:rPr>
          <w:rFonts w:eastAsia="Times New Roman"/>
          <w:sz w:val="22"/>
          <w:szCs w:val="22"/>
          <w:lang w:val="en-GB"/>
        </w:rPr>
      </w:pPr>
      <w:r w:rsidRPr="00014C13">
        <w:rPr>
          <w:rFonts w:eastAsia="Calibri"/>
          <w:sz w:val="22"/>
          <w:szCs w:val="22"/>
          <w:lang w:val="en-GB"/>
        </w:rPr>
        <w:t xml:space="preserve"> Sea-basin strategies</w:t>
      </w:r>
      <w:r w:rsidR="00E52D7A" w:rsidRPr="00D2074C">
        <w:rPr>
          <w:vertAlign w:val="superscript"/>
          <w:lang w:val="en-GB"/>
        </w:rPr>
        <w:footnoteReference w:id="19"/>
      </w:r>
    </w:p>
    <w:p w:rsidR="00E767FF" w:rsidRPr="004408A1" w:rsidRDefault="00E767FF" w:rsidP="00EE604A">
      <w:pPr>
        <w:spacing w:after="60" w:line="264" w:lineRule="auto"/>
        <w:jc w:val="both"/>
        <w:rPr>
          <w:rFonts w:eastAsia="Times New Roman"/>
          <w:sz w:val="22"/>
          <w:szCs w:val="22"/>
          <w:lang w:val="en-GB"/>
        </w:rPr>
      </w:pPr>
      <w:r w:rsidRPr="004408A1">
        <w:rPr>
          <w:rFonts w:eastAsia="Times New Roman"/>
          <w:sz w:val="22"/>
          <w:szCs w:val="22"/>
          <w:lang w:val="en-GB"/>
        </w:rPr>
        <w:t>Other aspects that are crucial for a sustainable growth in the blue economy are the developmen</w:t>
      </w:r>
      <w:r w:rsidR="00DD0198">
        <w:rPr>
          <w:rFonts w:eastAsia="Times New Roman"/>
          <w:sz w:val="22"/>
          <w:szCs w:val="22"/>
          <w:lang w:val="en-GB"/>
        </w:rPr>
        <w:t>t of the appropriate skills,</w:t>
      </w:r>
      <w:r w:rsidRPr="004408A1">
        <w:rPr>
          <w:rFonts w:eastAsia="Times New Roman"/>
          <w:sz w:val="22"/>
          <w:szCs w:val="22"/>
          <w:lang w:val="en-GB"/>
        </w:rPr>
        <w:t xml:space="preserve"> mari</w:t>
      </w:r>
      <w:r w:rsidR="00DD0198">
        <w:rPr>
          <w:rFonts w:eastAsia="Times New Roman"/>
          <w:sz w:val="22"/>
          <w:szCs w:val="22"/>
          <w:lang w:val="en-GB"/>
        </w:rPr>
        <w:t>ne and maritime research and</w:t>
      </w:r>
      <w:r w:rsidRPr="004408A1">
        <w:rPr>
          <w:rFonts w:eastAsia="Times New Roman"/>
          <w:sz w:val="22"/>
          <w:szCs w:val="22"/>
          <w:lang w:val="en-GB"/>
        </w:rPr>
        <w:t xml:space="preserve"> access to finance.</w:t>
      </w:r>
    </w:p>
    <w:p w:rsidR="0013115A" w:rsidRPr="001368E0" w:rsidRDefault="003A05EC" w:rsidP="00EE604A">
      <w:pPr>
        <w:pStyle w:val="Default"/>
        <w:spacing w:after="60" w:line="264" w:lineRule="auto"/>
        <w:jc w:val="both"/>
        <w:rPr>
          <w:rFonts w:ascii="Calisto MT" w:hAnsi="Calisto MT"/>
          <w:sz w:val="22"/>
          <w:szCs w:val="22"/>
          <w:lang w:val="en-GB"/>
        </w:rPr>
      </w:pPr>
      <w:r w:rsidRPr="001368E0">
        <w:rPr>
          <w:rFonts w:ascii="Calisto MT" w:hAnsi="Calisto MT"/>
          <w:bCs/>
          <w:sz w:val="22"/>
          <w:szCs w:val="22"/>
          <w:lang w:val="en-GB"/>
        </w:rPr>
        <w:t>The EC extended the dialogue on s</w:t>
      </w:r>
      <w:r w:rsidR="0013115A" w:rsidRPr="001368E0">
        <w:rPr>
          <w:rFonts w:ascii="Calisto MT" w:hAnsi="Calisto MT"/>
          <w:bCs/>
          <w:sz w:val="22"/>
          <w:szCs w:val="22"/>
          <w:lang w:val="en-GB"/>
        </w:rPr>
        <w:t xml:space="preserve">ustainable development of the blue economy of the </w:t>
      </w:r>
      <w:r w:rsidR="0013115A" w:rsidRPr="001368E0">
        <w:rPr>
          <w:rFonts w:ascii="Calisto MT" w:hAnsi="Calisto MT"/>
          <w:sz w:val="22"/>
          <w:szCs w:val="22"/>
          <w:lang w:val="en-GB"/>
        </w:rPr>
        <w:t xml:space="preserve">Black Sea </w:t>
      </w:r>
      <w:r w:rsidR="005B1E9C" w:rsidRPr="001368E0">
        <w:rPr>
          <w:rFonts w:ascii="Calisto MT" w:hAnsi="Calisto MT"/>
          <w:bCs/>
          <w:sz w:val="22"/>
          <w:szCs w:val="22"/>
          <w:lang w:val="en-GB"/>
        </w:rPr>
        <w:t xml:space="preserve">to all Black Sea countries </w:t>
      </w:r>
      <w:r w:rsidRPr="001368E0">
        <w:rPr>
          <w:rFonts w:ascii="Calisto MT" w:hAnsi="Calisto MT"/>
          <w:sz w:val="22"/>
          <w:szCs w:val="22"/>
          <w:lang w:val="en-GB"/>
        </w:rPr>
        <w:t xml:space="preserve">during a conference held in </w:t>
      </w:r>
      <w:r w:rsidR="0013115A" w:rsidRPr="001368E0">
        <w:rPr>
          <w:rFonts w:ascii="Calisto MT" w:hAnsi="Calisto MT"/>
          <w:sz w:val="22"/>
          <w:szCs w:val="22"/>
          <w:lang w:val="en-GB"/>
        </w:rPr>
        <w:t xml:space="preserve">Bucharest, Romania </w:t>
      </w:r>
      <w:r w:rsidRPr="001368E0">
        <w:rPr>
          <w:rFonts w:ascii="Calisto MT" w:hAnsi="Calisto MT"/>
          <w:sz w:val="22"/>
          <w:szCs w:val="22"/>
          <w:lang w:val="en-GB"/>
        </w:rPr>
        <w:t xml:space="preserve">on </w:t>
      </w:r>
      <w:r w:rsidR="0013115A" w:rsidRPr="001368E0">
        <w:rPr>
          <w:rFonts w:ascii="Calisto MT" w:hAnsi="Calisto MT"/>
          <w:sz w:val="22"/>
          <w:szCs w:val="22"/>
          <w:lang w:val="en-GB"/>
        </w:rPr>
        <w:t>30 January 2014</w:t>
      </w:r>
      <w:r w:rsidRPr="001368E0">
        <w:rPr>
          <w:rFonts w:ascii="Calisto MT" w:hAnsi="Calisto MT"/>
          <w:sz w:val="22"/>
          <w:szCs w:val="22"/>
          <w:lang w:val="en-GB"/>
        </w:rPr>
        <w:t>.</w:t>
      </w:r>
      <w:r w:rsidR="00341177" w:rsidRPr="001368E0">
        <w:rPr>
          <w:rFonts w:ascii="Calisto MT" w:hAnsi="Calisto MT"/>
          <w:sz w:val="22"/>
          <w:szCs w:val="22"/>
          <w:lang w:val="en-GB"/>
        </w:rPr>
        <w:t xml:space="preserve"> </w:t>
      </w:r>
    </w:p>
    <w:p w:rsidR="00E35982" w:rsidRPr="004408A1" w:rsidRDefault="00F26906" w:rsidP="00EE604A">
      <w:pPr>
        <w:spacing w:before="180" w:after="180" w:line="264" w:lineRule="auto"/>
        <w:rPr>
          <w:b/>
          <w:lang w:val="en-GB"/>
        </w:rPr>
      </w:pPr>
      <w:r w:rsidRPr="004408A1">
        <w:rPr>
          <w:b/>
          <w:lang w:val="en-GB"/>
        </w:rPr>
        <w:t>Europe 2020</w:t>
      </w:r>
    </w:p>
    <w:p w:rsidR="006B2353" w:rsidRPr="004408A1" w:rsidRDefault="00F26906" w:rsidP="00EE604A">
      <w:pPr>
        <w:spacing w:after="60" w:line="264" w:lineRule="auto"/>
        <w:jc w:val="both"/>
        <w:rPr>
          <w:rFonts w:eastAsia="Times New Roman"/>
          <w:sz w:val="22"/>
          <w:szCs w:val="22"/>
          <w:lang w:val="en-GB"/>
        </w:rPr>
      </w:pPr>
      <w:r w:rsidRPr="004408A1">
        <w:rPr>
          <w:rFonts w:eastAsia="Times New Roman"/>
          <w:sz w:val="22"/>
          <w:szCs w:val="22"/>
          <w:lang w:val="en-GB"/>
        </w:rPr>
        <w:t xml:space="preserve">Europe 2020 is the EU’s ten-year growth and jobs strategy launched in 2010. It </w:t>
      </w:r>
      <w:r w:rsidR="00BD17F5" w:rsidRPr="004408A1">
        <w:rPr>
          <w:rFonts w:eastAsia="Times New Roman"/>
          <w:sz w:val="22"/>
          <w:szCs w:val="22"/>
          <w:lang w:val="en-GB"/>
        </w:rPr>
        <w:t>aims to create</w:t>
      </w:r>
      <w:r w:rsidR="004A7D2E" w:rsidRPr="004408A1">
        <w:rPr>
          <w:rFonts w:eastAsia="Times New Roman"/>
          <w:sz w:val="22"/>
          <w:szCs w:val="22"/>
          <w:lang w:val="en-GB"/>
        </w:rPr>
        <w:t xml:space="preserve"> within the EU</w:t>
      </w:r>
      <w:r w:rsidRPr="004408A1">
        <w:rPr>
          <w:rFonts w:eastAsia="Times New Roman"/>
          <w:sz w:val="22"/>
          <w:szCs w:val="22"/>
          <w:lang w:val="en-GB"/>
        </w:rPr>
        <w:t xml:space="preserve"> the conditions for </w:t>
      </w:r>
      <w:r w:rsidR="007E5D7C" w:rsidRPr="004408A1">
        <w:rPr>
          <w:rFonts w:eastAsia="Times New Roman"/>
          <w:sz w:val="22"/>
          <w:szCs w:val="22"/>
          <w:lang w:val="en-GB"/>
        </w:rPr>
        <w:t>economic growth</w:t>
      </w:r>
      <w:r w:rsidR="005B1E9C">
        <w:rPr>
          <w:rFonts w:eastAsia="Times New Roman"/>
          <w:sz w:val="22"/>
          <w:szCs w:val="22"/>
          <w:lang w:val="en-GB"/>
        </w:rPr>
        <w:t>:</w:t>
      </w:r>
      <w:r w:rsidR="007E5D7C" w:rsidRPr="004408A1">
        <w:rPr>
          <w:rFonts w:eastAsia="Times New Roman"/>
          <w:sz w:val="22"/>
          <w:szCs w:val="22"/>
          <w:lang w:val="en-GB"/>
        </w:rPr>
        <w:t xml:space="preserve">  </w:t>
      </w:r>
    </w:p>
    <w:p w:rsidR="006B2353" w:rsidRPr="00B16EF2" w:rsidRDefault="006B2353"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B16EF2">
        <w:rPr>
          <w:rFonts w:cs="Verdana"/>
          <w:sz w:val="22"/>
          <w:szCs w:val="22"/>
          <w:lang w:val="en-GB"/>
        </w:rPr>
        <w:t>Smart</w:t>
      </w:r>
      <w:r w:rsidR="007E5D7C" w:rsidRPr="00B16EF2">
        <w:rPr>
          <w:rFonts w:cs="Verdana"/>
          <w:sz w:val="22"/>
          <w:szCs w:val="22"/>
          <w:lang w:val="en-GB"/>
        </w:rPr>
        <w:t xml:space="preserve">, through more effective investments in education, research and innovation; </w:t>
      </w:r>
    </w:p>
    <w:p w:rsidR="00B16EF2" w:rsidRPr="00B16EF2" w:rsidRDefault="00B16EF2"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B16EF2">
        <w:rPr>
          <w:sz w:val="22"/>
          <w:szCs w:val="22"/>
          <w:lang w:val="en-GB"/>
        </w:rPr>
        <w:t>Sustainable</w:t>
      </w:r>
      <w:r w:rsidR="007E5D7C" w:rsidRPr="00B16EF2">
        <w:rPr>
          <w:rFonts w:cs="Verdana"/>
          <w:sz w:val="22"/>
          <w:szCs w:val="22"/>
          <w:lang w:val="en-GB"/>
        </w:rPr>
        <w:t xml:space="preserve">, thanks to a decisive move towards a low-carbon economy; </w:t>
      </w:r>
    </w:p>
    <w:p w:rsidR="006B2353" w:rsidRPr="00B16EF2" w:rsidRDefault="00B16EF2" w:rsidP="00B16EF2">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570084">
        <w:rPr>
          <w:sz w:val="22"/>
          <w:szCs w:val="22"/>
          <w:lang w:val="en-GB"/>
        </w:rPr>
        <w:t>Inclusive</w:t>
      </w:r>
      <w:r w:rsidR="007E5D7C" w:rsidRPr="00B16EF2">
        <w:rPr>
          <w:rFonts w:cs="Verdana"/>
          <w:sz w:val="22"/>
          <w:szCs w:val="22"/>
          <w:lang w:val="en-GB"/>
        </w:rPr>
        <w:t>, with a strong emphasis on job creation and poverty reduction</w:t>
      </w:r>
      <w:r w:rsidR="00F26906" w:rsidRPr="00B16EF2">
        <w:rPr>
          <w:rFonts w:cs="Verdana"/>
          <w:sz w:val="22"/>
          <w:szCs w:val="22"/>
          <w:lang w:val="en-GB"/>
        </w:rPr>
        <w:t xml:space="preserve">. </w:t>
      </w:r>
    </w:p>
    <w:p w:rsidR="0013742E" w:rsidRPr="0013742E" w:rsidRDefault="0013742E" w:rsidP="00EE604A">
      <w:pPr>
        <w:spacing w:after="60" w:line="264" w:lineRule="auto"/>
        <w:jc w:val="both"/>
        <w:rPr>
          <w:rFonts w:eastAsia="Times New Roman"/>
          <w:sz w:val="12"/>
          <w:szCs w:val="12"/>
          <w:lang w:val="en-GB"/>
        </w:rPr>
      </w:pPr>
    </w:p>
    <w:p w:rsidR="00E35982" w:rsidRPr="004408A1" w:rsidRDefault="002E49C8" w:rsidP="00EE604A">
      <w:pPr>
        <w:spacing w:after="60" w:line="264" w:lineRule="auto"/>
        <w:jc w:val="both"/>
        <w:rPr>
          <w:rFonts w:eastAsia="Times New Roman"/>
          <w:sz w:val="22"/>
          <w:szCs w:val="22"/>
          <w:lang w:val="en-GB"/>
        </w:rPr>
      </w:pPr>
      <w:r w:rsidRPr="00B16EF2">
        <w:rPr>
          <w:rFonts w:eastAsia="Times New Roman"/>
          <w:sz w:val="22"/>
          <w:szCs w:val="22"/>
          <w:lang w:val="en-GB"/>
        </w:rPr>
        <w:t>The</w:t>
      </w:r>
      <w:r>
        <w:rPr>
          <w:rFonts w:eastAsia="Times New Roman"/>
          <w:b/>
          <w:sz w:val="22"/>
          <w:szCs w:val="22"/>
          <w:lang w:val="en-GB"/>
        </w:rPr>
        <w:t xml:space="preserve"> </w:t>
      </w:r>
      <w:r w:rsidR="00E35982" w:rsidRPr="004408A1">
        <w:rPr>
          <w:rFonts w:eastAsia="Times New Roman"/>
          <w:b/>
          <w:sz w:val="22"/>
          <w:szCs w:val="22"/>
          <w:lang w:val="en-GB"/>
        </w:rPr>
        <w:t xml:space="preserve">Cohesion </w:t>
      </w:r>
      <w:r>
        <w:rPr>
          <w:rFonts w:eastAsia="Times New Roman"/>
          <w:b/>
          <w:sz w:val="22"/>
          <w:szCs w:val="22"/>
          <w:lang w:val="en-GB"/>
        </w:rPr>
        <w:t>P</w:t>
      </w:r>
      <w:r w:rsidR="00E35982" w:rsidRPr="004408A1">
        <w:rPr>
          <w:rFonts w:eastAsia="Times New Roman"/>
          <w:b/>
          <w:sz w:val="22"/>
          <w:szCs w:val="22"/>
          <w:lang w:val="en-GB"/>
        </w:rPr>
        <w:t>olicy</w:t>
      </w:r>
      <w:r w:rsidR="00E35982" w:rsidRPr="004408A1">
        <w:rPr>
          <w:rFonts w:eastAsia="Times New Roman"/>
          <w:sz w:val="22"/>
          <w:szCs w:val="22"/>
          <w:lang w:val="en-GB"/>
        </w:rPr>
        <w:t xml:space="preserve"> is </w:t>
      </w:r>
      <w:r w:rsidR="00035050">
        <w:rPr>
          <w:rFonts w:eastAsia="Times New Roman"/>
          <w:sz w:val="22"/>
          <w:szCs w:val="22"/>
          <w:lang w:val="en-GB"/>
        </w:rPr>
        <w:t xml:space="preserve">the </w:t>
      </w:r>
      <w:r w:rsidR="00E35982" w:rsidRPr="004408A1">
        <w:rPr>
          <w:rFonts w:eastAsia="Times New Roman"/>
          <w:sz w:val="22"/>
          <w:szCs w:val="22"/>
          <w:lang w:val="en-GB"/>
        </w:rPr>
        <w:t>EU's main investment tool for delivering the Europe 2020 goals</w:t>
      </w:r>
      <w:r w:rsidR="002B6D83" w:rsidRPr="004408A1">
        <w:rPr>
          <w:rFonts w:eastAsia="Times New Roman"/>
          <w:sz w:val="22"/>
          <w:szCs w:val="22"/>
          <w:lang w:val="en-GB"/>
        </w:rPr>
        <w:t xml:space="preserve"> within EU Member States</w:t>
      </w:r>
      <w:r w:rsidR="00E35982" w:rsidRPr="004408A1">
        <w:rPr>
          <w:rFonts w:eastAsia="Times New Roman"/>
          <w:sz w:val="22"/>
          <w:szCs w:val="22"/>
          <w:lang w:val="en-GB"/>
        </w:rPr>
        <w:t>.</w:t>
      </w:r>
    </w:p>
    <w:p w:rsidR="00E35982" w:rsidRPr="004408A1" w:rsidRDefault="00E35982" w:rsidP="00A76272">
      <w:pPr>
        <w:widowControl w:val="0"/>
        <w:autoSpaceDE w:val="0"/>
        <w:autoSpaceDN w:val="0"/>
        <w:adjustRightInd w:val="0"/>
        <w:spacing w:after="0" w:line="240" w:lineRule="auto"/>
        <w:rPr>
          <w:rFonts w:cs="Utopia Std"/>
          <w:color w:val="000000"/>
          <w:sz w:val="22"/>
          <w:szCs w:val="22"/>
          <w:lang w:val="en-GB"/>
        </w:rPr>
      </w:pPr>
    </w:p>
    <w:p w:rsidR="00DD519F" w:rsidRPr="00081ECA" w:rsidRDefault="00081ECA" w:rsidP="00162DFD">
      <w:pPr>
        <w:pStyle w:val="Heading2"/>
        <w:spacing w:before="0" w:after="0" w:line="252" w:lineRule="auto"/>
        <w:jc w:val="left"/>
        <w:rPr>
          <w:rFonts w:ascii="Times New Roman" w:hAnsi="Times New Roman"/>
          <w:sz w:val="2"/>
          <w:szCs w:val="2"/>
          <w:lang w:val="en-GB"/>
        </w:rPr>
      </w:pPr>
      <w:r>
        <w:rPr>
          <w:rFonts w:ascii="Times New Roman" w:hAnsi="Times New Roman"/>
          <w:sz w:val="22"/>
          <w:szCs w:val="22"/>
          <w:lang w:val="en-GB"/>
        </w:rPr>
        <w:br w:type="column"/>
      </w:r>
    </w:p>
    <w:p w:rsidR="009D0FB1" w:rsidRPr="00081ECA" w:rsidRDefault="009D0FB1" w:rsidP="00B57423">
      <w:pPr>
        <w:spacing w:before="120" w:after="0" w:line="252" w:lineRule="auto"/>
        <w:jc w:val="both"/>
        <w:rPr>
          <w:sz w:val="8"/>
          <w:szCs w:val="8"/>
          <w:lang w:val="en-GB"/>
        </w:rPr>
      </w:pPr>
    </w:p>
    <w:p w:rsidR="004A44DC" w:rsidRDefault="00252DF2" w:rsidP="007426FD">
      <w:pPr>
        <w:pStyle w:val="Heading1"/>
        <w:numPr>
          <w:ilvl w:val="1"/>
          <w:numId w:val="3"/>
        </w:numPr>
        <w:spacing w:before="120" w:after="0" w:line="252" w:lineRule="auto"/>
        <w:jc w:val="left"/>
        <w:rPr>
          <w:sz w:val="40"/>
          <w:szCs w:val="40"/>
          <w:lang w:val="en-GB"/>
        </w:rPr>
      </w:pPr>
      <w:bookmarkStart w:id="19" w:name="_Toc288133432"/>
      <w:r>
        <w:rPr>
          <w:sz w:val="40"/>
          <w:szCs w:val="40"/>
          <w:lang w:val="en-GB"/>
        </w:rPr>
        <w:t>Black Sea</w:t>
      </w:r>
      <w:r w:rsidR="004F0D8B">
        <w:rPr>
          <w:sz w:val="40"/>
          <w:szCs w:val="40"/>
          <w:lang w:val="en-GB"/>
        </w:rPr>
        <w:t xml:space="preserve"> Basin s</w:t>
      </w:r>
      <w:r w:rsidR="0051368D">
        <w:rPr>
          <w:sz w:val="40"/>
          <w:szCs w:val="40"/>
          <w:lang w:val="en-GB"/>
        </w:rPr>
        <w:t>ocio-economic and SWOT analysi</w:t>
      </w:r>
      <w:r w:rsidR="001353D6">
        <w:rPr>
          <w:sz w:val="40"/>
          <w:szCs w:val="40"/>
          <w:lang w:val="en-GB"/>
        </w:rPr>
        <w:t>s</w:t>
      </w:r>
      <w:bookmarkEnd w:id="19"/>
    </w:p>
    <w:p w:rsidR="006101BB" w:rsidRPr="004408A1" w:rsidRDefault="006101BB" w:rsidP="00085D02">
      <w:pPr>
        <w:widowControl w:val="0"/>
        <w:autoSpaceDE w:val="0"/>
        <w:autoSpaceDN w:val="0"/>
        <w:adjustRightInd w:val="0"/>
        <w:spacing w:after="0" w:line="240" w:lineRule="auto"/>
        <w:jc w:val="both"/>
        <w:rPr>
          <w:rFonts w:eastAsia="Times New Roman"/>
          <w:sz w:val="22"/>
          <w:szCs w:val="22"/>
          <w:lang w:val="en-GB"/>
        </w:rPr>
      </w:pPr>
    </w:p>
    <w:p w:rsidR="00297365" w:rsidRPr="00FB4263" w:rsidRDefault="00085D02" w:rsidP="00EE604A">
      <w:pPr>
        <w:widowControl w:val="0"/>
        <w:autoSpaceDE w:val="0"/>
        <w:autoSpaceDN w:val="0"/>
        <w:adjustRightInd w:val="0"/>
        <w:spacing w:after="0" w:line="264" w:lineRule="auto"/>
        <w:jc w:val="both"/>
        <w:rPr>
          <w:rFonts w:eastAsia="Times New Roman"/>
          <w:sz w:val="22"/>
          <w:szCs w:val="22"/>
          <w:lang w:val="en-GB"/>
        </w:rPr>
      </w:pPr>
      <w:r w:rsidRPr="00FB4263">
        <w:rPr>
          <w:rFonts w:eastAsia="Times New Roman"/>
          <w:sz w:val="22"/>
          <w:szCs w:val="22"/>
          <w:lang w:val="en-GB"/>
        </w:rPr>
        <w:t xml:space="preserve">The methodology </w:t>
      </w:r>
      <w:r w:rsidR="00A54D93" w:rsidRPr="00FB4263">
        <w:rPr>
          <w:rFonts w:eastAsia="Times New Roman"/>
          <w:sz w:val="22"/>
          <w:szCs w:val="22"/>
          <w:lang w:val="en-GB"/>
        </w:rPr>
        <w:t>to identify the relevant strategy for</w:t>
      </w:r>
      <w:r w:rsidRPr="00FB4263">
        <w:rPr>
          <w:rFonts w:eastAsia="Times New Roman"/>
          <w:sz w:val="22"/>
          <w:szCs w:val="22"/>
          <w:lang w:val="en-GB"/>
        </w:rPr>
        <w:t xml:space="preserve"> the Black Sea </w:t>
      </w:r>
      <w:r w:rsidR="00521322" w:rsidRPr="00FB4263">
        <w:rPr>
          <w:rFonts w:eastAsia="Times New Roman"/>
          <w:sz w:val="22"/>
          <w:szCs w:val="22"/>
          <w:lang w:val="en-GB"/>
        </w:rPr>
        <w:t>Basin ENI CBC programme included</w:t>
      </w:r>
      <w:r w:rsidRPr="00FB4263">
        <w:rPr>
          <w:rFonts w:eastAsia="Times New Roman"/>
          <w:sz w:val="22"/>
          <w:szCs w:val="22"/>
          <w:lang w:val="en-GB"/>
        </w:rPr>
        <w:t xml:space="preserve"> </w:t>
      </w:r>
      <w:r w:rsidR="00F34BD8" w:rsidRPr="00FB4263">
        <w:rPr>
          <w:rFonts w:eastAsia="Times New Roman"/>
          <w:sz w:val="22"/>
          <w:szCs w:val="22"/>
          <w:lang w:val="en-GB"/>
        </w:rPr>
        <w:t xml:space="preserve">first </w:t>
      </w:r>
      <w:r w:rsidR="008D24CE" w:rsidRPr="00FB4263">
        <w:rPr>
          <w:rFonts w:eastAsia="Times New Roman"/>
          <w:sz w:val="22"/>
          <w:szCs w:val="22"/>
          <w:lang w:val="en-GB"/>
        </w:rPr>
        <w:t xml:space="preserve">an analysis of the </w:t>
      </w:r>
      <w:r w:rsidR="00726D8A" w:rsidRPr="00FB4263">
        <w:rPr>
          <w:rFonts w:eastAsia="Times New Roman"/>
          <w:sz w:val="22"/>
          <w:szCs w:val="22"/>
          <w:lang w:val="en-GB"/>
        </w:rPr>
        <w:t xml:space="preserve">programme area </w:t>
      </w:r>
      <w:r w:rsidRPr="00FB4263">
        <w:rPr>
          <w:rFonts w:eastAsia="Times New Roman"/>
          <w:sz w:val="22"/>
          <w:szCs w:val="22"/>
          <w:lang w:val="en-GB"/>
        </w:rPr>
        <w:t xml:space="preserve">socio-economic </w:t>
      </w:r>
      <w:r w:rsidR="004647E7" w:rsidRPr="00FB4263">
        <w:rPr>
          <w:rFonts w:eastAsia="Times New Roman"/>
          <w:sz w:val="22"/>
          <w:szCs w:val="22"/>
          <w:lang w:val="en-GB"/>
        </w:rPr>
        <w:t>environment</w:t>
      </w:r>
      <w:r w:rsidR="00726D8A" w:rsidRPr="00FB4263">
        <w:rPr>
          <w:rFonts w:eastAsia="Times New Roman"/>
          <w:sz w:val="22"/>
          <w:szCs w:val="22"/>
          <w:lang w:val="en-GB"/>
        </w:rPr>
        <w:t xml:space="preserve"> and of its key strengths, weaknesses, opportunities and threats</w:t>
      </w:r>
      <w:r w:rsidR="00361B2A" w:rsidRPr="00FB4263">
        <w:rPr>
          <w:rFonts w:eastAsia="Times New Roman"/>
          <w:sz w:val="22"/>
          <w:szCs w:val="22"/>
          <w:lang w:val="en-GB"/>
        </w:rPr>
        <w:t xml:space="preserve"> (SWOT)</w:t>
      </w:r>
      <w:r w:rsidR="00726D8A" w:rsidRPr="00FB4263">
        <w:rPr>
          <w:rFonts w:eastAsia="Times New Roman"/>
          <w:sz w:val="22"/>
          <w:szCs w:val="22"/>
          <w:lang w:val="en-GB"/>
        </w:rPr>
        <w:t xml:space="preserve">. </w:t>
      </w:r>
    </w:p>
    <w:p w:rsidR="005072B1" w:rsidRPr="004B58D3" w:rsidRDefault="005072B1" w:rsidP="005072B1">
      <w:pPr>
        <w:spacing w:before="120" w:after="0" w:line="252" w:lineRule="auto"/>
        <w:jc w:val="both"/>
        <w:rPr>
          <w:sz w:val="22"/>
          <w:szCs w:val="22"/>
          <w:lang w:val="en-GB"/>
        </w:rPr>
      </w:pPr>
      <w:r w:rsidRPr="00FB4263">
        <w:rPr>
          <w:sz w:val="22"/>
          <w:szCs w:val="22"/>
          <w:lang w:val="en-GB"/>
        </w:rPr>
        <w:t xml:space="preserve">The programme area socio-economic </w:t>
      </w:r>
      <w:r w:rsidR="00D83C39" w:rsidRPr="00FB4263">
        <w:rPr>
          <w:sz w:val="22"/>
          <w:szCs w:val="22"/>
          <w:lang w:val="en-GB"/>
        </w:rPr>
        <w:t xml:space="preserve">and SWOT </w:t>
      </w:r>
      <w:r w:rsidRPr="00FB4263">
        <w:rPr>
          <w:sz w:val="22"/>
          <w:szCs w:val="22"/>
          <w:lang w:val="en-GB"/>
        </w:rPr>
        <w:t>analysis was developed in the summer</w:t>
      </w:r>
      <w:r w:rsidR="00D83C39" w:rsidRPr="00FB4263">
        <w:rPr>
          <w:sz w:val="22"/>
          <w:szCs w:val="22"/>
          <w:lang w:val="en-GB"/>
        </w:rPr>
        <w:t>-autumn</w:t>
      </w:r>
      <w:r w:rsidRPr="00FB4263">
        <w:rPr>
          <w:sz w:val="22"/>
          <w:szCs w:val="22"/>
          <w:lang w:val="en-GB"/>
        </w:rPr>
        <w:t xml:space="preserve"> 2013</w:t>
      </w:r>
      <w:r w:rsidR="00925156" w:rsidRPr="00FB4263">
        <w:rPr>
          <w:rStyle w:val="FootnoteReference"/>
          <w:sz w:val="22"/>
          <w:szCs w:val="22"/>
          <w:lang w:val="en-GB"/>
        </w:rPr>
        <w:footnoteReference w:id="20"/>
      </w:r>
      <w:r w:rsidRPr="00FB4263">
        <w:rPr>
          <w:sz w:val="22"/>
          <w:szCs w:val="22"/>
          <w:lang w:val="en-GB"/>
        </w:rPr>
        <w:t>. It is based on information provided by participating countries, as well as data and reports from EU agencies and international</w:t>
      </w:r>
      <w:r w:rsidRPr="004B58D3">
        <w:rPr>
          <w:sz w:val="22"/>
          <w:szCs w:val="22"/>
          <w:lang w:val="en-GB"/>
        </w:rPr>
        <w:t xml:space="preserve"> organisations. As socio-economic figures at sub-national level are not always available or comparable, overviews of the Black Sea Basin area often re</w:t>
      </w:r>
      <w:r w:rsidR="00B91BE8">
        <w:rPr>
          <w:sz w:val="22"/>
          <w:szCs w:val="22"/>
          <w:lang w:val="en-GB"/>
        </w:rPr>
        <w:t>ly on national-level statistics</w:t>
      </w:r>
      <w:r w:rsidRPr="004B58D3">
        <w:rPr>
          <w:sz w:val="22"/>
          <w:szCs w:val="22"/>
          <w:lang w:val="en-GB"/>
        </w:rPr>
        <w:t>; however, the analysis focuses on ENI CBC eligible territories and relies on sub-regional data, whenever available, in the specific analysis of the territories and the selection of main issues covered.</w:t>
      </w:r>
    </w:p>
    <w:p w:rsidR="005072B1" w:rsidRPr="00002063" w:rsidRDefault="005072B1" w:rsidP="00B736E1">
      <w:pPr>
        <w:pStyle w:val="Heading3"/>
        <w:rPr>
          <w:b/>
          <w:sz w:val="28"/>
          <w:szCs w:val="28"/>
          <w:lang w:val="en-GB"/>
        </w:rPr>
      </w:pPr>
      <w:bookmarkStart w:id="20" w:name="_Toc246127417"/>
      <w:bookmarkStart w:id="21" w:name="_Toc288133433"/>
      <w:r w:rsidRPr="00002063">
        <w:rPr>
          <w:b/>
          <w:sz w:val="28"/>
          <w:szCs w:val="28"/>
          <w:lang w:val="en-GB"/>
        </w:rPr>
        <w:t>Territory and demography</w:t>
      </w:r>
      <w:bookmarkEnd w:id="20"/>
      <w:bookmarkEnd w:id="21"/>
    </w:p>
    <w:p w:rsidR="005072B1" w:rsidRPr="00F40719" w:rsidRDefault="005072B1" w:rsidP="001024F6">
      <w:pPr>
        <w:spacing w:before="240" w:after="120" w:line="264" w:lineRule="auto"/>
        <w:rPr>
          <w:b/>
          <w:bCs/>
          <w:lang w:val="en-GB"/>
        </w:rPr>
      </w:pPr>
      <w:bookmarkStart w:id="22" w:name="_Toc246127418"/>
      <w:r w:rsidRPr="00F40719">
        <w:rPr>
          <w:b/>
          <w:bCs/>
          <w:lang w:val="en-GB"/>
        </w:rPr>
        <w:t>Overview of Black Sea Basin ENI CBC programme area</w:t>
      </w:r>
      <w:bookmarkEnd w:id="22"/>
    </w:p>
    <w:p w:rsidR="005072B1" w:rsidRPr="004B58D3" w:rsidRDefault="005072B1" w:rsidP="005072B1">
      <w:pPr>
        <w:rPr>
          <w:sz w:val="22"/>
          <w:szCs w:val="22"/>
          <w:lang w:val="en-GB"/>
        </w:rPr>
      </w:pPr>
      <w:r w:rsidRPr="004B58D3">
        <w:rPr>
          <w:sz w:val="22"/>
          <w:szCs w:val="22"/>
          <w:lang w:val="en-GB"/>
        </w:rPr>
        <w:t>A statistical overview of the Black Sea Basin programme eligible area is provided in the table below</w:t>
      </w:r>
      <w:r w:rsidRPr="004D189B">
        <w:rPr>
          <w:sz w:val="22"/>
          <w:szCs w:val="22"/>
          <w:vertAlign w:val="superscript"/>
        </w:rPr>
        <w:footnoteReference w:id="21"/>
      </w:r>
      <w:r w:rsidRPr="004B58D3">
        <w:rPr>
          <w:sz w:val="22"/>
          <w:szCs w:val="22"/>
          <w:lang w:val="en-GB"/>
        </w:rPr>
        <w:t>.</w:t>
      </w:r>
    </w:p>
    <w:tbl>
      <w:tblPr>
        <w:tblW w:w="10505" w:type="dxa"/>
        <w:tblInd w:w="55" w:type="dxa"/>
        <w:tblLayout w:type="fixed"/>
        <w:tblCellMar>
          <w:left w:w="70" w:type="dxa"/>
          <w:right w:w="70" w:type="dxa"/>
        </w:tblCellMar>
        <w:tblLook w:val="04A0"/>
      </w:tblPr>
      <w:tblGrid>
        <w:gridCol w:w="1300"/>
        <w:gridCol w:w="1976"/>
        <w:gridCol w:w="1417"/>
        <w:gridCol w:w="1276"/>
        <w:gridCol w:w="992"/>
        <w:gridCol w:w="992"/>
        <w:gridCol w:w="1276"/>
        <w:gridCol w:w="1276"/>
      </w:tblGrid>
      <w:tr w:rsidR="005072B1" w:rsidRPr="001368E0" w:rsidTr="005072B1">
        <w:trPr>
          <w:trHeight w:val="840"/>
        </w:trPr>
        <w:tc>
          <w:tcPr>
            <w:tcW w:w="1300" w:type="dxa"/>
            <w:tcBorders>
              <w:left w:val="single" w:sz="4" w:space="0" w:color="auto"/>
              <w:bottom w:val="single" w:sz="4" w:space="0" w:color="auto"/>
              <w:right w:val="single" w:sz="4" w:space="0" w:color="auto"/>
            </w:tcBorders>
            <w:shd w:val="clear" w:color="4F81BD" w:fill="4F81BD"/>
            <w:noWrap/>
            <w:hideMark/>
          </w:tcPr>
          <w:p w:rsidR="005072B1" w:rsidRPr="00425060" w:rsidRDefault="005072B1" w:rsidP="005072B1">
            <w:pPr>
              <w:spacing w:before="120" w:after="0" w:line="252" w:lineRule="auto"/>
              <w:rPr>
                <w:rFonts w:ascii="Calibri" w:eastAsia="Times New Roman" w:hAnsi="Calibri"/>
                <w:b/>
                <w:bCs/>
                <w:color w:val="FFFFFF"/>
                <w:sz w:val="20"/>
                <w:szCs w:val="20"/>
              </w:rPr>
            </w:pPr>
            <w:r w:rsidRPr="00425060">
              <w:rPr>
                <w:rFonts w:ascii="Calibri" w:eastAsia="Times New Roman" w:hAnsi="Calibri"/>
                <w:b/>
                <w:bCs/>
                <w:color w:val="FFFFFF"/>
                <w:sz w:val="20"/>
                <w:szCs w:val="20"/>
              </w:rPr>
              <w:t>COUNTRY</w:t>
            </w:r>
          </w:p>
        </w:tc>
        <w:tc>
          <w:tcPr>
            <w:tcW w:w="1976" w:type="dxa"/>
            <w:tcBorders>
              <w:left w:val="single" w:sz="4" w:space="0" w:color="auto"/>
              <w:bottom w:val="single" w:sz="4" w:space="0" w:color="auto"/>
              <w:right w:val="single" w:sz="4" w:space="0" w:color="auto"/>
            </w:tcBorders>
            <w:shd w:val="clear" w:color="4F81BD" w:fill="4F81BD"/>
            <w:noWrap/>
            <w:hideMark/>
          </w:tcPr>
          <w:p w:rsidR="005072B1" w:rsidRPr="00425060" w:rsidRDefault="005072B1" w:rsidP="005072B1">
            <w:pPr>
              <w:spacing w:before="120" w:after="0" w:line="252" w:lineRule="auto"/>
              <w:rPr>
                <w:rFonts w:ascii="Calibri" w:eastAsia="Times New Roman" w:hAnsi="Calibri"/>
                <w:b/>
                <w:bCs/>
                <w:color w:val="FFFFFF"/>
                <w:sz w:val="20"/>
                <w:szCs w:val="20"/>
              </w:rPr>
            </w:pPr>
            <w:r w:rsidRPr="00425060">
              <w:rPr>
                <w:rFonts w:ascii="Calibri" w:eastAsia="Times New Roman" w:hAnsi="Calibri"/>
                <w:b/>
                <w:bCs/>
                <w:color w:val="FFFFFF"/>
                <w:sz w:val="20"/>
                <w:szCs w:val="20"/>
              </w:rPr>
              <w:t>ELIGIBLE REGIONS</w:t>
            </w:r>
          </w:p>
        </w:tc>
        <w:tc>
          <w:tcPr>
            <w:tcW w:w="1417" w:type="dxa"/>
            <w:tcBorders>
              <w:left w:val="single" w:sz="4" w:space="0" w:color="auto"/>
              <w:bottom w:val="single" w:sz="4" w:space="0" w:color="auto"/>
              <w:right w:val="single" w:sz="4" w:space="0" w:color="auto"/>
            </w:tcBorders>
            <w:shd w:val="clear" w:color="4F81BD" w:fill="4F81BD"/>
            <w:hideMark/>
          </w:tcPr>
          <w:p w:rsidR="005072B1" w:rsidRPr="00425060" w:rsidRDefault="005072B1" w:rsidP="005072B1">
            <w:pPr>
              <w:spacing w:before="120" w:after="0" w:line="252" w:lineRule="auto"/>
              <w:jc w:val="center"/>
              <w:rPr>
                <w:rFonts w:ascii="Calibri" w:eastAsia="Times New Roman" w:hAnsi="Calibri"/>
                <w:b/>
                <w:bCs/>
                <w:color w:val="FFFFFF"/>
                <w:sz w:val="20"/>
                <w:szCs w:val="20"/>
              </w:rPr>
            </w:pPr>
            <w:r w:rsidRPr="00425060">
              <w:rPr>
                <w:rFonts w:ascii="Calibri" w:eastAsia="Times New Roman" w:hAnsi="Calibri"/>
                <w:b/>
                <w:bCs/>
                <w:color w:val="FFFFFF"/>
                <w:sz w:val="20"/>
                <w:szCs w:val="20"/>
              </w:rPr>
              <w:t>TERRITORY</w:t>
            </w:r>
            <w:r w:rsidRPr="00425060">
              <w:rPr>
                <w:rFonts w:ascii="Calibri" w:eastAsia="Times New Roman" w:hAnsi="Calibri"/>
                <w:color w:val="000000"/>
                <w:sz w:val="20"/>
                <w:szCs w:val="20"/>
              </w:rPr>
              <w:t xml:space="preserve"> </w:t>
            </w:r>
            <w:r w:rsidRPr="00425060">
              <w:rPr>
                <w:rFonts w:ascii="Calibri" w:eastAsia="Times New Roman" w:hAnsi="Calibri"/>
                <w:sz w:val="20"/>
                <w:szCs w:val="20"/>
              </w:rPr>
              <w:t>(km2)</w:t>
            </w:r>
          </w:p>
        </w:tc>
        <w:tc>
          <w:tcPr>
            <w:tcW w:w="1276" w:type="dxa"/>
            <w:tcBorders>
              <w:left w:val="single" w:sz="4" w:space="0" w:color="auto"/>
              <w:bottom w:val="single" w:sz="4" w:space="0" w:color="auto"/>
              <w:right w:val="single" w:sz="4" w:space="0" w:color="auto"/>
            </w:tcBorders>
            <w:shd w:val="clear" w:color="4F81BD" w:fill="4F81BD"/>
            <w:hideMark/>
          </w:tcPr>
          <w:p w:rsidR="005072B1" w:rsidRPr="00425060" w:rsidRDefault="005072B1" w:rsidP="005072B1">
            <w:pPr>
              <w:spacing w:before="120" w:after="0" w:line="252" w:lineRule="auto"/>
              <w:jc w:val="center"/>
              <w:rPr>
                <w:rFonts w:ascii="Calibri" w:eastAsia="Times New Roman" w:hAnsi="Calibri"/>
                <w:b/>
                <w:bCs/>
                <w:color w:val="FFFFFF"/>
                <w:sz w:val="20"/>
                <w:szCs w:val="20"/>
              </w:rPr>
            </w:pPr>
            <w:r w:rsidRPr="00425060">
              <w:rPr>
                <w:rFonts w:ascii="Calibri" w:eastAsia="Times New Roman" w:hAnsi="Calibri"/>
                <w:b/>
                <w:bCs/>
                <w:color w:val="FFFFFF"/>
                <w:sz w:val="20"/>
                <w:szCs w:val="20"/>
              </w:rPr>
              <w:t>POPULATION</w:t>
            </w:r>
            <w:r w:rsidRPr="00425060">
              <w:rPr>
                <w:rFonts w:ascii="Calibri" w:eastAsia="Times New Roman" w:hAnsi="Calibri"/>
                <w:b/>
                <w:bCs/>
                <w:sz w:val="20"/>
                <w:szCs w:val="20"/>
              </w:rPr>
              <w:t xml:space="preserve"> </w:t>
            </w:r>
            <w:r w:rsidRPr="00425060">
              <w:rPr>
                <w:rFonts w:ascii="Calibri" w:eastAsia="Times New Roman" w:hAnsi="Calibri"/>
                <w:sz w:val="20"/>
                <w:szCs w:val="20"/>
              </w:rPr>
              <w:t>(thousands)</w:t>
            </w:r>
          </w:p>
        </w:tc>
        <w:tc>
          <w:tcPr>
            <w:tcW w:w="992" w:type="dxa"/>
            <w:tcBorders>
              <w:left w:val="single" w:sz="4" w:space="0" w:color="auto"/>
              <w:bottom w:val="single" w:sz="4" w:space="0" w:color="auto"/>
              <w:right w:val="single" w:sz="4" w:space="0" w:color="auto"/>
            </w:tcBorders>
            <w:shd w:val="clear" w:color="4F81BD" w:fill="4F81BD"/>
            <w:hideMark/>
          </w:tcPr>
          <w:p w:rsidR="005072B1" w:rsidRPr="00425060" w:rsidRDefault="005072B1" w:rsidP="005072B1">
            <w:pPr>
              <w:spacing w:before="120" w:after="0" w:line="252" w:lineRule="auto"/>
              <w:jc w:val="center"/>
              <w:rPr>
                <w:rFonts w:ascii="Calibri" w:eastAsia="Times New Roman" w:hAnsi="Calibri"/>
                <w:b/>
                <w:bCs/>
                <w:color w:val="FFFFFF"/>
                <w:sz w:val="20"/>
                <w:szCs w:val="20"/>
              </w:rPr>
            </w:pPr>
            <w:r w:rsidRPr="00425060">
              <w:rPr>
                <w:rFonts w:ascii="Calibri" w:eastAsia="Times New Roman" w:hAnsi="Calibri"/>
                <w:b/>
                <w:bCs/>
                <w:color w:val="FFFFFF"/>
                <w:sz w:val="20"/>
                <w:szCs w:val="20"/>
              </w:rPr>
              <w:t xml:space="preserve">URBAN </w:t>
            </w:r>
            <w:r w:rsidRPr="00425060">
              <w:rPr>
                <w:rFonts w:ascii="Calibri" w:eastAsia="Times New Roman" w:hAnsi="Calibri"/>
                <w:color w:val="000000"/>
                <w:sz w:val="20"/>
                <w:szCs w:val="20"/>
              </w:rPr>
              <w:t>(%)</w:t>
            </w:r>
          </w:p>
        </w:tc>
        <w:tc>
          <w:tcPr>
            <w:tcW w:w="992" w:type="dxa"/>
            <w:tcBorders>
              <w:left w:val="single" w:sz="4" w:space="0" w:color="auto"/>
              <w:bottom w:val="single" w:sz="4" w:space="0" w:color="auto"/>
              <w:right w:val="single" w:sz="4" w:space="0" w:color="auto"/>
            </w:tcBorders>
            <w:shd w:val="clear" w:color="4F81BD" w:fill="4F81BD"/>
            <w:hideMark/>
          </w:tcPr>
          <w:p w:rsidR="005072B1" w:rsidRPr="00425060" w:rsidRDefault="005072B1" w:rsidP="005072B1">
            <w:pPr>
              <w:spacing w:before="120" w:after="0" w:line="252" w:lineRule="auto"/>
              <w:jc w:val="center"/>
              <w:rPr>
                <w:rFonts w:ascii="Calibri" w:eastAsia="Times New Roman" w:hAnsi="Calibri"/>
                <w:b/>
                <w:bCs/>
                <w:color w:val="FFFFFF"/>
                <w:sz w:val="20"/>
                <w:szCs w:val="20"/>
              </w:rPr>
            </w:pPr>
            <w:r w:rsidRPr="00425060">
              <w:rPr>
                <w:rFonts w:ascii="Calibri" w:eastAsia="Times New Roman" w:hAnsi="Calibri"/>
                <w:b/>
                <w:bCs/>
                <w:color w:val="FFFFFF"/>
                <w:sz w:val="20"/>
                <w:szCs w:val="20"/>
              </w:rPr>
              <w:t xml:space="preserve">RURAL </w:t>
            </w:r>
            <w:r w:rsidRPr="00425060">
              <w:rPr>
                <w:rFonts w:ascii="Calibri" w:eastAsia="Times New Roman" w:hAnsi="Calibri"/>
                <w:color w:val="000000"/>
                <w:sz w:val="20"/>
                <w:szCs w:val="20"/>
              </w:rPr>
              <w:t>(%)</w:t>
            </w:r>
          </w:p>
        </w:tc>
        <w:tc>
          <w:tcPr>
            <w:tcW w:w="1276" w:type="dxa"/>
            <w:tcBorders>
              <w:left w:val="single" w:sz="4" w:space="0" w:color="auto"/>
              <w:bottom w:val="single" w:sz="4" w:space="0" w:color="auto"/>
              <w:right w:val="single" w:sz="4" w:space="0" w:color="auto"/>
            </w:tcBorders>
            <w:shd w:val="clear" w:color="4F81BD" w:fill="4F81BD"/>
            <w:hideMark/>
          </w:tcPr>
          <w:p w:rsidR="005072B1" w:rsidRPr="00425060" w:rsidRDefault="005072B1" w:rsidP="005072B1">
            <w:pPr>
              <w:spacing w:before="120" w:after="0" w:line="252" w:lineRule="auto"/>
              <w:jc w:val="center"/>
              <w:rPr>
                <w:rFonts w:ascii="Calibri" w:eastAsia="Times New Roman" w:hAnsi="Calibri"/>
                <w:b/>
                <w:bCs/>
                <w:color w:val="FFFFFF"/>
                <w:sz w:val="20"/>
                <w:szCs w:val="20"/>
              </w:rPr>
            </w:pPr>
            <w:r w:rsidRPr="00425060">
              <w:rPr>
                <w:rFonts w:ascii="Calibri" w:eastAsia="Times New Roman" w:hAnsi="Calibri"/>
                <w:b/>
                <w:bCs/>
                <w:color w:val="FFFFFF"/>
                <w:sz w:val="20"/>
                <w:szCs w:val="20"/>
              </w:rPr>
              <w:t xml:space="preserve">NB OF CITIES               </w:t>
            </w:r>
            <w:r w:rsidRPr="00425060">
              <w:rPr>
                <w:rFonts w:ascii="Calibri" w:eastAsia="Times New Roman" w:hAnsi="Calibri"/>
                <w:color w:val="000000"/>
                <w:sz w:val="20"/>
                <w:szCs w:val="20"/>
              </w:rPr>
              <w:t>(&gt; 20 000 inhabitants)</w:t>
            </w:r>
          </w:p>
        </w:tc>
        <w:tc>
          <w:tcPr>
            <w:tcW w:w="1276" w:type="dxa"/>
            <w:tcBorders>
              <w:left w:val="single" w:sz="4" w:space="0" w:color="auto"/>
              <w:bottom w:val="single" w:sz="4" w:space="0" w:color="auto"/>
              <w:right w:val="single" w:sz="4" w:space="0" w:color="auto"/>
            </w:tcBorders>
            <w:shd w:val="clear" w:color="4F81BD" w:fill="4F81BD"/>
            <w:hideMark/>
          </w:tcPr>
          <w:p w:rsidR="005072B1" w:rsidRPr="00425060" w:rsidRDefault="005072B1" w:rsidP="005072B1">
            <w:pPr>
              <w:spacing w:before="120" w:after="0" w:line="252" w:lineRule="auto"/>
              <w:jc w:val="center"/>
              <w:rPr>
                <w:rFonts w:ascii="Calibri" w:eastAsia="Times New Roman" w:hAnsi="Calibri"/>
                <w:b/>
                <w:bCs/>
                <w:color w:val="FFFFFF"/>
                <w:sz w:val="20"/>
                <w:szCs w:val="20"/>
              </w:rPr>
            </w:pPr>
            <w:r w:rsidRPr="00425060">
              <w:rPr>
                <w:rFonts w:ascii="Calibri" w:eastAsia="Times New Roman" w:hAnsi="Calibri"/>
                <w:b/>
                <w:bCs/>
                <w:color w:val="FFFFFF"/>
                <w:sz w:val="20"/>
                <w:szCs w:val="20"/>
              </w:rPr>
              <w:t xml:space="preserve">DENSITY </w:t>
            </w:r>
            <w:r w:rsidRPr="00425060">
              <w:rPr>
                <w:rFonts w:ascii="Calibri" w:eastAsia="Times New Roman" w:hAnsi="Calibri"/>
                <w:color w:val="000000"/>
                <w:sz w:val="20"/>
                <w:szCs w:val="20"/>
              </w:rPr>
              <w:t>(people/km2)</w:t>
            </w:r>
          </w:p>
        </w:tc>
      </w:tr>
      <w:tr w:rsidR="005072B1" w:rsidRPr="001368E0" w:rsidTr="005072B1">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 xml:space="preserve">ARMENIA </w:t>
            </w:r>
          </w:p>
        </w:tc>
        <w:tc>
          <w:tcPr>
            <w:tcW w:w="1976" w:type="dxa"/>
            <w:tcBorders>
              <w:top w:val="single" w:sz="4" w:space="0" w:color="auto"/>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rPr>
                <w:rFonts w:ascii="Calibri" w:eastAsia="Times New Roman" w:hAnsi="Calibri"/>
                <w:color w:val="000000"/>
                <w:sz w:val="20"/>
                <w:szCs w:val="20"/>
              </w:rPr>
            </w:pPr>
            <w:r w:rsidRPr="00425060">
              <w:rPr>
                <w:rFonts w:ascii="Calibri" w:eastAsia="Times New Roman" w:hAnsi="Calibri"/>
                <w:color w:val="000000"/>
                <w:sz w:val="20"/>
                <w:szCs w:val="20"/>
              </w:rPr>
              <w:t>(whole country)</w:t>
            </w:r>
          </w:p>
        </w:tc>
        <w:tc>
          <w:tcPr>
            <w:tcW w:w="1417" w:type="dxa"/>
            <w:tcBorders>
              <w:top w:val="single" w:sz="4" w:space="0" w:color="auto"/>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29 743</w:t>
            </w:r>
          </w:p>
        </w:tc>
        <w:tc>
          <w:tcPr>
            <w:tcW w:w="1276" w:type="dxa"/>
            <w:tcBorders>
              <w:top w:val="single" w:sz="4" w:space="0" w:color="auto"/>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2 964</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64%</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36%</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n.a.</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104</w:t>
            </w:r>
          </w:p>
        </w:tc>
      </w:tr>
      <w:tr w:rsidR="005072B1" w:rsidRPr="001368E0" w:rsidTr="005072B1">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AZERBAIJAN</w:t>
            </w:r>
          </w:p>
        </w:tc>
        <w:tc>
          <w:tcPr>
            <w:tcW w:w="1976" w:type="dxa"/>
            <w:tcBorders>
              <w:top w:val="single" w:sz="4" w:space="0" w:color="95B3D7"/>
              <w:left w:val="single" w:sz="4" w:space="0" w:color="auto"/>
              <w:bottom w:val="single" w:sz="4" w:space="0" w:color="auto"/>
              <w:right w:val="nil"/>
            </w:tcBorders>
            <w:shd w:val="clear" w:color="auto" w:fill="auto"/>
            <w:noWrap/>
            <w:vAlign w:val="bottom"/>
            <w:hideMark/>
          </w:tcPr>
          <w:p w:rsidR="005072B1" w:rsidRPr="00425060" w:rsidRDefault="005072B1" w:rsidP="005072B1">
            <w:pPr>
              <w:spacing w:before="120" w:after="0" w:line="252" w:lineRule="auto"/>
              <w:rPr>
                <w:rFonts w:ascii="Calibri" w:eastAsia="Times New Roman" w:hAnsi="Calibri"/>
                <w:color w:val="000000"/>
                <w:sz w:val="20"/>
                <w:szCs w:val="20"/>
              </w:rPr>
            </w:pPr>
            <w:r w:rsidRPr="00425060">
              <w:rPr>
                <w:rFonts w:ascii="Calibri" w:eastAsia="Times New Roman" w:hAnsi="Calibri"/>
                <w:color w:val="000000"/>
                <w:sz w:val="20"/>
                <w:szCs w:val="20"/>
              </w:rPr>
              <w:t>(whole country)</w:t>
            </w:r>
          </w:p>
        </w:tc>
        <w:tc>
          <w:tcPr>
            <w:tcW w:w="1417" w:type="dxa"/>
            <w:tcBorders>
              <w:top w:val="single" w:sz="4" w:space="0" w:color="95B3D7"/>
              <w:left w:val="single" w:sz="4" w:space="0" w:color="auto"/>
              <w:bottom w:val="single" w:sz="4" w:space="0" w:color="auto"/>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86 600</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9 356</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53</w:t>
            </w:r>
            <w:r w:rsidRPr="00425060">
              <w:rPr>
                <w:rFonts w:ascii="Calibri" w:eastAsia="Times New Roman" w:hAnsi="Calibri"/>
                <w:color w:val="000000"/>
                <w:sz w:val="20"/>
                <w:szCs w:val="20"/>
              </w:rPr>
              <w:t>%</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47</w:t>
            </w:r>
            <w:r w:rsidRPr="00425060">
              <w:rPr>
                <w:rFonts w:ascii="Calibri" w:eastAsia="Times New Roman" w:hAnsi="Calibri"/>
                <w:color w:val="000000"/>
                <w:sz w:val="20"/>
                <w:szCs w:val="20"/>
              </w:rPr>
              <w:t>%</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54</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108</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BULGARIA</w:t>
            </w: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Severoiztochen</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13 700</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957</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73%</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8B339C" w:rsidRDefault="005072B1" w:rsidP="005072B1">
            <w:pPr>
              <w:spacing w:before="120" w:after="0" w:line="252" w:lineRule="auto"/>
              <w:jc w:val="right"/>
              <w:rPr>
                <w:rFonts w:ascii="Calibri" w:eastAsia="Times New Roman" w:hAnsi="Calibri"/>
                <w:i/>
                <w:color w:val="000000"/>
                <w:sz w:val="20"/>
                <w:szCs w:val="20"/>
              </w:rPr>
            </w:pPr>
            <w:r w:rsidRPr="008B339C">
              <w:rPr>
                <w:rFonts w:ascii="Calibri" w:eastAsia="Times New Roman" w:hAnsi="Calibri"/>
                <w:i/>
                <w:color w:val="000000"/>
                <w:sz w:val="20"/>
                <w:szCs w:val="20"/>
              </w:rPr>
              <w:t>65</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auto"/>
              <w:right w:val="nil"/>
            </w:tcBorders>
            <w:shd w:val="clear" w:color="auto" w:fill="auto"/>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Yugoiztochen</w:t>
            </w:r>
          </w:p>
        </w:tc>
        <w:tc>
          <w:tcPr>
            <w:tcW w:w="1417" w:type="dxa"/>
            <w:tcBorders>
              <w:top w:val="single" w:sz="4" w:space="0" w:color="95B3D7"/>
              <w:left w:val="single" w:sz="4" w:space="0" w:color="auto"/>
              <w:bottom w:val="single" w:sz="4" w:space="0" w:color="auto"/>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19 979</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1 067</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72%</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28%</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53</w:t>
            </w:r>
          </w:p>
        </w:tc>
      </w:tr>
      <w:tr w:rsidR="005072B1" w:rsidRPr="001368E0" w:rsidTr="005072B1">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GEORGIA</w:t>
            </w:r>
          </w:p>
        </w:tc>
        <w:tc>
          <w:tcPr>
            <w:tcW w:w="1976" w:type="dxa"/>
            <w:tcBorders>
              <w:top w:val="single" w:sz="4" w:space="0" w:color="auto"/>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rPr>
                <w:rFonts w:ascii="Calibri" w:eastAsia="Times New Roman" w:hAnsi="Calibri"/>
                <w:color w:val="000000"/>
                <w:sz w:val="20"/>
                <w:szCs w:val="20"/>
              </w:rPr>
            </w:pPr>
            <w:r w:rsidRPr="00425060">
              <w:rPr>
                <w:rFonts w:ascii="Calibri" w:eastAsia="Times New Roman" w:hAnsi="Calibri"/>
                <w:color w:val="000000"/>
                <w:sz w:val="20"/>
                <w:szCs w:val="20"/>
              </w:rPr>
              <w:t>(whole country)</w:t>
            </w:r>
          </w:p>
        </w:tc>
        <w:tc>
          <w:tcPr>
            <w:tcW w:w="1417" w:type="dxa"/>
            <w:tcBorders>
              <w:top w:val="single" w:sz="4" w:space="0" w:color="auto"/>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69 700</w:t>
            </w:r>
          </w:p>
        </w:tc>
        <w:tc>
          <w:tcPr>
            <w:tcW w:w="1276" w:type="dxa"/>
            <w:tcBorders>
              <w:top w:val="single" w:sz="4" w:space="0" w:color="auto"/>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4 484</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53%</w:t>
            </w:r>
          </w:p>
        </w:tc>
        <w:tc>
          <w:tcPr>
            <w:tcW w:w="992" w:type="dxa"/>
            <w:tcBorders>
              <w:top w:val="single" w:sz="4" w:space="0" w:color="auto"/>
              <w:left w:val="nil"/>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47%</w:t>
            </w:r>
          </w:p>
        </w:tc>
        <w:tc>
          <w:tcPr>
            <w:tcW w:w="1276" w:type="dxa"/>
            <w:tcBorders>
              <w:top w:val="single" w:sz="4" w:space="0" w:color="auto"/>
              <w:left w:val="nil"/>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072B1" w:rsidRPr="00B330E4" w:rsidRDefault="005072B1" w:rsidP="005072B1">
            <w:pPr>
              <w:spacing w:before="120" w:after="0" w:line="252" w:lineRule="auto"/>
              <w:jc w:val="right"/>
              <w:rPr>
                <w:rFonts w:ascii="Calibri" w:eastAsia="Times New Roman" w:hAnsi="Calibri"/>
                <w:color w:val="000000"/>
                <w:sz w:val="20"/>
                <w:szCs w:val="20"/>
              </w:rPr>
            </w:pPr>
            <w:r w:rsidRPr="00B330E4">
              <w:rPr>
                <w:rFonts w:ascii="Calibri" w:eastAsia="Times New Roman" w:hAnsi="Calibri"/>
                <w:color w:val="000000"/>
                <w:sz w:val="20"/>
                <w:szCs w:val="20"/>
              </w:rPr>
              <w:t>64</w:t>
            </w:r>
          </w:p>
        </w:tc>
      </w:tr>
      <w:tr w:rsidR="005072B1" w:rsidRPr="001368E0" w:rsidTr="005072B1">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GREECE</w:t>
            </w: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Kentriki Makedonia</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19 146</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1 876</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78%</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32%</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10</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100</w:t>
            </w:r>
          </w:p>
        </w:tc>
      </w:tr>
      <w:tr w:rsidR="005072B1" w:rsidRPr="001368E0" w:rsidTr="005072B1">
        <w:trPr>
          <w:trHeight w:val="56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 xml:space="preserve">Anatoliki Makedonia – Thraki </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14 157</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608</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61%</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39%</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43</w:t>
            </w:r>
          </w:p>
        </w:tc>
      </w:tr>
      <w:tr w:rsidR="005072B1" w:rsidRPr="001368E0" w:rsidTr="005072B1">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MOLDOVA</w:t>
            </w:r>
          </w:p>
        </w:tc>
        <w:tc>
          <w:tcPr>
            <w:tcW w:w="1976" w:type="dxa"/>
            <w:tcBorders>
              <w:top w:val="single" w:sz="4" w:space="0" w:color="auto"/>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rPr>
                <w:rFonts w:ascii="Calibri" w:eastAsia="Times New Roman" w:hAnsi="Calibri"/>
                <w:color w:val="000000"/>
                <w:sz w:val="20"/>
                <w:szCs w:val="20"/>
              </w:rPr>
            </w:pPr>
            <w:r w:rsidRPr="00425060">
              <w:rPr>
                <w:rFonts w:ascii="Calibri" w:eastAsia="Times New Roman" w:hAnsi="Calibri"/>
                <w:color w:val="000000"/>
                <w:sz w:val="20"/>
                <w:szCs w:val="20"/>
              </w:rPr>
              <w:t>(whole country)</w:t>
            </w:r>
          </w:p>
        </w:tc>
        <w:tc>
          <w:tcPr>
            <w:tcW w:w="1417" w:type="dxa"/>
            <w:tcBorders>
              <w:top w:val="single" w:sz="4" w:space="0" w:color="auto"/>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33 846</w:t>
            </w:r>
          </w:p>
        </w:tc>
        <w:tc>
          <w:tcPr>
            <w:tcW w:w="1276" w:type="dxa"/>
            <w:tcBorders>
              <w:top w:val="single" w:sz="4" w:space="0" w:color="auto"/>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3 559</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42%</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58%</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9</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072B1" w:rsidRPr="008B339C" w:rsidRDefault="005072B1" w:rsidP="005072B1">
            <w:pPr>
              <w:spacing w:before="120" w:after="0" w:line="252" w:lineRule="auto"/>
              <w:jc w:val="right"/>
              <w:rPr>
                <w:rFonts w:ascii="Calibri" w:eastAsia="Times New Roman" w:hAnsi="Calibri"/>
                <w:i/>
                <w:color w:val="000000"/>
                <w:sz w:val="20"/>
                <w:szCs w:val="20"/>
              </w:rPr>
            </w:pPr>
            <w:r w:rsidRPr="008B339C">
              <w:rPr>
                <w:rFonts w:ascii="Calibri" w:eastAsia="Times New Roman" w:hAnsi="Calibri"/>
                <w:i/>
                <w:color w:val="000000"/>
                <w:sz w:val="20"/>
                <w:szCs w:val="20"/>
              </w:rPr>
              <w:t>117</w:t>
            </w:r>
          </w:p>
        </w:tc>
      </w:tr>
      <w:tr w:rsidR="005072B1" w:rsidRPr="001368E0" w:rsidTr="005072B1">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ROMANIA</w:t>
            </w:r>
          </w:p>
        </w:tc>
        <w:tc>
          <w:tcPr>
            <w:tcW w:w="1976" w:type="dxa"/>
            <w:tcBorders>
              <w:top w:val="nil"/>
              <w:left w:val="single" w:sz="4" w:space="0" w:color="auto"/>
              <w:bottom w:val="single" w:sz="4" w:space="0" w:color="auto"/>
              <w:right w:val="nil"/>
            </w:tcBorders>
            <w:shd w:val="clear" w:color="auto" w:fill="auto"/>
            <w:noWrap/>
            <w:vAlign w:val="bottom"/>
            <w:hideMark/>
          </w:tcPr>
          <w:p w:rsidR="005072B1" w:rsidRPr="00425060" w:rsidRDefault="005072B1" w:rsidP="005072B1">
            <w:pPr>
              <w:spacing w:before="120" w:after="0" w:line="252" w:lineRule="auto"/>
              <w:rPr>
                <w:rFonts w:ascii="Calibri" w:eastAsia="Times New Roman" w:hAnsi="Calibri"/>
                <w:color w:val="000000"/>
                <w:sz w:val="20"/>
                <w:szCs w:val="20"/>
              </w:rPr>
            </w:pPr>
            <w:r w:rsidRPr="00425060">
              <w:rPr>
                <w:rFonts w:ascii="Calibri" w:eastAsia="Times New Roman" w:hAnsi="Calibri"/>
                <w:color w:val="000000"/>
                <w:sz w:val="20"/>
                <w:szCs w:val="20"/>
              </w:rPr>
              <w:t>South-East</w:t>
            </w:r>
          </w:p>
        </w:tc>
        <w:tc>
          <w:tcPr>
            <w:tcW w:w="1417" w:type="dxa"/>
            <w:tcBorders>
              <w:top w:val="nil"/>
              <w:left w:val="single" w:sz="4" w:space="0" w:color="auto"/>
              <w:bottom w:val="single" w:sz="4" w:space="0" w:color="auto"/>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35 762</w:t>
            </w:r>
          </w:p>
        </w:tc>
        <w:tc>
          <w:tcPr>
            <w:tcW w:w="1276" w:type="dxa"/>
            <w:tcBorders>
              <w:top w:val="nil"/>
              <w:left w:val="single" w:sz="4" w:space="0" w:color="auto"/>
              <w:bottom w:val="single" w:sz="4" w:space="0" w:color="auto"/>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2 546</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54%</w:t>
            </w:r>
          </w:p>
        </w:tc>
        <w:tc>
          <w:tcPr>
            <w:tcW w:w="992" w:type="dxa"/>
            <w:tcBorders>
              <w:top w:val="nil"/>
              <w:left w:val="nil"/>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47%</w:t>
            </w:r>
          </w:p>
        </w:tc>
        <w:tc>
          <w:tcPr>
            <w:tcW w:w="1276" w:type="dxa"/>
            <w:tcBorders>
              <w:top w:val="nil"/>
              <w:left w:val="nil"/>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71</w:t>
            </w:r>
          </w:p>
        </w:tc>
      </w:tr>
      <w:tr w:rsidR="005072B1" w:rsidRPr="001368E0" w:rsidTr="005072B1">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RUSSIA</w:t>
            </w: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Rostov Oblast</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100 800</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4 404</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68%</w:t>
            </w:r>
          </w:p>
        </w:tc>
        <w:tc>
          <w:tcPr>
            <w:tcW w:w="992" w:type="dxa"/>
            <w:tcBorders>
              <w:top w:val="single" w:sz="4" w:space="0" w:color="95B3D7"/>
              <w:left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32%</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n.a.</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42</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Krasnodar Krai</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76 000</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5 125</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53%</w:t>
            </w:r>
          </w:p>
        </w:tc>
        <w:tc>
          <w:tcPr>
            <w:tcW w:w="992" w:type="dxa"/>
            <w:tcBorders>
              <w:top w:val="nil"/>
              <w:left w:val="nil"/>
              <w:right w:val="single" w:sz="4" w:space="0" w:color="auto"/>
            </w:tcBorders>
            <w:shd w:val="clear" w:color="auto" w:fill="auto"/>
            <w:noWrap/>
            <w:vAlign w:val="bottom"/>
            <w:hideMark/>
          </w:tcPr>
          <w:p w:rsidR="005072B1" w:rsidRPr="000D3441" w:rsidRDefault="005072B1" w:rsidP="005072B1">
            <w:pPr>
              <w:spacing w:before="120" w:after="0" w:line="252" w:lineRule="auto"/>
              <w:jc w:val="right"/>
              <w:rPr>
                <w:rFonts w:ascii="Calibri" w:eastAsia="Times New Roman" w:hAnsi="Calibri"/>
                <w:i/>
                <w:iCs/>
                <w:color w:val="000000"/>
                <w:sz w:val="20"/>
                <w:szCs w:val="20"/>
              </w:rPr>
            </w:pPr>
            <w:r w:rsidRPr="000D3441">
              <w:rPr>
                <w:rFonts w:ascii="Calibri" w:eastAsia="Times New Roman" w:hAnsi="Calibri"/>
                <w:i/>
                <w:iCs/>
                <w:color w:val="000000"/>
                <w:sz w:val="20"/>
                <w:szCs w:val="20"/>
              </w:rPr>
              <w:t>47%</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n.a.</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67</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auto"/>
              <w:right w:val="nil"/>
            </w:tcBorders>
            <w:shd w:val="clear" w:color="DCE6F1" w:fill="DCE6F1"/>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Adygea Republic</w:t>
            </w:r>
          </w:p>
        </w:tc>
        <w:tc>
          <w:tcPr>
            <w:tcW w:w="1417" w:type="dxa"/>
            <w:tcBorders>
              <w:top w:val="single" w:sz="4" w:space="0" w:color="95B3D7"/>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7 800</w:t>
            </w:r>
          </w:p>
        </w:tc>
        <w:tc>
          <w:tcPr>
            <w:tcW w:w="1276" w:type="dxa"/>
            <w:tcBorders>
              <w:top w:val="single" w:sz="4" w:space="0" w:color="95B3D7"/>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450</w:t>
            </w:r>
          </w:p>
        </w:tc>
        <w:tc>
          <w:tcPr>
            <w:tcW w:w="992"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53%</w:t>
            </w:r>
          </w:p>
        </w:tc>
        <w:tc>
          <w:tcPr>
            <w:tcW w:w="992" w:type="dxa"/>
            <w:tcBorders>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47%</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n.a.</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i/>
                <w:iCs/>
                <w:color w:val="000000"/>
                <w:sz w:val="20"/>
                <w:szCs w:val="20"/>
              </w:rPr>
            </w:pPr>
            <w:r w:rsidRPr="00425060">
              <w:rPr>
                <w:rFonts w:ascii="Calibri" w:eastAsia="Times New Roman" w:hAnsi="Calibri"/>
                <w:i/>
                <w:iCs/>
                <w:color w:val="000000"/>
                <w:sz w:val="20"/>
                <w:szCs w:val="20"/>
              </w:rPr>
              <w:t>57</w:t>
            </w:r>
          </w:p>
        </w:tc>
      </w:tr>
      <w:tr w:rsidR="005072B1" w:rsidRPr="001368E0" w:rsidTr="005072B1">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TURKEY</w:t>
            </w: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112DE1" w:rsidP="005072B1">
            <w:pPr>
              <w:spacing w:before="120" w:after="0" w:line="252" w:lineRule="auto"/>
              <w:jc w:val="both"/>
              <w:rPr>
                <w:rFonts w:ascii="Calibri" w:eastAsia="Times New Roman" w:hAnsi="Calibri"/>
                <w:color w:val="000000"/>
                <w:sz w:val="20"/>
                <w:szCs w:val="20"/>
              </w:rPr>
            </w:pPr>
            <w:r w:rsidRPr="000174E4">
              <w:rPr>
                <w:rFonts w:ascii="Calibri" w:eastAsia="Times New Roman" w:hAnsi="Calibri"/>
                <w:color w:val="000000"/>
                <w:sz w:val="20"/>
                <w:szCs w:val="20"/>
              </w:rPr>
              <w:t>İstanbul</w:t>
            </w:r>
            <w:r w:rsidR="005072B1" w:rsidRPr="00425060">
              <w:rPr>
                <w:rFonts w:ascii="Calibri" w:eastAsia="Times New Roman" w:hAnsi="Calibri"/>
                <w:color w:val="000000"/>
                <w:sz w:val="20"/>
                <w:szCs w:val="20"/>
              </w:rPr>
              <w:t xml:space="preserve"> (TR10)</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5 196</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13 855</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99%</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2666</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253676" w:rsidP="005072B1">
            <w:pPr>
              <w:spacing w:before="120" w:after="0" w:line="252" w:lineRule="auto"/>
              <w:jc w:val="both"/>
              <w:rPr>
                <w:rFonts w:ascii="Calibri" w:eastAsia="Times New Roman" w:hAnsi="Calibri"/>
                <w:color w:val="000000"/>
                <w:sz w:val="20"/>
                <w:szCs w:val="20"/>
              </w:rPr>
            </w:pPr>
            <w:r w:rsidRPr="00253676">
              <w:rPr>
                <w:rFonts w:ascii="Calibri" w:eastAsia="Times New Roman" w:hAnsi="Calibri"/>
                <w:color w:val="000000"/>
                <w:sz w:val="20"/>
                <w:szCs w:val="20"/>
              </w:rPr>
              <w:t>Tekirdağ</w:t>
            </w:r>
            <w:r>
              <w:rPr>
                <w:rFonts w:ascii="Calibri" w:eastAsia="Times New Roman" w:hAnsi="Calibri"/>
                <w:color w:val="000000"/>
                <w:sz w:val="20"/>
                <w:szCs w:val="20"/>
              </w:rPr>
              <w:t xml:space="preserve">, </w:t>
            </w:r>
            <w:r w:rsidRPr="00253676">
              <w:rPr>
                <w:rFonts w:ascii="Calibri" w:eastAsia="Times New Roman" w:hAnsi="Calibri"/>
                <w:color w:val="000000"/>
                <w:sz w:val="20"/>
                <w:szCs w:val="20"/>
              </w:rPr>
              <w:t xml:space="preserve">Edirne, Kırklareli </w:t>
            </w:r>
            <w:r>
              <w:rPr>
                <w:rFonts w:ascii="Calibri" w:eastAsia="Times New Roman" w:hAnsi="Calibri"/>
                <w:color w:val="000000"/>
                <w:sz w:val="20"/>
                <w:szCs w:val="20"/>
              </w:rPr>
              <w:t xml:space="preserve"> </w:t>
            </w:r>
            <w:r w:rsidR="005072B1" w:rsidRPr="00425060">
              <w:rPr>
                <w:rFonts w:ascii="Calibri" w:eastAsia="Times New Roman" w:hAnsi="Calibri"/>
                <w:color w:val="000000"/>
                <w:sz w:val="20"/>
                <w:szCs w:val="20"/>
              </w:rPr>
              <w:t>(TR21)</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18 665</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1 593</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66%</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34%</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85</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253676" w:rsidP="005072B1">
            <w:pPr>
              <w:spacing w:before="120" w:after="0" w:line="252" w:lineRule="auto"/>
              <w:jc w:val="both"/>
              <w:rPr>
                <w:rFonts w:ascii="Calibri" w:eastAsia="Times New Roman" w:hAnsi="Calibri"/>
                <w:color w:val="000000"/>
                <w:sz w:val="20"/>
                <w:szCs w:val="20"/>
              </w:rPr>
            </w:pPr>
            <w:r w:rsidRPr="00253676">
              <w:rPr>
                <w:rFonts w:ascii="Calibri" w:eastAsia="Times New Roman" w:hAnsi="Calibri"/>
                <w:color w:val="000000"/>
                <w:sz w:val="20"/>
                <w:szCs w:val="20"/>
              </w:rPr>
              <w:t xml:space="preserve">Kocaeli, Sakarya, Düzce, Bolu, Yalova </w:t>
            </w:r>
            <w:r w:rsidR="005072B1" w:rsidRPr="00425060">
              <w:rPr>
                <w:rFonts w:ascii="Calibri" w:eastAsia="Times New Roman" w:hAnsi="Calibri"/>
                <w:color w:val="000000"/>
                <w:sz w:val="20"/>
                <w:szCs w:val="20"/>
              </w:rPr>
              <w:t>(TR42)</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20 184</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3 376</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76%</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24%</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5</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167</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253676" w:rsidP="005072B1">
            <w:pPr>
              <w:spacing w:before="120" w:after="0" w:line="252" w:lineRule="auto"/>
              <w:jc w:val="both"/>
              <w:rPr>
                <w:rFonts w:ascii="Calibri" w:eastAsia="Times New Roman" w:hAnsi="Calibri"/>
                <w:color w:val="000000"/>
                <w:sz w:val="20"/>
                <w:szCs w:val="20"/>
              </w:rPr>
            </w:pPr>
            <w:r w:rsidRPr="00253676">
              <w:rPr>
                <w:rFonts w:ascii="Calibri" w:eastAsia="Times New Roman" w:hAnsi="Calibri"/>
                <w:color w:val="000000"/>
                <w:sz w:val="20"/>
                <w:szCs w:val="20"/>
              </w:rPr>
              <w:t>Zonguldak, Karabük, Bartın</w:t>
            </w:r>
            <w:r w:rsidR="005072B1" w:rsidRPr="00425060">
              <w:rPr>
                <w:rFonts w:ascii="Calibri" w:eastAsia="Times New Roman" w:hAnsi="Calibri"/>
                <w:color w:val="000000"/>
                <w:sz w:val="20"/>
                <w:szCs w:val="20"/>
              </w:rPr>
              <w:t xml:space="preserve"> (TR81)</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9 493</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1 020</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52%</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48%</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107</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253676" w:rsidP="005072B1">
            <w:pPr>
              <w:spacing w:before="120" w:after="0" w:line="252" w:lineRule="auto"/>
              <w:jc w:val="both"/>
              <w:rPr>
                <w:rFonts w:ascii="Calibri" w:eastAsia="Times New Roman" w:hAnsi="Calibri"/>
                <w:color w:val="000000"/>
                <w:sz w:val="20"/>
                <w:szCs w:val="20"/>
              </w:rPr>
            </w:pPr>
            <w:r w:rsidRPr="00253676">
              <w:rPr>
                <w:rFonts w:ascii="Calibri" w:eastAsia="Times New Roman" w:hAnsi="Calibri"/>
                <w:color w:val="000000"/>
                <w:sz w:val="20"/>
                <w:szCs w:val="20"/>
              </w:rPr>
              <w:t>Kastamonu, Çankırı, Sinop</w:t>
            </w:r>
            <w:r w:rsidR="005072B1" w:rsidRPr="00425060">
              <w:rPr>
                <w:rFonts w:ascii="Calibri" w:eastAsia="Times New Roman" w:hAnsi="Calibri"/>
                <w:color w:val="000000"/>
                <w:sz w:val="20"/>
                <w:szCs w:val="20"/>
              </w:rPr>
              <w:t xml:space="preserve"> (TR82)</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26 435</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746</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35%</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65%</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28</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682784" w:rsidRDefault="00253676" w:rsidP="005072B1">
            <w:pPr>
              <w:spacing w:before="120" w:after="0" w:line="252" w:lineRule="auto"/>
              <w:jc w:val="both"/>
              <w:rPr>
                <w:rFonts w:ascii="Calibri" w:eastAsia="Times New Roman" w:hAnsi="Calibri"/>
                <w:color w:val="000000"/>
                <w:sz w:val="20"/>
                <w:szCs w:val="20"/>
                <w:lang w:val="en-GB"/>
              </w:rPr>
            </w:pPr>
            <w:r w:rsidRPr="00682784">
              <w:rPr>
                <w:rFonts w:ascii="Calibri" w:eastAsia="Times New Roman" w:hAnsi="Calibri"/>
                <w:color w:val="000000"/>
                <w:sz w:val="20"/>
                <w:szCs w:val="20"/>
                <w:lang w:val="en-GB"/>
              </w:rPr>
              <w:t>Samsun, Tokat, Çorum, Amasya</w:t>
            </w:r>
            <w:r w:rsidR="005072B1" w:rsidRPr="00682784">
              <w:rPr>
                <w:rFonts w:ascii="Calibri" w:eastAsia="Times New Roman" w:hAnsi="Calibri"/>
                <w:color w:val="000000"/>
                <w:sz w:val="20"/>
                <w:szCs w:val="20"/>
                <w:lang w:val="en-GB"/>
              </w:rPr>
              <w:t xml:space="preserve"> (TR83)</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37 524</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2 718</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60%</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40%</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72</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auto"/>
              <w:right w:val="nil"/>
            </w:tcBorders>
            <w:shd w:val="clear" w:color="auto" w:fill="auto"/>
            <w:noWrap/>
            <w:vAlign w:val="center"/>
            <w:hideMark/>
          </w:tcPr>
          <w:p w:rsidR="005072B1" w:rsidRPr="00425060" w:rsidRDefault="00253676" w:rsidP="005072B1">
            <w:pPr>
              <w:spacing w:before="120" w:after="0" w:line="252" w:lineRule="auto"/>
              <w:jc w:val="both"/>
              <w:rPr>
                <w:rFonts w:ascii="Calibri" w:eastAsia="Times New Roman" w:hAnsi="Calibri"/>
                <w:color w:val="000000"/>
                <w:sz w:val="20"/>
                <w:szCs w:val="20"/>
              </w:rPr>
            </w:pPr>
            <w:r w:rsidRPr="00253676">
              <w:rPr>
                <w:rFonts w:ascii="Calibri" w:eastAsia="Times New Roman" w:hAnsi="Calibri"/>
                <w:color w:val="000000"/>
                <w:sz w:val="20"/>
                <w:szCs w:val="20"/>
              </w:rPr>
              <w:t>Trabzon, Ordu, Giresun, Rize, Artvin, Gümüşhane</w:t>
            </w:r>
            <w:r w:rsidR="005072B1" w:rsidRPr="00425060">
              <w:rPr>
                <w:rFonts w:ascii="Calibri" w:eastAsia="Times New Roman" w:hAnsi="Calibri"/>
                <w:color w:val="000000"/>
                <w:sz w:val="20"/>
                <w:szCs w:val="20"/>
              </w:rPr>
              <w:t xml:space="preserve"> (TR90)</w:t>
            </w:r>
          </w:p>
        </w:tc>
        <w:tc>
          <w:tcPr>
            <w:tcW w:w="1417" w:type="dxa"/>
            <w:tcBorders>
              <w:top w:val="single" w:sz="4" w:space="0" w:color="95B3D7"/>
              <w:left w:val="single" w:sz="4" w:space="0" w:color="auto"/>
              <w:bottom w:val="single" w:sz="4" w:space="0" w:color="auto"/>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35 174</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2 545</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38%</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62%</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72</w:t>
            </w:r>
          </w:p>
        </w:tc>
      </w:tr>
      <w:tr w:rsidR="005072B1" w:rsidRPr="001368E0" w:rsidTr="005072B1">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UKRAINE</w:t>
            </w: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Odeska</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33 300</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2 395</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67%</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33%</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72</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Mykolaiv</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24 585</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1 174</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68%</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32%</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48</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Kherson</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28 500</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1 078</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61%</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39%</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5</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38</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Zaporosh'ye Oblast</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27 200</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1 785</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77%</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23%</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66</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Donetsk Oblast</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26 517</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4 375</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91%</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9%</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165</w:t>
            </w:r>
          </w:p>
        </w:tc>
      </w:tr>
      <w:tr w:rsidR="005072B1" w:rsidRPr="001368E0"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Crimea Republic</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26 081</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1 965</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63%</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37%</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11</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75</w:t>
            </w:r>
          </w:p>
        </w:tc>
      </w:tr>
      <w:tr w:rsidR="005072B1" w:rsidRPr="001368E0" w:rsidTr="005072B1">
        <w:trPr>
          <w:trHeight w:val="280"/>
        </w:trPr>
        <w:tc>
          <w:tcPr>
            <w:tcW w:w="1300" w:type="dxa"/>
            <w:tcBorders>
              <w:top w:val="single" w:sz="4" w:space="0" w:color="95B3D7"/>
              <w:left w:val="single" w:sz="4" w:space="0" w:color="auto"/>
              <w:bottom w:val="single" w:sz="4" w:space="0" w:color="auto"/>
              <w:right w:val="nil"/>
            </w:tcBorders>
            <w:shd w:val="clear" w:color="DCE6F1" w:fill="DCE6F1"/>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 </w:t>
            </w:r>
          </w:p>
        </w:tc>
        <w:tc>
          <w:tcPr>
            <w:tcW w:w="1976" w:type="dxa"/>
            <w:tcBorders>
              <w:top w:val="single" w:sz="4" w:space="0" w:color="95B3D7"/>
              <w:left w:val="single" w:sz="4" w:space="0" w:color="auto"/>
              <w:bottom w:val="single" w:sz="4" w:space="0" w:color="auto"/>
              <w:right w:val="nil"/>
            </w:tcBorders>
            <w:shd w:val="clear" w:color="DCE6F1" w:fill="DCE6F1"/>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Sevastopol</w:t>
            </w:r>
          </w:p>
        </w:tc>
        <w:tc>
          <w:tcPr>
            <w:tcW w:w="1417" w:type="dxa"/>
            <w:tcBorders>
              <w:top w:val="single" w:sz="4" w:space="0" w:color="95B3D7"/>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8 635</w:t>
            </w:r>
          </w:p>
        </w:tc>
        <w:tc>
          <w:tcPr>
            <w:tcW w:w="1276" w:type="dxa"/>
            <w:tcBorders>
              <w:top w:val="single" w:sz="4" w:space="0" w:color="95B3D7"/>
              <w:left w:val="single" w:sz="4" w:space="0" w:color="auto"/>
              <w:bottom w:val="single" w:sz="4" w:space="0" w:color="auto"/>
              <w:right w:val="nil"/>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383</w:t>
            </w:r>
          </w:p>
        </w:tc>
        <w:tc>
          <w:tcPr>
            <w:tcW w:w="992"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94%</w:t>
            </w:r>
          </w:p>
        </w:tc>
        <w:tc>
          <w:tcPr>
            <w:tcW w:w="992"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6%</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1</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5072B1" w:rsidRPr="00425060" w:rsidRDefault="005072B1" w:rsidP="005072B1">
            <w:pPr>
              <w:spacing w:before="120" w:after="0" w:line="252" w:lineRule="auto"/>
              <w:jc w:val="right"/>
              <w:rPr>
                <w:rFonts w:ascii="Calibri" w:eastAsia="Times New Roman" w:hAnsi="Calibri"/>
                <w:color w:val="000000"/>
                <w:sz w:val="20"/>
                <w:szCs w:val="20"/>
              </w:rPr>
            </w:pPr>
            <w:r w:rsidRPr="00425060">
              <w:rPr>
                <w:rFonts w:ascii="Calibri" w:eastAsia="Times New Roman" w:hAnsi="Calibri"/>
                <w:color w:val="000000"/>
                <w:sz w:val="20"/>
                <w:szCs w:val="20"/>
              </w:rPr>
              <w:t>444</w:t>
            </w:r>
          </w:p>
        </w:tc>
      </w:tr>
      <w:tr w:rsidR="005072B1" w:rsidRPr="001368E0" w:rsidTr="005072B1">
        <w:trPr>
          <w:trHeight w:val="300"/>
        </w:trPr>
        <w:tc>
          <w:tcPr>
            <w:tcW w:w="1300" w:type="dxa"/>
            <w:tcBorders>
              <w:top w:val="single" w:sz="4" w:space="0" w:color="95B3D7"/>
              <w:left w:val="single" w:sz="4" w:space="0" w:color="auto"/>
              <w:bottom w:val="single" w:sz="4" w:space="0" w:color="auto"/>
              <w:right w:val="single" w:sz="4" w:space="0" w:color="auto"/>
            </w:tcBorders>
            <w:shd w:val="clear" w:color="auto" w:fill="auto"/>
            <w:noWrap/>
            <w:vAlign w:val="center"/>
            <w:hideMark/>
          </w:tcPr>
          <w:p w:rsidR="005072B1" w:rsidRPr="00425060" w:rsidRDefault="005072B1" w:rsidP="005072B1">
            <w:pPr>
              <w:spacing w:before="120" w:after="0" w:line="252" w:lineRule="auto"/>
              <w:rPr>
                <w:rFonts w:ascii="Calibri" w:eastAsia="Times New Roman" w:hAnsi="Calibri"/>
                <w:b/>
                <w:bCs/>
                <w:color w:val="000000"/>
                <w:sz w:val="20"/>
                <w:szCs w:val="20"/>
              </w:rPr>
            </w:pPr>
            <w:r w:rsidRPr="00425060">
              <w:rPr>
                <w:rFonts w:ascii="Calibri" w:eastAsia="Times New Roman" w:hAnsi="Calibri"/>
                <w:b/>
                <w:bCs/>
                <w:color w:val="000000"/>
                <w:sz w:val="20"/>
                <w:szCs w:val="20"/>
              </w:rPr>
              <w:t>TOTAL</w:t>
            </w:r>
          </w:p>
        </w:tc>
        <w:tc>
          <w:tcPr>
            <w:tcW w:w="1976" w:type="dxa"/>
            <w:tcBorders>
              <w:top w:val="single" w:sz="4" w:space="0" w:color="95B3D7"/>
              <w:left w:val="single" w:sz="4" w:space="0" w:color="auto"/>
              <w:bottom w:val="single" w:sz="4" w:space="0" w:color="auto"/>
              <w:right w:val="nil"/>
            </w:tcBorders>
            <w:shd w:val="clear" w:color="auto" w:fill="auto"/>
            <w:noWrap/>
            <w:vAlign w:val="center"/>
            <w:hideMark/>
          </w:tcPr>
          <w:p w:rsidR="005072B1" w:rsidRPr="00425060" w:rsidRDefault="005072B1" w:rsidP="005072B1">
            <w:pPr>
              <w:spacing w:before="120" w:after="0" w:line="252" w:lineRule="auto"/>
              <w:jc w:val="both"/>
              <w:rPr>
                <w:rFonts w:ascii="Calibri" w:eastAsia="Times New Roman" w:hAnsi="Calibri"/>
                <w:color w:val="000000"/>
                <w:sz w:val="20"/>
                <w:szCs w:val="20"/>
              </w:rPr>
            </w:pPr>
            <w:r w:rsidRPr="00425060">
              <w:rPr>
                <w:rFonts w:ascii="Calibri" w:eastAsia="Times New Roman" w:hAnsi="Calibri"/>
                <w:color w:val="000000"/>
                <w:sz w:val="20"/>
                <w:szCs w:val="20"/>
              </w:rPr>
              <w:t> </w:t>
            </w:r>
          </w:p>
        </w:tc>
        <w:tc>
          <w:tcPr>
            <w:tcW w:w="1417" w:type="dxa"/>
            <w:tcBorders>
              <w:top w:val="single" w:sz="4" w:space="0" w:color="95B3D7"/>
              <w:left w:val="single" w:sz="4" w:space="0" w:color="auto"/>
              <w:bottom w:val="single" w:sz="4" w:space="0" w:color="auto"/>
              <w:right w:val="nil"/>
            </w:tcBorders>
            <w:shd w:val="clear" w:color="auto" w:fill="auto"/>
            <w:noWrap/>
            <w:vAlign w:val="center"/>
            <w:hideMark/>
          </w:tcPr>
          <w:p w:rsidR="005072B1" w:rsidRPr="00425060" w:rsidRDefault="005072B1" w:rsidP="005072B1">
            <w:pPr>
              <w:spacing w:before="120" w:after="0" w:line="252" w:lineRule="auto"/>
              <w:jc w:val="right"/>
              <w:rPr>
                <w:rFonts w:ascii="Calibri" w:eastAsia="Times New Roman" w:hAnsi="Calibri"/>
                <w:b/>
                <w:bCs/>
                <w:color w:val="000000"/>
                <w:sz w:val="20"/>
                <w:szCs w:val="20"/>
              </w:rPr>
            </w:pPr>
            <w:r w:rsidRPr="00425060">
              <w:rPr>
                <w:rFonts w:ascii="Calibri" w:eastAsia="Times New Roman" w:hAnsi="Calibri"/>
                <w:b/>
                <w:bCs/>
                <w:color w:val="000000"/>
                <w:sz w:val="20"/>
                <w:szCs w:val="20"/>
              </w:rPr>
              <w:t>834 722</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b/>
                <w:bCs/>
                <w:color w:val="000000"/>
                <w:sz w:val="20"/>
                <w:szCs w:val="20"/>
              </w:rPr>
            </w:pPr>
            <w:r>
              <w:rPr>
                <w:rFonts w:ascii="Calibri" w:eastAsia="Times New Roman" w:hAnsi="Calibri"/>
                <w:b/>
                <w:bCs/>
                <w:color w:val="000000"/>
                <w:sz w:val="20"/>
                <w:szCs w:val="20"/>
              </w:rPr>
              <w:t>76 404</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b/>
                <w:bCs/>
                <w:color w:val="000000"/>
                <w:sz w:val="20"/>
                <w:szCs w:val="20"/>
              </w:rPr>
            </w:pPr>
            <w:r w:rsidRPr="00425060">
              <w:rPr>
                <w:rFonts w:ascii="Calibri" w:eastAsia="Times New Roman" w:hAnsi="Calibri"/>
                <w:b/>
                <w:bCs/>
                <w:color w:val="000000"/>
                <w:sz w:val="20"/>
                <w:szCs w:val="20"/>
              </w:rPr>
              <w:t>64%</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425060" w:rsidRDefault="005072B1" w:rsidP="005072B1">
            <w:pPr>
              <w:spacing w:before="120" w:after="0" w:line="252" w:lineRule="auto"/>
              <w:jc w:val="right"/>
              <w:rPr>
                <w:rFonts w:ascii="Calibri" w:eastAsia="Times New Roman" w:hAnsi="Calibri"/>
                <w:b/>
                <w:bCs/>
                <w:color w:val="000000"/>
                <w:sz w:val="20"/>
                <w:szCs w:val="20"/>
              </w:rPr>
            </w:pPr>
            <w:r w:rsidRPr="00425060">
              <w:rPr>
                <w:rFonts w:ascii="Calibri" w:eastAsia="Times New Roman" w:hAnsi="Calibri"/>
                <w:b/>
                <w:bCs/>
                <w:color w:val="000000"/>
                <w:sz w:val="20"/>
                <w:szCs w:val="20"/>
              </w:rPr>
              <w:t>36%</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385F7A" w:rsidRDefault="005072B1" w:rsidP="005072B1">
            <w:pPr>
              <w:spacing w:before="120" w:after="0" w:line="252" w:lineRule="auto"/>
              <w:jc w:val="right"/>
              <w:rPr>
                <w:rFonts w:ascii="Calibri" w:eastAsia="Times New Roman" w:hAnsi="Calibri"/>
                <w:b/>
                <w:color w:val="000000"/>
                <w:sz w:val="20"/>
                <w:szCs w:val="20"/>
              </w:rPr>
            </w:pPr>
            <w:r w:rsidRPr="00425060">
              <w:rPr>
                <w:rFonts w:ascii="Calibri" w:eastAsia="Times New Roman" w:hAnsi="Calibri"/>
                <w:color w:val="000000"/>
                <w:sz w:val="20"/>
                <w:szCs w:val="20"/>
              </w:rPr>
              <w:t> </w:t>
            </w:r>
            <w:r w:rsidRPr="00385F7A">
              <w:rPr>
                <w:rFonts w:ascii="Calibri" w:eastAsia="Times New Roman" w:hAnsi="Calibri"/>
                <w:b/>
                <w:color w:val="000000"/>
                <w:sz w:val="20"/>
                <w:szCs w:val="20"/>
              </w:rPr>
              <w:t>200</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5072B1" w:rsidRPr="00B330E4" w:rsidRDefault="005072B1" w:rsidP="005072B1">
            <w:pPr>
              <w:spacing w:before="120" w:after="0" w:line="252" w:lineRule="auto"/>
              <w:jc w:val="right"/>
              <w:rPr>
                <w:rFonts w:ascii="Calibri" w:eastAsia="Times New Roman" w:hAnsi="Calibri"/>
                <w:b/>
                <w:bCs/>
                <w:i/>
                <w:color w:val="000000"/>
                <w:sz w:val="20"/>
                <w:szCs w:val="20"/>
              </w:rPr>
            </w:pPr>
            <w:r w:rsidRPr="00B330E4">
              <w:rPr>
                <w:rFonts w:ascii="Calibri" w:eastAsia="Times New Roman" w:hAnsi="Calibri"/>
                <w:b/>
                <w:bCs/>
                <w:i/>
                <w:color w:val="000000"/>
                <w:sz w:val="20"/>
                <w:szCs w:val="20"/>
              </w:rPr>
              <w:t>91</w:t>
            </w:r>
          </w:p>
        </w:tc>
      </w:tr>
    </w:tbl>
    <w:p w:rsidR="005072B1" w:rsidRPr="004B58D3" w:rsidRDefault="005072B1" w:rsidP="005072B1">
      <w:pPr>
        <w:spacing w:before="120" w:after="0" w:line="252" w:lineRule="auto"/>
        <w:rPr>
          <w:rFonts w:eastAsia="Times New Roman"/>
          <w:i/>
          <w:color w:val="000000"/>
          <w:sz w:val="22"/>
          <w:szCs w:val="22"/>
          <w:lang w:val="en-GB"/>
        </w:rPr>
      </w:pPr>
      <w:r w:rsidRPr="004B58D3">
        <w:rPr>
          <w:rFonts w:eastAsia="Times New Roman"/>
          <w:i/>
          <w:color w:val="000000"/>
          <w:sz w:val="22"/>
          <w:szCs w:val="22"/>
          <w:lang w:val="en-GB"/>
        </w:rPr>
        <w:t>Table 1. Overview of the Black Sea Basin eligible areas</w:t>
      </w:r>
      <w:r>
        <w:rPr>
          <w:rStyle w:val="EndnoteReference"/>
          <w:rFonts w:eastAsia="Times New Roman"/>
          <w:i/>
          <w:color w:val="000000"/>
          <w:sz w:val="22"/>
          <w:szCs w:val="22"/>
        </w:rPr>
        <w:endnoteReference w:id="2"/>
      </w:r>
    </w:p>
    <w:p w:rsidR="005072B1" w:rsidRPr="00002063" w:rsidRDefault="005072B1" w:rsidP="001024F6">
      <w:pPr>
        <w:spacing w:before="240" w:after="120" w:line="264" w:lineRule="auto"/>
        <w:rPr>
          <w:b/>
          <w:bCs/>
          <w:lang w:val="en-GB"/>
        </w:rPr>
      </w:pPr>
      <w:bookmarkStart w:id="23" w:name="_Toc246127419"/>
      <w:r w:rsidRPr="00002063">
        <w:rPr>
          <w:b/>
          <w:bCs/>
          <w:lang w:val="en-GB"/>
        </w:rPr>
        <w:t>Demographic trends</w:t>
      </w:r>
      <w:bookmarkEnd w:id="23"/>
    </w:p>
    <w:p w:rsidR="005072B1" w:rsidRPr="005F6506" w:rsidRDefault="005072B1" w:rsidP="005F6506">
      <w:pPr>
        <w:spacing w:before="120" w:after="0" w:line="252" w:lineRule="auto"/>
        <w:jc w:val="both"/>
        <w:rPr>
          <w:sz w:val="22"/>
          <w:szCs w:val="22"/>
          <w:lang w:val="en-GB"/>
        </w:rPr>
      </w:pPr>
      <w:r w:rsidRPr="004B58D3">
        <w:rPr>
          <w:sz w:val="22"/>
          <w:szCs w:val="22"/>
          <w:lang w:val="en-GB"/>
        </w:rPr>
        <w:t>In 2012 the ENI CBC programme area had a population of 76.4 million people, that is an increase of 2 million since 2005 and the previous ENPI CBC programming period</w:t>
      </w:r>
      <w:r w:rsidRPr="004D189B">
        <w:rPr>
          <w:rStyle w:val="EndnoteReference"/>
          <w:sz w:val="22"/>
          <w:szCs w:val="22"/>
        </w:rPr>
        <w:endnoteReference w:id="3"/>
      </w:r>
      <w:r w:rsidRPr="004B58D3">
        <w:rPr>
          <w:sz w:val="22"/>
          <w:szCs w:val="22"/>
          <w:lang w:val="en-GB"/>
        </w:rPr>
        <w:t xml:space="preserve">. This overall growth reveals nonetheless highly disparate demographic trends among participating countries (see figure 1 below). While on one hand </w:t>
      </w:r>
      <w:r>
        <w:rPr>
          <w:sz w:val="22"/>
          <w:szCs w:val="22"/>
          <w:lang w:val="en-GB"/>
        </w:rPr>
        <w:t xml:space="preserve">in </w:t>
      </w:r>
      <w:r w:rsidRPr="004B58D3">
        <w:rPr>
          <w:sz w:val="22"/>
          <w:szCs w:val="22"/>
          <w:lang w:val="en-GB"/>
        </w:rPr>
        <w:t>Azerbaijan and Turkey eligible area population grew steadily, respectivel</w:t>
      </w:r>
      <w:r w:rsidR="00041F57">
        <w:rPr>
          <w:sz w:val="22"/>
          <w:szCs w:val="22"/>
          <w:lang w:val="en-GB"/>
        </w:rPr>
        <w:t>y by 0.75 million and 2 million</w:t>
      </w:r>
      <w:r w:rsidRPr="004B58D3">
        <w:rPr>
          <w:sz w:val="22"/>
          <w:szCs w:val="22"/>
          <w:lang w:val="en-GB"/>
        </w:rPr>
        <w:t xml:space="preserve"> over the period, on the other Armenia, Bulgaria, Romania and Ukrainian eligible areas</w:t>
      </w:r>
      <w:r w:rsidRPr="004D189B">
        <w:rPr>
          <w:rStyle w:val="FootnoteReference"/>
          <w:sz w:val="22"/>
          <w:szCs w:val="22"/>
        </w:rPr>
        <w:footnoteReference w:id="22"/>
      </w:r>
      <w:r w:rsidRPr="004B58D3">
        <w:rPr>
          <w:sz w:val="22"/>
          <w:szCs w:val="22"/>
          <w:lang w:val="en-GB"/>
        </w:rPr>
        <w:t xml:space="preserve"> recorded significant</w:t>
      </w:r>
      <w:r w:rsidRPr="004D189B">
        <w:rPr>
          <w:rStyle w:val="FootnoteReference"/>
          <w:sz w:val="22"/>
          <w:szCs w:val="22"/>
        </w:rPr>
        <w:footnoteReference w:id="23"/>
      </w:r>
      <w:r w:rsidRPr="004B58D3">
        <w:rPr>
          <w:sz w:val="22"/>
          <w:szCs w:val="22"/>
          <w:lang w:val="en-GB"/>
        </w:rPr>
        <w:t xml:space="preserve"> population losses</w:t>
      </w:r>
      <w:r w:rsidRPr="004D189B">
        <w:rPr>
          <w:rStyle w:val="EndnoteReference"/>
          <w:sz w:val="22"/>
          <w:szCs w:val="22"/>
        </w:rPr>
        <w:endnoteReference w:id="4"/>
      </w:r>
      <w:r w:rsidRPr="004B58D3">
        <w:rPr>
          <w:sz w:val="22"/>
          <w:szCs w:val="22"/>
          <w:lang w:val="en-GB"/>
        </w:rPr>
        <w:t>. Both the uneven fertility rates – from 2.1 birth</w:t>
      </w:r>
      <w:r>
        <w:rPr>
          <w:sz w:val="22"/>
          <w:szCs w:val="22"/>
          <w:lang w:val="en-GB"/>
        </w:rPr>
        <w:t>s</w:t>
      </w:r>
      <w:r w:rsidRPr="004B58D3">
        <w:rPr>
          <w:sz w:val="22"/>
          <w:szCs w:val="22"/>
          <w:lang w:val="en-GB"/>
        </w:rPr>
        <w:t xml:space="preserve"> per woman on average in Turkey to 1.3 in Romania</w:t>
      </w:r>
      <w:r w:rsidRPr="004D189B">
        <w:rPr>
          <w:rStyle w:val="EndnoteReference"/>
          <w:sz w:val="22"/>
          <w:szCs w:val="22"/>
        </w:rPr>
        <w:endnoteReference w:id="5"/>
      </w:r>
      <w:r w:rsidRPr="004B58D3">
        <w:rPr>
          <w:sz w:val="22"/>
          <w:szCs w:val="22"/>
          <w:lang w:val="en-GB"/>
        </w:rPr>
        <w:t xml:space="preserve"> – an</w:t>
      </w:r>
      <w:r>
        <w:rPr>
          <w:sz w:val="22"/>
          <w:szCs w:val="22"/>
          <w:lang w:val="en-GB"/>
        </w:rPr>
        <w:t xml:space="preserve">d the migration trends </w:t>
      </w:r>
      <w:r w:rsidRPr="004B58D3">
        <w:rPr>
          <w:sz w:val="22"/>
          <w:szCs w:val="22"/>
          <w:lang w:val="en-GB"/>
        </w:rPr>
        <w:t>explain th</w:t>
      </w:r>
      <w:r>
        <w:rPr>
          <w:sz w:val="22"/>
          <w:szCs w:val="22"/>
          <w:lang w:val="en-GB"/>
        </w:rPr>
        <w:t>e</w:t>
      </w:r>
      <w:r w:rsidRPr="004B58D3">
        <w:rPr>
          <w:sz w:val="22"/>
          <w:szCs w:val="22"/>
          <w:lang w:val="en-GB"/>
        </w:rPr>
        <w:t xml:space="preserve">se disparities. </w:t>
      </w:r>
    </w:p>
    <w:p w:rsidR="005072B1" w:rsidRDefault="006102F6" w:rsidP="005072B1">
      <w:pPr>
        <w:pStyle w:val="Caption"/>
        <w:spacing w:before="120" w:after="0" w:line="252" w:lineRule="auto"/>
        <w:jc w:val="left"/>
        <w:rPr>
          <w:sz w:val="22"/>
          <w:szCs w:val="22"/>
          <w:lang w:val="en-GB"/>
        </w:rPr>
      </w:pPr>
      <w:r>
        <w:rPr>
          <w:noProof/>
          <w:sz w:val="22"/>
          <w:szCs w:val="22"/>
          <w:lang w:val="ro-RO" w:eastAsia="ro-RO"/>
        </w:rPr>
        <w:drawing>
          <wp:inline distT="0" distB="0" distL="0" distR="0">
            <wp:extent cx="6905625" cy="2447925"/>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srcRect/>
                    <a:stretch>
                      <a:fillRect/>
                    </a:stretch>
                  </pic:blipFill>
                  <pic:spPr bwMode="auto">
                    <a:xfrm>
                      <a:off x="0" y="0"/>
                      <a:ext cx="6905625" cy="2447925"/>
                    </a:xfrm>
                    <a:prstGeom prst="rect">
                      <a:avLst/>
                    </a:prstGeom>
                    <a:noFill/>
                    <a:ln w="9525">
                      <a:noFill/>
                      <a:miter lim="800000"/>
                      <a:headEnd/>
                      <a:tailEnd/>
                    </a:ln>
                  </pic:spPr>
                </pic:pic>
              </a:graphicData>
            </a:graphic>
          </wp:inline>
        </w:drawing>
      </w:r>
    </w:p>
    <w:p w:rsidR="005072B1" w:rsidRPr="004B58D3" w:rsidRDefault="005072B1" w:rsidP="005072B1">
      <w:pPr>
        <w:pStyle w:val="Caption"/>
        <w:spacing w:before="120" w:after="0" w:line="252" w:lineRule="auto"/>
        <w:jc w:val="left"/>
        <w:rPr>
          <w:sz w:val="22"/>
          <w:szCs w:val="22"/>
          <w:lang w:val="en-GB"/>
        </w:rPr>
      </w:pPr>
      <w:r w:rsidRPr="000D3441">
        <w:rPr>
          <w:sz w:val="22"/>
          <w:szCs w:val="22"/>
          <w:lang w:val="en-GB"/>
        </w:rPr>
        <w:t xml:space="preserve">Figure </w:t>
      </w:r>
      <w:r w:rsidRPr="000D3441">
        <w:rPr>
          <w:sz w:val="22"/>
          <w:szCs w:val="22"/>
        </w:rPr>
        <w:fldChar w:fldCharType="begin"/>
      </w:r>
      <w:r w:rsidRPr="000D3441">
        <w:rPr>
          <w:sz w:val="22"/>
          <w:szCs w:val="22"/>
          <w:lang w:val="en-GB"/>
        </w:rPr>
        <w:instrText xml:space="preserve"> </w:instrText>
      </w:r>
      <w:r w:rsidR="00755E63">
        <w:rPr>
          <w:sz w:val="22"/>
          <w:szCs w:val="22"/>
          <w:lang w:val="en-GB"/>
        </w:rPr>
        <w:instrText>SEQ</w:instrText>
      </w:r>
      <w:r w:rsidRPr="000D3441">
        <w:rPr>
          <w:sz w:val="22"/>
          <w:szCs w:val="22"/>
          <w:lang w:val="en-GB"/>
        </w:rPr>
        <w:instrText xml:space="preserve"> Figure \* ARABIC </w:instrText>
      </w:r>
      <w:r w:rsidRPr="000D3441">
        <w:rPr>
          <w:sz w:val="22"/>
          <w:szCs w:val="22"/>
        </w:rPr>
        <w:fldChar w:fldCharType="separate"/>
      </w:r>
      <w:r w:rsidR="003D3B15">
        <w:rPr>
          <w:noProof/>
          <w:sz w:val="22"/>
          <w:szCs w:val="22"/>
          <w:lang w:val="en-GB"/>
        </w:rPr>
        <w:t>1</w:t>
      </w:r>
      <w:r w:rsidRPr="000D3441">
        <w:rPr>
          <w:sz w:val="22"/>
          <w:szCs w:val="22"/>
        </w:rPr>
        <w:fldChar w:fldCharType="end"/>
      </w:r>
      <w:r w:rsidRPr="000D3441">
        <w:rPr>
          <w:sz w:val="22"/>
          <w:szCs w:val="22"/>
          <w:lang w:val="en-GB"/>
        </w:rPr>
        <w:t>. Population growth at country level (annual %), stacked per year over the period 2006-2012</w:t>
      </w:r>
      <w:r w:rsidRPr="000D3441">
        <w:rPr>
          <w:rStyle w:val="EndnoteReference"/>
          <w:sz w:val="22"/>
          <w:szCs w:val="22"/>
        </w:rPr>
        <w:endnoteReference w:id="6"/>
      </w:r>
    </w:p>
    <w:p w:rsidR="005072B1" w:rsidRPr="004B58D3" w:rsidRDefault="005072B1" w:rsidP="005072B1">
      <w:pPr>
        <w:spacing w:before="120" w:after="0" w:line="252" w:lineRule="auto"/>
        <w:jc w:val="both"/>
        <w:rPr>
          <w:sz w:val="22"/>
          <w:szCs w:val="22"/>
          <w:lang w:val="en-GB"/>
        </w:rPr>
      </w:pPr>
      <w:r w:rsidRPr="004B58D3">
        <w:rPr>
          <w:sz w:val="22"/>
          <w:szCs w:val="22"/>
          <w:lang w:val="en-GB"/>
        </w:rPr>
        <w:t>Only Russia, Greece and Azerbaijan registered positive migration flows in 2010 (see figure 2 below), a constant since 2005. Though Greece is still perceived as a gateway towards the EU Schengen area for many legal and illegal migrants, its attractiveness has dropped in recent years (net migration reduced by half between 2000 and 2010)</w:t>
      </w:r>
      <w:r w:rsidRPr="004D189B">
        <w:rPr>
          <w:rStyle w:val="EndnoteReference"/>
          <w:sz w:val="22"/>
          <w:szCs w:val="22"/>
        </w:rPr>
        <w:endnoteReference w:id="7"/>
      </w:r>
      <w:r w:rsidRPr="004B58D3">
        <w:rPr>
          <w:sz w:val="22"/>
          <w:szCs w:val="22"/>
          <w:lang w:val="en-GB"/>
        </w:rPr>
        <w:t>. All the other participating countries, including EU members Bulgaria and Romania, are a source of migration, mostly labour migration, towards better economic opportunities in other EU member States, suggesting that local economic development on all sides of the Black Sea Basin remains a key issue for cooperation</w:t>
      </w:r>
      <w:r w:rsidRPr="004D189B">
        <w:rPr>
          <w:rStyle w:val="EndnoteReference"/>
          <w:sz w:val="22"/>
          <w:szCs w:val="22"/>
        </w:rPr>
        <w:endnoteReference w:id="8"/>
      </w:r>
      <w:r w:rsidRPr="004B58D3">
        <w:rPr>
          <w:sz w:val="22"/>
          <w:szCs w:val="22"/>
          <w:lang w:val="en-GB"/>
        </w:rPr>
        <w:t>.</w:t>
      </w:r>
    </w:p>
    <w:p w:rsidR="005072B1" w:rsidRDefault="006102F6" w:rsidP="005072B1">
      <w:pPr>
        <w:keepNext/>
        <w:spacing w:before="120" w:after="0" w:line="252" w:lineRule="auto"/>
      </w:pPr>
      <w:r>
        <w:rPr>
          <w:noProof/>
          <w:lang w:val="ro-RO" w:eastAsia="ro-RO"/>
        </w:rPr>
        <w:drawing>
          <wp:inline distT="0" distB="0" distL="0" distR="0">
            <wp:extent cx="6696075" cy="2266950"/>
            <wp:effectExtent l="19050" t="0" r="9525" b="0"/>
            <wp:docPr id="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14"/>
                    <a:srcRect/>
                    <a:stretch>
                      <a:fillRect/>
                    </a:stretch>
                  </pic:blipFill>
                  <pic:spPr bwMode="auto">
                    <a:xfrm>
                      <a:off x="0" y="0"/>
                      <a:ext cx="6696075" cy="2266950"/>
                    </a:xfrm>
                    <a:prstGeom prst="rect">
                      <a:avLst/>
                    </a:prstGeom>
                    <a:noFill/>
                    <a:ln w="9525">
                      <a:noFill/>
                      <a:miter lim="800000"/>
                      <a:headEnd/>
                      <a:tailEnd/>
                    </a:ln>
                  </pic:spPr>
                </pic:pic>
              </a:graphicData>
            </a:graphic>
          </wp:inline>
        </w:drawing>
      </w:r>
    </w:p>
    <w:p w:rsidR="005072B1" w:rsidRPr="004B58D3" w:rsidRDefault="005072B1" w:rsidP="006C45B4">
      <w:pPr>
        <w:pStyle w:val="Caption"/>
        <w:spacing w:after="0" w:line="252" w:lineRule="auto"/>
        <w:jc w:val="left"/>
        <w:rPr>
          <w:sz w:val="22"/>
          <w:szCs w:val="22"/>
          <w:lang w:val="en-GB"/>
        </w:rPr>
      </w:pPr>
      <w:r w:rsidRPr="004B58D3">
        <w:rPr>
          <w:sz w:val="22"/>
          <w:szCs w:val="22"/>
          <w:lang w:val="en-GB"/>
        </w:rPr>
        <w:t xml:space="preserve">Figure </w:t>
      </w:r>
      <w:r w:rsidRPr="005E0F0F">
        <w:rPr>
          <w:sz w:val="22"/>
          <w:szCs w:val="22"/>
        </w:rPr>
        <w:fldChar w:fldCharType="begin"/>
      </w:r>
      <w:r w:rsidRPr="004B58D3">
        <w:rPr>
          <w:sz w:val="22"/>
          <w:szCs w:val="22"/>
          <w:lang w:val="en-GB"/>
        </w:rPr>
        <w:instrText xml:space="preserve"> </w:instrText>
      </w:r>
      <w:r w:rsidR="00755E63">
        <w:rPr>
          <w:sz w:val="22"/>
          <w:szCs w:val="22"/>
          <w:lang w:val="en-GB"/>
        </w:rPr>
        <w:instrText>SEQ</w:instrText>
      </w:r>
      <w:r w:rsidRPr="004B58D3">
        <w:rPr>
          <w:sz w:val="22"/>
          <w:szCs w:val="22"/>
          <w:lang w:val="en-GB"/>
        </w:rPr>
        <w:instrText xml:space="preserve"> Figure \* ARABIC </w:instrText>
      </w:r>
      <w:r w:rsidRPr="005E0F0F">
        <w:rPr>
          <w:sz w:val="22"/>
          <w:szCs w:val="22"/>
        </w:rPr>
        <w:fldChar w:fldCharType="separate"/>
      </w:r>
      <w:r w:rsidR="003D3B15">
        <w:rPr>
          <w:noProof/>
          <w:sz w:val="22"/>
          <w:szCs w:val="22"/>
          <w:lang w:val="en-GB"/>
        </w:rPr>
        <w:t>2</w:t>
      </w:r>
      <w:r w:rsidRPr="005E0F0F">
        <w:rPr>
          <w:sz w:val="22"/>
          <w:szCs w:val="22"/>
        </w:rPr>
        <w:fldChar w:fldCharType="end"/>
      </w:r>
      <w:r w:rsidRPr="004B58D3">
        <w:rPr>
          <w:sz w:val="22"/>
          <w:szCs w:val="22"/>
          <w:lang w:val="en-GB"/>
        </w:rPr>
        <w:t>. Net migration</w:t>
      </w:r>
      <w:r>
        <w:rPr>
          <w:rStyle w:val="FootnoteReference"/>
          <w:sz w:val="22"/>
          <w:szCs w:val="22"/>
        </w:rPr>
        <w:footnoteReference w:id="24"/>
      </w:r>
      <w:r w:rsidRPr="004B58D3">
        <w:rPr>
          <w:sz w:val="22"/>
          <w:szCs w:val="22"/>
          <w:lang w:val="en-GB"/>
        </w:rPr>
        <w:t>, 2010</w:t>
      </w:r>
      <w:r>
        <w:rPr>
          <w:rStyle w:val="EndnoteReference"/>
          <w:sz w:val="22"/>
          <w:szCs w:val="22"/>
        </w:rPr>
        <w:endnoteReference w:id="9"/>
      </w:r>
    </w:p>
    <w:p w:rsidR="005072B1" w:rsidRPr="004B58D3" w:rsidRDefault="005072B1" w:rsidP="005072B1">
      <w:pPr>
        <w:spacing w:before="120" w:after="0" w:line="252" w:lineRule="auto"/>
        <w:jc w:val="both"/>
        <w:rPr>
          <w:rFonts w:cs="v)àÔˇøﬁ‡Õ"/>
          <w:sz w:val="22"/>
          <w:szCs w:val="22"/>
          <w:lang w:val="en-GB"/>
        </w:rPr>
      </w:pPr>
      <w:r w:rsidRPr="004B58D3">
        <w:rPr>
          <w:sz w:val="22"/>
          <w:szCs w:val="22"/>
          <w:lang w:val="en-GB"/>
        </w:rPr>
        <w:t xml:space="preserve">Though all countries in the </w:t>
      </w:r>
      <w:r>
        <w:rPr>
          <w:sz w:val="22"/>
          <w:szCs w:val="22"/>
          <w:lang w:val="en-GB"/>
        </w:rPr>
        <w:t xml:space="preserve">Black Sea </w:t>
      </w:r>
      <w:r w:rsidRPr="004B58D3">
        <w:rPr>
          <w:sz w:val="22"/>
          <w:szCs w:val="22"/>
          <w:lang w:val="en-GB"/>
        </w:rPr>
        <w:t>region are sending and transit countries on the routes of migration flows towards Western Europe, migration within the region itself remains strong: in</w:t>
      </w:r>
      <w:r w:rsidRPr="004B58D3">
        <w:rPr>
          <w:rFonts w:cs="v)àÔˇøﬁ‡Õ"/>
          <w:sz w:val="22"/>
          <w:szCs w:val="22"/>
          <w:lang w:val="en-GB"/>
        </w:rPr>
        <w:t xml:space="preserve"> 2005 the top ten countries of origin of immigrants to the Black Sea region include Russia, Ukraine, Azerbaijan, Georgia, Bulgaria, Armenia and Moldova, while Russia, Ukraine, Turkey and Greece appear within the top ten destinations of emigrants from the Black Sea region</w:t>
      </w:r>
      <w:r w:rsidRPr="004D189B">
        <w:rPr>
          <w:rStyle w:val="EndnoteReference"/>
          <w:rFonts w:cs="v)àÔˇøﬁ‡Õ"/>
          <w:sz w:val="22"/>
          <w:szCs w:val="22"/>
        </w:rPr>
        <w:endnoteReference w:id="10"/>
      </w:r>
      <w:r w:rsidRPr="004B58D3">
        <w:rPr>
          <w:rFonts w:cs="v)àÔˇøﬁ‡Õ"/>
          <w:sz w:val="22"/>
          <w:szCs w:val="22"/>
          <w:lang w:val="en-GB"/>
        </w:rPr>
        <w:t xml:space="preserve">. </w:t>
      </w:r>
    </w:p>
    <w:p w:rsidR="005072B1" w:rsidRPr="009F42D5" w:rsidRDefault="005072B1" w:rsidP="005072B1">
      <w:pPr>
        <w:spacing w:before="120" w:after="0" w:line="252" w:lineRule="auto"/>
        <w:jc w:val="both"/>
        <w:rPr>
          <w:sz w:val="22"/>
          <w:szCs w:val="22"/>
          <w:lang w:val="en-GB"/>
        </w:rPr>
      </w:pPr>
      <w:r w:rsidRPr="000D3441">
        <w:rPr>
          <w:sz w:val="22"/>
          <w:szCs w:val="22"/>
          <w:lang w:val="en-GB"/>
        </w:rPr>
        <w:t>A number of challenges and opportunities arise from these internal and external migration flows. ‘Brain and skill drain’ (as those with higher education and skills leave the country) is recognised as a serious problem in Moldova, Romania and Armenia, and affects notably doctors and the skilled medical workforce in Moldova and Bulgaria</w:t>
      </w:r>
      <w:r w:rsidRPr="000D3441">
        <w:rPr>
          <w:sz w:val="22"/>
          <w:szCs w:val="22"/>
          <w:vertAlign w:val="superscript"/>
        </w:rPr>
        <w:endnoteReference w:id="11"/>
      </w:r>
      <w:r w:rsidRPr="000D3441">
        <w:rPr>
          <w:sz w:val="22"/>
          <w:szCs w:val="22"/>
          <w:lang w:val="en-GB"/>
        </w:rPr>
        <w:t>. An associated problem is skill waste, as high education migrants often end up working in low-skilled jobs (e.g. as construction, domestic workers)</w:t>
      </w:r>
      <w:r w:rsidRPr="000D3441">
        <w:rPr>
          <w:rStyle w:val="EndnoteReference"/>
          <w:sz w:val="22"/>
          <w:szCs w:val="22"/>
          <w:lang w:val="en-GB"/>
        </w:rPr>
        <w:endnoteReference w:id="12"/>
      </w:r>
      <w:r w:rsidRPr="000D3441">
        <w:rPr>
          <w:sz w:val="22"/>
          <w:szCs w:val="22"/>
          <w:lang w:val="en-GB"/>
        </w:rPr>
        <w:t>. Brain drain is also an important issue for Turkey, with a high incidence of students graduating abroad not returning</w:t>
      </w:r>
      <w:r w:rsidRPr="000D3441">
        <w:rPr>
          <w:rStyle w:val="EndnoteReference"/>
          <w:sz w:val="22"/>
          <w:szCs w:val="22"/>
          <w:lang w:val="en-GB"/>
        </w:rPr>
        <w:endnoteReference w:id="13"/>
      </w:r>
      <w:r w:rsidRPr="000D3441">
        <w:rPr>
          <w:sz w:val="22"/>
          <w:szCs w:val="22"/>
          <w:lang w:val="en-GB"/>
        </w:rPr>
        <w:t>. However, labour migration can also help reduce unemployment and generate private remittances in the country of origin, which play an increasing role in regional economic development. Hence, effective migration management within the Black Sea region is a common issue of interest and there is potential notably for facilitating emigrant links with their home communities, including remittance transfer and the development of scientific, business and other types of networks</w:t>
      </w:r>
      <w:r w:rsidRPr="000D3441">
        <w:rPr>
          <w:rStyle w:val="EndnoteReference"/>
          <w:sz w:val="22"/>
          <w:szCs w:val="22"/>
          <w:lang w:val="en-GB"/>
        </w:rPr>
        <w:endnoteReference w:id="14"/>
      </w:r>
      <w:r w:rsidRPr="000D3441">
        <w:rPr>
          <w:sz w:val="22"/>
          <w:szCs w:val="22"/>
          <w:lang w:val="en-GB"/>
        </w:rPr>
        <w:t>.</w:t>
      </w:r>
    </w:p>
    <w:p w:rsidR="005072B1" w:rsidRPr="00002063" w:rsidRDefault="005072B1" w:rsidP="001024F6">
      <w:pPr>
        <w:spacing w:before="240" w:after="120" w:line="264" w:lineRule="auto"/>
        <w:rPr>
          <w:b/>
          <w:bCs/>
          <w:lang w:val="en-GB"/>
        </w:rPr>
      </w:pPr>
      <w:bookmarkStart w:id="24" w:name="_Toc246127420"/>
      <w:r w:rsidRPr="00002063">
        <w:rPr>
          <w:b/>
          <w:bCs/>
          <w:lang w:val="en-GB"/>
        </w:rPr>
        <w:t>Urban and rural development</w:t>
      </w:r>
      <w:bookmarkEnd w:id="24"/>
    </w:p>
    <w:p w:rsidR="005072B1" w:rsidRPr="004B58D3" w:rsidRDefault="005072B1" w:rsidP="005072B1">
      <w:pPr>
        <w:spacing w:before="120" w:after="0" w:line="252" w:lineRule="auto"/>
        <w:jc w:val="both"/>
        <w:rPr>
          <w:sz w:val="22"/>
          <w:szCs w:val="22"/>
          <w:lang w:val="en-GB"/>
        </w:rPr>
      </w:pPr>
      <w:r w:rsidRPr="004B58D3">
        <w:rPr>
          <w:sz w:val="22"/>
          <w:szCs w:val="22"/>
          <w:lang w:val="en-GB"/>
        </w:rPr>
        <w:t>In 2012, population density in the Black Sea Basin ENI CBC programme area was 91 people/km2, a slight increase since 2005 though below EU average of 120 people/km2</w:t>
      </w:r>
      <w:r w:rsidRPr="004D189B">
        <w:rPr>
          <w:rStyle w:val="EndnoteReference"/>
          <w:sz w:val="22"/>
          <w:szCs w:val="22"/>
        </w:rPr>
        <w:endnoteReference w:id="15"/>
      </w:r>
      <w:r w:rsidRPr="004B58D3">
        <w:rPr>
          <w:sz w:val="22"/>
          <w:szCs w:val="22"/>
          <w:lang w:val="en-GB"/>
        </w:rPr>
        <w:t xml:space="preserve">. The density in Black Sea Basin eligible areas ranges from 2,666 people/km2 in </w:t>
      </w:r>
      <w:r w:rsidR="00112DE1">
        <w:rPr>
          <w:sz w:val="22"/>
          <w:szCs w:val="22"/>
          <w:lang w:val="en-GB"/>
        </w:rPr>
        <w:t>I</w:t>
      </w:r>
      <w:r w:rsidR="005F2BFC" w:rsidRPr="00682784">
        <w:rPr>
          <w:sz w:val="22"/>
          <w:szCs w:val="22"/>
          <w:lang w:val="en-GB"/>
        </w:rPr>
        <w:t>stanbul</w:t>
      </w:r>
      <w:r w:rsidRPr="004B58D3">
        <w:rPr>
          <w:sz w:val="22"/>
          <w:szCs w:val="22"/>
          <w:lang w:val="en-GB"/>
        </w:rPr>
        <w:t xml:space="preserve"> to 28 people/km2 in Kastamonu</w:t>
      </w:r>
      <w:r>
        <w:rPr>
          <w:sz w:val="22"/>
          <w:szCs w:val="22"/>
          <w:lang w:val="en-GB"/>
        </w:rPr>
        <w:t>,</w:t>
      </w:r>
      <w:r w:rsidRPr="004B58D3">
        <w:rPr>
          <w:sz w:val="22"/>
          <w:szCs w:val="22"/>
          <w:lang w:val="en-GB"/>
        </w:rPr>
        <w:t xml:space="preserve"> revealing huge discrepencies in territorial development as well as an ongoing urbanisation process</w:t>
      </w:r>
      <w:r w:rsidR="00947273">
        <w:rPr>
          <w:sz w:val="22"/>
          <w:szCs w:val="22"/>
          <w:lang w:val="en-GB"/>
        </w:rPr>
        <w:t xml:space="preserve"> (see table 1 above)</w:t>
      </w:r>
      <w:r w:rsidRPr="004D189B">
        <w:rPr>
          <w:rStyle w:val="EndnoteReference"/>
          <w:sz w:val="22"/>
          <w:szCs w:val="22"/>
        </w:rPr>
        <w:endnoteReference w:id="16"/>
      </w:r>
      <w:r w:rsidRPr="004B58D3">
        <w:rPr>
          <w:sz w:val="22"/>
          <w:szCs w:val="22"/>
          <w:lang w:val="en-GB"/>
        </w:rPr>
        <w:t xml:space="preserve">. </w:t>
      </w:r>
    </w:p>
    <w:p w:rsidR="005072B1" w:rsidRPr="004B58D3" w:rsidRDefault="005072B1" w:rsidP="005072B1">
      <w:pPr>
        <w:spacing w:before="120" w:after="0" w:line="252" w:lineRule="auto"/>
        <w:jc w:val="both"/>
        <w:rPr>
          <w:sz w:val="22"/>
          <w:szCs w:val="22"/>
          <w:lang w:val="en-GB"/>
        </w:rPr>
      </w:pPr>
      <w:r w:rsidRPr="004B58D3">
        <w:rPr>
          <w:sz w:val="22"/>
          <w:szCs w:val="22"/>
          <w:lang w:val="en-GB"/>
        </w:rPr>
        <w:t xml:space="preserve">The ENI CBC programme is characterised by the inclusion of both large rural areas and of major cities, including </w:t>
      </w:r>
      <w:r>
        <w:rPr>
          <w:sz w:val="22"/>
          <w:szCs w:val="22"/>
          <w:lang w:val="en-GB"/>
        </w:rPr>
        <w:t>three</w:t>
      </w:r>
      <w:r w:rsidRPr="004B58D3">
        <w:rPr>
          <w:sz w:val="22"/>
          <w:szCs w:val="22"/>
          <w:lang w:val="en-GB"/>
        </w:rPr>
        <w:t xml:space="preserve"> capital cities (Baku, Tbilisi, Yerevan) and the megacity of </w:t>
      </w:r>
      <w:r w:rsidR="00E82BBA" w:rsidRPr="00682784">
        <w:rPr>
          <w:sz w:val="22"/>
          <w:szCs w:val="22"/>
          <w:lang w:val="en-GB"/>
        </w:rPr>
        <w:t>I</w:t>
      </w:r>
      <w:r w:rsidR="00112DE1" w:rsidRPr="00682784">
        <w:rPr>
          <w:sz w:val="22"/>
          <w:szCs w:val="22"/>
          <w:lang w:val="en-GB"/>
        </w:rPr>
        <w:t>stanbul</w:t>
      </w:r>
      <w:r w:rsidRPr="004B58D3">
        <w:rPr>
          <w:sz w:val="22"/>
          <w:szCs w:val="22"/>
          <w:lang w:val="en-GB"/>
        </w:rPr>
        <w:t xml:space="preserve">. Since 2005 the urban population in the programme area has increased by 5 points to 64%, a trend that is common to all the regions across the eligible area, though particularly strong in Turkey, as Istanbul itself grew by 2.2 </w:t>
      </w:r>
      <w:r w:rsidR="00041F57">
        <w:rPr>
          <w:sz w:val="22"/>
          <w:szCs w:val="22"/>
          <w:lang w:val="en-GB"/>
        </w:rPr>
        <w:t>million</w:t>
      </w:r>
      <w:r w:rsidRPr="004B58D3">
        <w:rPr>
          <w:sz w:val="22"/>
          <w:szCs w:val="22"/>
          <w:lang w:val="en-GB"/>
        </w:rPr>
        <w:t xml:space="preserve"> (nearly 20%) over the period. Though this urbanisation process does not yet match the EU average (where 74% of the population is urbanised), it gives rise to common environmental and socio-economic challenges to ensure sustainable urban development.</w:t>
      </w:r>
    </w:p>
    <w:p w:rsidR="005072B1" w:rsidRPr="004B58D3" w:rsidRDefault="005072B1" w:rsidP="005072B1">
      <w:pPr>
        <w:spacing w:before="120" w:after="0" w:line="252" w:lineRule="auto"/>
        <w:jc w:val="both"/>
        <w:rPr>
          <w:sz w:val="22"/>
          <w:szCs w:val="22"/>
          <w:lang w:val="en-GB"/>
        </w:rPr>
      </w:pPr>
      <w:r w:rsidRPr="004B58D3">
        <w:rPr>
          <w:sz w:val="22"/>
          <w:szCs w:val="22"/>
          <w:lang w:val="en-GB"/>
        </w:rPr>
        <w:t>Another feature of the programme area is the dense population of most coastal zones, which increases considerably during the summer season due to tourism, creating economic opportunities but also putting additional strain on local infrastructure and the environment.</w:t>
      </w:r>
    </w:p>
    <w:p w:rsidR="005072B1" w:rsidRPr="00002063" w:rsidRDefault="005072B1" w:rsidP="001024F6">
      <w:pPr>
        <w:spacing w:before="240" w:after="120" w:line="264" w:lineRule="auto"/>
        <w:rPr>
          <w:b/>
          <w:bCs/>
          <w:lang w:val="en-GB"/>
        </w:rPr>
      </w:pPr>
      <w:bookmarkStart w:id="25" w:name="_Toc246127421"/>
      <w:r w:rsidRPr="00002063">
        <w:rPr>
          <w:b/>
          <w:bCs/>
          <w:lang w:val="en-GB"/>
        </w:rPr>
        <w:t>Population structure by age</w:t>
      </w:r>
      <w:bookmarkEnd w:id="25"/>
    </w:p>
    <w:p w:rsidR="005072B1" w:rsidRPr="004B58D3" w:rsidRDefault="005072B1" w:rsidP="005072B1">
      <w:pPr>
        <w:spacing w:before="120" w:after="0" w:line="252" w:lineRule="auto"/>
        <w:jc w:val="both"/>
        <w:rPr>
          <w:sz w:val="22"/>
          <w:szCs w:val="22"/>
          <w:lang w:val="en-GB"/>
        </w:rPr>
      </w:pPr>
      <w:r w:rsidRPr="004B58D3">
        <w:rPr>
          <w:sz w:val="22"/>
          <w:szCs w:val="22"/>
          <w:lang w:val="en-GB"/>
        </w:rPr>
        <w:t>Demographics trends within the Black Sea Basin eligible area reveal disparate dynamics in regard to the population age structure and its related socio-economic challenges. Greece and Bulgaria, and to a lesser extent Ukraine, Romania and Georgia</w:t>
      </w:r>
      <w:r>
        <w:rPr>
          <w:sz w:val="22"/>
          <w:szCs w:val="22"/>
          <w:lang w:val="en-GB"/>
        </w:rPr>
        <w:t>,</w:t>
      </w:r>
      <w:r w:rsidRPr="004B58D3">
        <w:rPr>
          <w:sz w:val="22"/>
          <w:szCs w:val="22"/>
          <w:lang w:val="en-GB"/>
        </w:rPr>
        <w:t xml:space="preserve"> have an ageing population, with people over </w:t>
      </w:r>
      <w:r w:rsidRPr="007A6B83">
        <w:rPr>
          <w:sz w:val="22"/>
          <w:szCs w:val="22"/>
          <w:lang w:val="en-GB"/>
        </w:rPr>
        <w:t>65 representing more than 20% of their working age population (see figure 4 below) – leading to specific health and pension-financing issues. On the other hand, Azerbaijan and Turkey have more dynamic demographics and a younger</w:t>
      </w:r>
      <w:r w:rsidRPr="004B58D3">
        <w:rPr>
          <w:sz w:val="22"/>
          <w:szCs w:val="22"/>
          <w:lang w:val="en-GB"/>
        </w:rPr>
        <w:t xml:space="preserve"> population e.g. more than 23% of the population of Istanbul is under 14</w:t>
      </w:r>
      <w:r w:rsidRPr="004D189B">
        <w:rPr>
          <w:sz w:val="22"/>
          <w:szCs w:val="22"/>
          <w:vertAlign w:val="superscript"/>
        </w:rPr>
        <w:endnoteReference w:id="17"/>
      </w:r>
      <w:r w:rsidRPr="004B58D3">
        <w:rPr>
          <w:sz w:val="22"/>
          <w:szCs w:val="22"/>
          <w:lang w:val="en-GB"/>
        </w:rPr>
        <w:t>, giving rise to related challenges of education and integration into the labour market.</w:t>
      </w:r>
    </w:p>
    <w:p w:rsidR="005072B1" w:rsidRDefault="006102F6" w:rsidP="006C45B4">
      <w:pPr>
        <w:spacing w:after="0" w:line="252" w:lineRule="auto"/>
        <w:jc w:val="both"/>
        <w:rPr>
          <w:i/>
          <w:sz w:val="22"/>
          <w:szCs w:val="22"/>
          <w:lang w:val="en-GB"/>
        </w:rPr>
      </w:pPr>
      <w:r>
        <w:rPr>
          <w:noProof/>
          <w:lang w:val="ro-RO" w:eastAsia="ro-RO"/>
        </w:rPr>
        <w:drawing>
          <wp:inline distT="0" distB="0" distL="0" distR="0">
            <wp:extent cx="6696075" cy="2266950"/>
            <wp:effectExtent l="19050" t="0" r="9525" b="0"/>
            <wp:docPr id="5"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5"/>
                    <a:srcRect/>
                    <a:stretch>
                      <a:fillRect/>
                    </a:stretch>
                  </pic:blipFill>
                  <pic:spPr bwMode="auto">
                    <a:xfrm>
                      <a:off x="0" y="0"/>
                      <a:ext cx="6696075" cy="2266950"/>
                    </a:xfrm>
                    <a:prstGeom prst="rect">
                      <a:avLst/>
                    </a:prstGeom>
                    <a:noFill/>
                    <a:ln w="9525">
                      <a:noFill/>
                      <a:miter lim="800000"/>
                      <a:headEnd/>
                      <a:tailEnd/>
                    </a:ln>
                  </pic:spPr>
                </pic:pic>
              </a:graphicData>
            </a:graphic>
          </wp:inline>
        </w:drawing>
      </w:r>
      <w:r w:rsidR="005072B1" w:rsidRPr="004B58D3">
        <w:rPr>
          <w:i/>
          <w:sz w:val="22"/>
          <w:szCs w:val="22"/>
          <w:lang w:val="en-GB"/>
        </w:rPr>
        <w:t xml:space="preserve">Figure </w:t>
      </w:r>
      <w:r w:rsidR="005072B1" w:rsidRPr="00682784">
        <w:rPr>
          <w:i/>
          <w:sz w:val="22"/>
          <w:szCs w:val="22"/>
          <w:lang w:val="en-GB"/>
        </w:rPr>
        <w:t>3</w:t>
      </w:r>
      <w:r w:rsidR="005072B1" w:rsidRPr="004B58D3">
        <w:rPr>
          <w:i/>
          <w:sz w:val="22"/>
          <w:szCs w:val="22"/>
          <w:lang w:val="en-GB"/>
        </w:rPr>
        <w:t>. Age dependency ratio, old : &gt;65 years old as a % of working age population (15-64 years old), 2012</w:t>
      </w:r>
      <w:r w:rsidR="005072B1" w:rsidRPr="0016742C">
        <w:rPr>
          <w:rStyle w:val="EndnoteReference"/>
          <w:i/>
          <w:sz w:val="22"/>
          <w:szCs w:val="22"/>
        </w:rPr>
        <w:endnoteReference w:id="18"/>
      </w:r>
    </w:p>
    <w:p w:rsidR="00913608" w:rsidRDefault="00913608" w:rsidP="00913608">
      <w:pPr>
        <w:tabs>
          <w:tab w:val="left" w:pos="3921"/>
        </w:tabs>
        <w:spacing w:before="120" w:after="0" w:line="252" w:lineRule="auto"/>
        <w:jc w:val="both"/>
        <w:rPr>
          <w:i/>
          <w:lang w:val="en-GB"/>
        </w:rPr>
      </w:pPr>
      <w:r>
        <w:rPr>
          <w:i/>
          <w:lang w:val="en-GB"/>
        </w:rPr>
        <w:tab/>
      </w:r>
    </w:p>
    <w:p w:rsidR="00BD76C1" w:rsidRPr="004B58D3" w:rsidRDefault="00BD76C1" w:rsidP="00913608">
      <w:pPr>
        <w:tabs>
          <w:tab w:val="left" w:pos="3921"/>
        </w:tabs>
        <w:spacing w:before="120" w:after="0" w:line="252" w:lineRule="auto"/>
        <w:jc w:val="both"/>
        <w:rPr>
          <w:i/>
          <w:lang w:val="en-GB"/>
        </w:rPr>
      </w:pPr>
    </w:p>
    <w:tbl>
      <w:tblPr>
        <w:tblW w:w="0" w:type="auto"/>
        <w:tblLayout w:type="fixed"/>
        <w:tblLook w:val="04A0"/>
      </w:tblPr>
      <w:tblGrid>
        <w:gridCol w:w="5317"/>
        <w:gridCol w:w="5706"/>
      </w:tblGrid>
      <w:tr w:rsidR="0001321D" w:rsidRPr="001368E0" w:rsidTr="001368E0">
        <w:trPr>
          <w:trHeight w:val="280"/>
        </w:trPr>
        <w:tc>
          <w:tcPr>
            <w:tcW w:w="11023" w:type="dxa"/>
            <w:gridSpan w:val="2"/>
            <w:tcBorders>
              <w:top w:val="single" w:sz="18" w:space="0" w:color="983620"/>
              <w:left w:val="single" w:sz="18" w:space="0" w:color="983620"/>
              <w:bottom w:val="single" w:sz="12" w:space="0" w:color="FFFFFF"/>
              <w:right w:val="single" w:sz="18" w:space="0" w:color="983620"/>
            </w:tcBorders>
            <w:shd w:val="clear" w:color="auto" w:fill="792A19"/>
            <w:noWrap/>
            <w:hideMark/>
          </w:tcPr>
          <w:p w:rsidR="0001321D" w:rsidRPr="001368E0" w:rsidRDefault="005578B7" w:rsidP="001368E0">
            <w:pPr>
              <w:spacing w:after="0" w:line="240" w:lineRule="auto"/>
              <w:jc w:val="center"/>
              <w:rPr>
                <w:b/>
                <w:bCs/>
                <w:color w:val="FFFFFF"/>
              </w:rPr>
            </w:pPr>
            <w:bookmarkStart w:id="26" w:name="_Toc246127422"/>
            <w:r w:rsidRPr="001368E0">
              <w:rPr>
                <w:b/>
                <w:bCs/>
                <w:color w:val="FFFFFF"/>
              </w:rPr>
              <w:t xml:space="preserve">SWOT - </w:t>
            </w:r>
            <w:r w:rsidR="0001321D" w:rsidRPr="001368E0">
              <w:rPr>
                <w:b/>
                <w:bCs/>
                <w:color w:val="FFFFFF"/>
              </w:rPr>
              <w:t>DEMOGRAPHY</w:t>
            </w:r>
          </w:p>
        </w:tc>
      </w:tr>
      <w:tr w:rsidR="00913608" w:rsidRPr="001368E0" w:rsidTr="001368E0">
        <w:trPr>
          <w:trHeight w:val="280"/>
        </w:trPr>
        <w:tc>
          <w:tcPr>
            <w:tcW w:w="5317" w:type="dxa"/>
            <w:tcBorders>
              <w:left w:val="single" w:sz="18" w:space="0" w:color="983620"/>
              <w:right w:val="single" w:sz="4" w:space="0" w:color="983620"/>
            </w:tcBorders>
            <w:shd w:val="clear" w:color="auto" w:fill="CCCCCC"/>
            <w:noWrap/>
            <w:hideMark/>
          </w:tcPr>
          <w:p w:rsidR="0001321D" w:rsidRPr="001368E0" w:rsidRDefault="0001321D" w:rsidP="001368E0">
            <w:pPr>
              <w:spacing w:after="0" w:line="240" w:lineRule="auto"/>
              <w:jc w:val="center"/>
              <w:rPr>
                <w:b/>
                <w:bCs/>
                <w:color w:val="000000"/>
                <w:sz w:val="22"/>
                <w:szCs w:val="22"/>
              </w:rPr>
            </w:pPr>
            <w:r w:rsidRPr="001368E0">
              <w:rPr>
                <w:b/>
                <w:bCs/>
                <w:color w:val="000000"/>
                <w:sz w:val="22"/>
                <w:szCs w:val="22"/>
              </w:rPr>
              <w:t>STRENGTHS</w:t>
            </w:r>
          </w:p>
        </w:tc>
        <w:tc>
          <w:tcPr>
            <w:tcW w:w="5706" w:type="dxa"/>
            <w:tcBorders>
              <w:left w:val="single" w:sz="4" w:space="0" w:color="983620"/>
              <w:right w:val="single" w:sz="18" w:space="0" w:color="983620"/>
            </w:tcBorders>
            <w:shd w:val="clear" w:color="auto" w:fill="CCCCCC"/>
            <w:hideMark/>
          </w:tcPr>
          <w:p w:rsidR="0001321D" w:rsidRPr="001368E0" w:rsidRDefault="0001321D" w:rsidP="001368E0">
            <w:pPr>
              <w:spacing w:after="0" w:line="240" w:lineRule="auto"/>
              <w:jc w:val="center"/>
              <w:rPr>
                <w:b/>
                <w:color w:val="000000"/>
                <w:sz w:val="22"/>
                <w:szCs w:val="22"/>
              </w:rPr>
            </w:pPr>
            <w:r w:rsidRPr="001368E0">
              <w:rPr>
                <w:b/>
                <w:color w:val="000000"/>
                <w:sz w:val="22"/>
                <w:szCs w:val="22"/>
              </w:rPr>
              <w:t>WEAKNESSES</w:t>
            </w:r>
          </w:p>
        </w:tc>
      </w:tr>
      <w:tr w:rsidR="00913608" w:rsidRPr="001368E0" w:rsidTr="001368E0">
        <w:trPr>
          <w:trHeight w:val="1120"/>
        </w:trPr>
        <w:tc>
          <w:tcPr>
            <w:tcW w:w="5317" w:type="dxa"/>
            <w:tcBorders>
              <w:left w:val="single" w:sz="18" w:space="0" w:color="983620"/>
              <w:right w:val="single" w:sz="4" w:space="0" w:color="983620"/>
            </w:tcBorders>
            <w:shd w:val="clear" w:color="auto" w:fill="E6E6E6"/>
            <w:hideMark/>
          </w:tcPr>
          <w:p w:rsidR="0001321D" w:rsidRPr="001368E0" w:rsidRDefault="0001321D" w:rsidP="001368E0">
            <w:pPr>
              <w:pStyle w:val="ListParagraph"/>
              <w:numPr>
                <w:ilvl w:val="0"/>
                <w:numId w:val="30"/>
              </w:numPr>
              <w:spacing w:after="0" w:line="240" w:lineRule="auto"/>
              <w:rPr>
                <w:bCs/>
                <w:color w:val="000000"/>
                <w:sz w:val="22"/>
                <w:szCs w:val="22"/>
                <w:lang w:val="en-GB"/>
              </w:rPr>
            </w:pPr>
            <w:r w:rsidRPr="001368E0">
              <w:rPr>
                <w:bCs/>
                <w:color w:val="000000"/>
                <w:sz w:val="22"/>
                <w:szCs w:val="22"/>
                <w:lang w:val="en-GB"/>
              </w:rPr>
              <w:t>Young population Turkey and Azerbaijan</w:t>
            </w:r>
          </w:p>
        </w:tc>
        <w:tc>
          <w:tcPr>
            <w:tcW w:w="5706" w:type="dxa"/>
            <w:tcBorders>
              <w:left w:val="single" w:sz="4" w:space="0" w:color="983620"/>
              <w:right w:val="single" w:sz="18" w:space="0" w:color="983620"/>
            </w:tcBorders>
            <w:shd w:val="clear" w:color="auto" w:fill="E6E6E6"/>
            <w:hideMark/>
          </w:tcPr>
          <w:p w:rsidR="00CE671E" w:rsidRPr="001368E0" w:rsidRDefault="00CE671E" w:rsidP="001368E0">
            <w:pPr>
              <w:pStyle w:val="ListParagraph"/>
              <w:numPr>
                <w:ilvl w:val="0"/>
                <w:numId w:val="30"/>
              </w:numPr>
              <w:spacing w:after="0" w:line="240" w:lineRule="auto"/>
              <w:rPr>
                <w:color w:val="000000"/>
                <w:sz w:val="22"/>
                <w:szCs w:val="22"/>
              </w:rPr>
            </w:pPr>
            <w:r w:rsidRPr="001368E0">
              <w:rPr>
                <w:color w:val="000000"/>
                <w:sz w:val="22"/>
                <w:szCs w:val="22"/>
              </w:rPr>
              <w:t xml:space="preserve">Strong urbanisation process </w:t>
            </w:r>
          </w:p>
          <w:p w:rsidR="00CE671E" w:rsidRPr="001368E0" w:rsidRDefault="0001321D" w:rsidP="001368E0">
            <w:pPr>
              <w:pStyle w:val="ListParagraph"/>
              <w:numPr>
                <w:ilvl w:val="0"/>
                <w:numId w:val="30"/>
              </w:numPr>
              <w:spacing w:after="0" w:line="240" w:lineRule="auto"/>
              <w:rPr>
                <w:color w:val="000000"/>
                <w:sz w:val="22"/>
                <w:szCs w:val="22"/>
                <w:lang w:val="en-GB"/>
              </w:rPr>
            </w:pPr>
            <w:r w:rsidRPr="001368E0">
              <w:rPr>
                <w:color w:val="000000"/>
                <w:sz w:val="22"/>
                <w:szCs w:val="22"/>
                <w:lang w:val="en-GB"/>
              </w:rPr>
              <w:t>For Greece, Bulgaria, Ukraine, Romania and Georgia: ageing of their population leading to health and pension-financing issues</w:t>
            </w:r>
            <w:r w:rsidR="00CE671E" w:rsidRPr="001368E0">
              <w:rPr>
                <w:color w:val="000000"/>
                <w:sz w:val="22"/>
                <w:szCs w:val="22"/>
                <w:lang w:val="en-GB"/>
              </w:rPr>
              <w:t xml:space="preserve"> </w:t>
            </w:r>
          </w:p>
          <w:p w:rsidR="0001321D" w:rsidRPr="001368E0" w:rsidRDefault="0001321D" w:rsidP="001368E0">
            <w:pPr>
              <w:pStyle w:val="ListParagraph"/>
              <w:numPr>
                <w:ilvl w:val="0"/>
                <w:numId w:val="30"/>
              </w:numPr>
              <w:spacing w:after="0" w:line="240" w:lineRule="auto"/>
              <w:rPr>
                <w:color w:val="000000"/>
                <w:sz w:val="22"/>
                <w:szCs w:val="22"/>
                <w:lang w:val="en-GB"/>
              </w:rPr>
            </w:pPr>
            <w:r w:rsidRPr="001368E0">
              <w:rPr>
                <w:color w:val="000000"/>
                <w:sz w:val="22"/>
                <w:szCs w:val="22"/>
                <w:lang w:val="en-GB"/>
              </w:rPr>
              <w:t>For Azerbaijan and Turkey younger population: challenges of education and integration into the labour market</w:t>
            </w:r>
          </w:p>
        </w:tc>
      </w:tr>
      <w:tr w:rsidR="00913608" w:rsidRPr="001368E0" w:rsidTr="001368E0">
        <w:trPr>
          <w:trHeight w:val="280"/>
        </w:trPr>
        <w:tc>
          <w:tcPr>
            <w:tcW w:w="5317" w:type="dxa"/>
            <w:tcBorders>
              <w:left w:val="single" w:sz="18" w:space="0" w:color="983620"/>
              <w:right w:val="single" w:sz="4" w:space="0" w:color="983620"/>
            </w:tcBorders>
            <w:shd w:val="clear" w:color="auto" w:fill="CCCCCC"/>
            <w:noWrap/>
            <w:hideMark/>
          </w:tcPr>
          <w:p w:rsidR="0001321D" w:rsidRPr="001368E0" w:rsidRDefault="0001321D" w:rsidP="001368E0">
            <w:pPr>
              <w:spacing w:after="0" w:line="240" w:lineRule="auto"/>
              <w:jc w:val="center"/>
              <w:rPr>
                <w:b/>
                <w:bCs/>
                <w:color w:val="000000"/>
                <w:sz w:val="22"/>
                <w:szCs w:val="22"/>
              </w:rPr>
            </w:pPr>
            <w:r w:rsidRPr="001368E0">
              <w:rPr>
                <w:b/>
                <w:bCs/>
                <w:color w:val="000000"/>
                <w:sz w:val="22"/>
                <w:szCs w:val="22"/>
              </w:rPr>
              <w:t>OPPORTUNITIES</w:t>
            </w:r>
          </w:p>
        </w:tc>
        <w:tc>
          <w:tcPr>
            <w:tcW w:w="5706" w:type="dxa"/>
            <w:tcBorders>
              <w:left w:val="single" w:sz="4" w:space="0" w:color="983620"/>
              <w:right w:val="single" w:sz="18" w:space="0" w:color="983620"/>
            </w:tcBorders>
            <w:shd w:val="clear" w:color="auto" w:fill="CCCCCC"/>
            <w:hideMark/>
          </w:tcPr>
          <w:p w:rsidR="0001321D" w:rsidRPr="001368E0" w:rsidRDefault="0001321D" w:rsidP="001368E0">
            <w:pPr>
              <w:spacing w:after="0" w:line="240" w:lineRule="auto"/>
              <w:jc w:val="center"/>
              <w:rPr>
                <w:b/>
                <w:color w:val="000000"/>
                <w:sz w:val="22"/>
                <w:szCs w:val="22"/>
              </w:rPr>
            </w:pPr>
            <w:r w:rsidRPr="001368E0">
              <w:rPr>
                <w:b/>
                <w:color w:val="000000"/>
                <w:sz w:val="22"/>
                <w:szCs w:val="22"/>
              </w:rPr>
              <w:t>THREATS</w:t>
            </w:r>
          </w:p>
        </w:tc>
      </w:tr>
      <w:tr w:rsidR="00913608" w:rsidRPr="001368E0" w:rsidTr="001368E0">
        <w:trPr>
          <w:trHeight w:val="1076"/>
        </w:trPr>
        <w:tc>
          <w:tcPr>
            <w:tcW w:w="5317" w:type="dxa"/>
            <w:tcBorders>
              <w:left w:val="single" w:sz="18" w:space="0" w:color="983620"/>
              <w:bottom w:val="single" w:sz="18" w:space="0" w:color="983620"/>
              <w:right w:val="single" w:sz="4" w:space="0" w:color="983620"/>
            </w:tcBorders>
            <w:shd w:val="clear" w:color="auto" w:fill="E6E6E6"/>
            <w:hideMark/>
          </w:tcPr>
          <w:p w:rsidR="0001321D" w:rsidRPr="001368E0" w:rsidRDefault="0001321D" w:rsidP="001368E0">
            <w:pPr>
              <w:pStyle w:val="ListParagraph"/>
              <w:numPr>
                <w:ilvl w:val="0"/>
                <w:numId w:val="30"/>
              </w:numPr>
              <w:spacing w:after="0" w:line="240" w:lineRule="auto"/>
              <w:rPr>
                <w:bCs/>
                <w:color w:val="000000"/>
                <w:sz w:val="22"/>
                <w:szCs w:val="22"/>
                <w:lang w:val="en-GB"/>
              </w:rPr>
            </w:pPr>
            <w:r w:rsidRPr="001368E0">
              <w:rPr>
                <w:bCs/>
                <w:color w:val="000000"/>
                <w:sz w:val="22"/>
                <w:szCs w:val="22"/>
                <w:lang w:val="en-GB"/>
              </w:rPr>
              <w:t>Migration flows: potential for development of scientific, business and other types of networks with migrants from BSB region</w:t>
            </w:r>
          </w:p>
        </w:tc>
        <w:tc>
          <w:tcPr>
            <w:tcW w:w="5706" w:type="dxa"/>
            <w:tcBorders>
              <w:left w:val="single" w:sz="4" w:space="0" w:color="983620"/>
              <w:bottom w:val="single" w:sz="18" w:space="0" w:color="983620"/>
              <w:right w:val="single" w:sz="18" w:space="0" w:color="983620"/>
            </w:tcBorders>
            <w:shd w:val="clear" w:color="auto" w:fill="E6E6E6"/>
            <w:hideMark/>
          </w:tcPr>
          <w:p w:rsidR="0001321D" w:rsidRPr="001368E0" w:rsidRDefault="0001321D" w:rsidP="001368E0">
            <w:pPr>
              <w:pStyle w:val="ListParagraph"/>
              <w:numPr>
                <w:ilvl w:val="0"/>
                <w:numId w:val="30"/>
              </w:numPr>
              <w:spacing w:after="0" w:line="240" w:lineRule="auto"/>
              <w:rPr>
                <w:color w:val="000000"/>
                <w:sz w:val="22"/>
                <w:szCs w:val="22"/>
                <w:lang w:val="en-GB"/>
              </w:rPr>
            </w:pPr>
            <w:r w:rsidRPr="001368E0">
              <w:rPr>
                <w:color w:val="000000"/>
                <w:sz w:val="22"/>
                <w:szCs w:val="22"/>
                <w:lang w:val="en-GB"/>
              </w:rPr>
              <w:t>Labour emigration towards better economic opportunities outside BSB region</w:t>
            </w:r>
          </w:p>
        </w:tc>
      </w:tr>
    </w:tbl>
    <w:p w:rsidR="005072B1" w:rsidRPr="00002063" w:rsidRDefault="005072B1" w:rsidP="00F40719">
      <w:pPr>
        <w:pStyle w:val="Heading3"/>
        <w:rPr>
          <w:b/>
          <w:sz w:val="28"/>
          <w:szCs w:val="28"/>
          <w:lang w:val="en-GB"/>
        </w:rPr>
      </w:pPr>
      <w:bookmarkStart w:id="27" w:name="_Toc288133434"/>
      <w:r w:rsidRPr="00002063">
        <w:rPr>
          <w:b/>
          <w:sz w:val="28"/>
          <w:szCs w:val="28"/>
          <w:lang w:val="en-GB"/>
        </w:rPr>
        <w:t>Economy</w:t>
      </w:r>
      <w:bookmarkEnd w:id="26"/>
      <w:bookmarkEnd w:id="27"/>
    </w:p>
    <w:p w:rsidR="005072B1" w:rsidRPr="00002063" w:rsidRDefault="005072B1" w:rsidP="001024F6">
      <w:pPr>
        <w:spacing w:before="240" w:after="120" w:line="264" w:lineRule="auto"/>
        <w:rPr>
          <w:b/>
          <w:bCs/>
          <w:lang w:val="en-GB"/>
        </w:rPr>
      </w:pPr>
      <w:bookmarkStart w:id="28" w:name="_Toc246127423"/>
      <w:r w:rsidRPr="00002063">
        <w:rPr>
          <w:b/>
          <w:bCs/>
          <w:lang w:val="en-GB"/>
        </w:rPr>
        <w:t>Overview of economic structure and performance</w:t>
      </w:r>
      <w:bookmarkEnd w:id="28"/>
      <w:r w:rsidRPr="00002063">
        <w:rPr>
          <w:b/>
          <w:bCs/>
          <w:lang w:val="en-GB"/>
        </w:rPr>
        <w:t xml:space="preserve"> </w:t>
      </w:r>
    </w:p>
    <w:p w:rsidR="005072B1" w:rsidRPr="004B58D3" w:rsidRDefault="005072B1" w:rsidP="005072B1">
      <w:pPr>
        <w:spacing w:before="120" w:after="0" w:line="252" w:lineRule="auto"/>
        <w:jc w:val="both"/>
        <w:rPr>
          <w:sz w:val="22"/>
          <w:szCs w:val="22"/>
          <w:lang w:val="en-GB"/>
        </w:rPr>
      </w:pPr>
      <w:r w:rsidRPr="004B58D3">
        <w:rPr>
          <w:sz w:val="22"/>
          <w:szCs w:val="22"/>
          <w:lang w:val="en-GB"/>
        </w:rPr>
        <w:t>From 2000 to 2008, the Black Sea Basin countries enjoyed a steady growth based on foreign direct investment inflows, credit growth, increases in domestic demand, investment, and in particular export growth to Western European markets</w:t>
      </w:r>
      <w:r w:rsidRPr="004D189B">
        <w:rPr>
          <w:rStyle w:val="EndnoteReference"/>
          <w:sz w:val="22"/>
          <w:szCs w:val="22"/>
        </w:rPr>
        <w:endnoteReference w:id="19"/>
      </w:r>
      <w:r w:rsidRPr="004B58D3">
        <w:rPr>
          <w:sz w:val="22"/>
          <w:szCs w:val="22"/>
          <w:lang w:val="en-GB"/>
        </w:rPr>
        <w:t>. After the short but severe recession that hit the Black Sea region economies following the global financial crisis in September 2008 most of them</w:t>
      </w:r>
      <w:r>
        <w:rPr>
          <w:sz w:val="22"/>
          <w:szCs w:val="22"/>
          <w:lang w:val="en-GB"/>
        </w:rPr>
        <w:t>,</w:t>
      </w:r>
      <w:r w:rsidRPr="004B58D3">
        <w:rPr>
          <w:sz w:val="22"/>
          <w:szCs w:val="22"/>
          <w:lang w:val="en-GB"/>
        </w:rPr>
        <w:t xml:space="preserve"> except notably Greece</w:t>
      </w:r>
      <w:r>
        <w:rPr>
          <w:sz w:val="22"/>
          <w:szCs w:val="22"/>
          <w:lang w:val="en-GB"/>
        </w:rPr>
        <w:t>,</w:t>
      </w:r>
      <w:r w:rsidRPr="004B58D3">
        <w:rPr>
          <w:sz w:val="22"/>
          <w:szCs w:val="22"/>
          <w:lang w:val="en-GB"/>
        </w:rPr>
        <w:t xml:space="preserve"> see</w:t>
      </w:r>
      <w:r w:rsidR="002E4277">
        <w:rPr>
          <w:sz w:val="22"/>
          <w:szCs w:val="22"/>
          <w:lang w:val="en-GB"/>
        </w:rPr>
        <w:t>m to be recovering (see figure 4</w:t>
      </w:r>
      <w:r w:rsidRPr="004B58D3">
        <w:rPr>
          <w:sz w:val="22"/>
          <w:szCs w:val="22"/>
          <w:lang w:val="en-GB"/>
        </w:rPr>
        <w:t xml:space="preserve"> below). </w:t>
      </w:r>
    </w:p>
    <w:p w:rsidR="005072B1" w:rsidRDefault="006102F6" w:rsidP="005072B1">
      <w:pPr>
        <w:keepNext/>
        <w:widowControl w:val="0"/>
        <w:autoSpaceDE w:val="0"/>
        <w:autoSpaceDN w:val="0"/>
        <w:adjustRightInd w:val="0"/>
        <w:spacing w:before="120" w:after="0" w:line="252" w:lineRule="auto"/>
      </w:pPr>
      <w:r>
        <w:rPr>
          <w:noProof/>
          <w:lang w:val="ro-RO" w:eastAsia="ro-RO"/>
        </w:rPr>
        <w:drawing>
          <wp:inline distT="0" distB="0" distL="0" distR="0">
            <wp:extent cx="6696075" cy="2266950"/>
            <wp:effectExtent l="19050" t="0" r="9525" b="0"/>
            <wp:docPr id="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6"/>
                    <a:srcRect/>
                    <a:stretch>
                      <a:fillRect/>
                    </a:stretch>
                  </pic:blipFill>
                  <pic:spPr bwMode="auto">
                    <a:xfrm>
                      <a:off x="0" y="0"/>
                      <a:ext cx="6696075" cy="2266950"/>
                    </a:xfrm>
                    <a:prstGeom prst="rect">
                      <a:avLst/>
                    </a:prstGeom>
                    <a:noFill/>
                    <a:ln w="9525">
                      <a:noFill/>
                      <a:miter lim="800000"/>
                      <a:headEnd/>
                      <a:tailEnd/>
                    </a:ln>
                  </pic:spPr>
                </pic:pic>
              </a:graphicData>
            </a:graphic>
          </wp:inline>
        </w:drawing>
      </w:r>
    </w:p>
    <w:p w:rsidR="005072B1" w:rsidRPr="00682784" w:rsidRDefault="005072B1" w:rsidP="006C45B4">
      <w:pPr>
        <w:pStyle w:val="Caption"/>
        <w:spacing w:after="0" w:line="252" w:lineRule="auto"/>
        <w:jc w:val="left"/>
        <w:rPr>
          <w:sz w:val="22"/>
          <w:szCs w:val="22"/>
          <w:lang w:val="en-GB"/>
        </w:rPr>
      </w:pPr>
      <w:r w:rsidRPr="000D3441">
        <w:rPr>
          <w:sz w:val="22"/>
          <w:szCs w:val="22"/>
          <w:lang w:val="en-GB"/>
        </w:rPr>
        <w:t xml:space="preserve">Figure </w:t>
      </w:r>
      <w:r w:rsidRPr="00682784">
        <w:rPr>
          <w:sz w:val="22"/>
          <w:szCs w:val="22"/>
          <w:lang w:val="en-GB"/>
        </w:rPr>
        <w:t>4</w:t>
      </w:r>
      <w:r w:rsidRPr="000D3441">
        <w:rPr>
          <w:sz w:val="22"/>
          <w:szCs w:val="22"/>
          <w:lang w:val="en-GB"/>
        </w:rPr>
        <w:t>. Overview of GDP growth trends per year over the period 2006-2012 (annual %)</w:t>
      </w:r>
      <w:r w:rsidRPr="000D3441">
        <w:rPr>
          <w:rStyle w:val="EndnoteReference"/>
          <w:sz w:val="22"/>
          <w:szCs w:val="22"/>
        </w:rPr>
        <w:endnoteReference w:id="20"/>
      </w:r>
      <w:r w:rsidRPr="000D3441">
        <w:rPr>
          <w:sz w:val="22"/>
          <w:szCs w:val="22"/>
          <w:lang w:val="en-GB"/>
        </w:rPr>
        <w:t xml:space="preserve"> and impact of the 2008 crisis</w:t>
      </w:r>
    </w:p>
    <w:p w:rsidR="005072B1" w:rsidRDefault="005072B1" w:rsidP="005072B1">
      <w:pPr>
        <w:spacing w:before="120" w:after="0" w:line="252" w:lineRule="auto"/>
        <w:jc w:val="both"/>
        <w:rPr>
          <w:sz w:val="22"/>
          <w:szCs w:val="22"/>
          <w:lang w:val="en-GB"/>
        </w:rPr>
      </w:pPr>
      <w:r w:rsidRPr="000D3441">
        <w:rPr>
          <w:sz w:val="22"/>
          <w:szCs w:val="22"/>
          <w:lang w:val="en-GB"/>
        </w:rPr>
        <w:t>Most Black Sea countries economic performance by far exceeded the EU’s average over th</w:t>
      </w:r>
      <w:r w:rsidR="002E4277">
        <w:rPr>
          <w:sz w:val="22"/>
          <w:szCs w:val="22"/>
          <w:lang w:val="en-GB"/>
        </w:rPr>
        <w:t>e 2006-2012 period (see figure 5</w:t>
      </w:r>
      <w:r w:rsidRPr="000D3441">
        <w:rPr>
          <w:sz w:val="22"/>
          <w:szCs w:val="22"/>
          <w:lang w:val="en-GB"/>
        </w:rPr>
        <w:t xml:space="preserve"> below). Azerbaijan, Moldova, Georgia and Armenia registered particularly strong growth while on the other hand Greece’s economy contracted over the period.</w:t>
      </w:r>
      <w:r>
        <w:rPr>
          <w:sz w:val="22"/>
          <w:szCs w:val="22"/>
          <w:lang w:val="en-GB"/>
        </w:rPr>
        <w:t xml:space="preserve"> </w:t>
      </w:r>
    </w:p>
    <w:p w:rsidR="005072B1" w:rsidRDefault="006102F6" w:rsidP="005072B1">
      <w:pPr>
        <w:pStyle w:val="Caption"/>
        <w:spacing w:before="120" w:after="0" w:line="252" w:lineRule="auto"/>
        <w:jc w:val="left"/>
        <w:rPr>
          <w:sz w:val="22"/>
          <w:szCs w:val="22"/>
          <w:lang w:val="en-GB"/>
        </w:rPr>
      </w:pPr>
      <w:r>
        <w:rPr>
          <w:noProof/>
          <w:sz w:val="22"/>
          <w:szCs w:val="22"/>
          <w:lang w:val="ro-RO" w:eastAsia="ro-RO"/>
        </w:rPr>
        <w:drawing>
          <wp:inline distT="0" distB="0" distL="0" distR="0">
            <wp:extent cx="6905625" cy="2447925"/>
            <wp:effectExtent l="19050" t="0" r="952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srcRect/>
                    <a:stretch>
                      <a:fillRect/>
                    </a:stretch>
                  </pic:blipFill>
                  <pic:spPr bwMode="auto">
                    <a:xfrm>
                      <a:off x="0" y="0"/>
                      <a:ext cx="6905625" cy="2447925"/>
                    </a:xfrm>
                    <a:prstGeom prst="rect">
                      <a:avLst/>
                    </a:prstGeom>
                    <a:noFill/>
                    <a:ln w="9525">
                      <a:noFill/>
                      <a:miter lim="800000"/>
                      <a:headEnd/>
                      <a:tailEnd/>
                    </a:ln>
                  </pic:spPr>
                </pic:pic>
              </a:graphicData>
            </a:graphic>
          </wp:inline>
        </w:drawing>
      </w:r>
    </w:p>
    <w:p w:rsidR="005072B1" w:rsidRDefault="005072B1" w:rsidP="006C45B4">
      <w:pPr>
        <w:pStyle w:val="Caption"/>
        <w:spacing w:after="0" w:line="252" w:lineRule="auto"/>
        <w:jc w:val="left"/>
        <w:rPr>
          <w:sz w:val="22"/>
          <w:szCs w:val="22"/>
          <w:lang w:val="en-GB"/>
        </w:rPr>
      </w:pPr>
      <w:r w:rsidRPr="000D3441">
        <w:rPr>
          <w:sz w:val="22"/>
          <w:szCs w:val="22"/>
          <w:lang w:val="en-GB"/>
        </w:rPr>
        <w:t xml:space="preserve">Figure </w:t>
      </w:r>
      <w:r w:rsidR="00957F9B" w:rsidRPr="00682784">
        <w:rPr>
          <w:sz w:val="22"/>
          <w:szCs w:val="22"/>
          <w:lang w:val="en-GB"/>
        </w:rPr>
        <w:t>5</w:t>
      </w:r>
      <w:r w:rsidRPr="000D3441">
        <w:rPr>
          <w:sz w:val="22"/>
          <w:szCs w:val="22"/>
          <w:lang w:val="en-GB"/>
        </w:rPr>
        <w:t>. Stacked</w:t>
      </w:r>
      <w:r w:rsidRPr="000D3441">
        <w:rPr>
          <w:rStyle w:val="FootnoteReference"/>
          <w:sz w:val="22"/>
          <w:szCs w:val="22"/>
          <w:lang w:val="en-GB"/>
        </w:rPr>
        <w:footnoteReference w:id="25"/>
      </w:r>
      <w:r w:rsidRPr="000D3441">
        <w:rPr>
          <w:sz w:val="22"/>
          <w:szCs w:val="22"/>
          <w:lang w:val="en-GB"/>
        </w:rPr>
        <w:t xml:space="preserve"> GDP growth per country over the period 2006-2012 (annual %)</w:t>
      </w:r>
      <w:r w:rsidRPr="000D3441">
        <w:rPr>
          <w:rStyle w:val="EndnoteReference"/>
          <w:sz w:val="22"/>
          <w:szCs w:val="22"/>
        </w:rPr>
        <w:endnoteReference w:id="21"/>
      </w:r>
    </w:p>
    <w:p w:rsidR="005072B1" w:rsidRPr="0077602E" w:rsidRDefault="005072B1" w:rsidP="005072B1">
      <w:pPr>
        <w:widowControl w:val="0"/>
        <w:autoSpaceDE w:val="0"/>
        <w:autoSpaceDN w:val="0"/>
        <w:adjustRightInd w:val="0"/>
        <w:spacing w:after="0" w:line="240" w:lineRule="auto"/>
        <w:rPr>
          <w:rFonts w:ascii="Times New Roman" w:hAnsi="Times New Roman"/>
          <w:sz w:val="20"/>
          <w:szCs w:val="20"/>
          <w:lang w:val="en-GB"/>
        </w:rPr>
      </w:pPr>
    </w:p>
    <w:p w:rsidR="005072B1" w:rsidRDefault="005072B1" w:rsidP="005072B1">
      <w:pPr>
        <w:spacing w:before="120" w:after="0" w:line="252" w:lineRule="auto"/>
        <w:jc w:val="both"/>
        <w:rPr>
          <w:sz w:val="22"/>
          <w:szCs w:val="22"/>
          <w:lang w:val="en-GB"/>
        </w:rPr>
      </w:pPr>
      <w:r w:rsidRPr="004B58D3">
        <w:rPr>
          <w:sz w:val="22"/>
          <w:szCs w:val="22"/>
          <w:lang w:val="en-GB"/>
        </w:rPr>
        <w:t xml:space="preserve">Growth rates in 2012 </w:t>
      </w:r>
      <w:r>
        <w:rPr>
          <w:sz w:val="22"/>
          <w:szCs w:val="22"/>
          <w:lang w:val="en-GB"/>
        </w:rPr>
        <w:t xml:space="preserve">still </w:t>
      </w:r>
      <w:r w:rsidRPr="004B58D3">
        <w:rPr>
          <w:sz w:val="22"/>
          <w:szCs w:val="22"/>
          <w:lang w:val="en-GB"/>
        </w:rPr>
        <w:t>showed considerable variation among countries, with both Georgia and Armenia achieving high rates of growth (above 6%), while sub-national data reflects even greater disparities and persistant difficulties, in particular in eligible regions in Ukraine</w:t>
      </w:r>
      <w:r w:rsidRPr="004D189B">
        <w:rPr>
          <w:rStyle w:val="EndnoteReference"/>
          <w:sz w:val="22"/>
          <w:szCs w:val="22"/>
        </w:rPr>
        <w:endnoteReference w:id="22"/>
      </w:r>
      <w:r w:rsidRPr="004B58D3">
        <w:rPr>
          <w:sz w:val="22"/>
          <w:szCs w:val="22"/>
          <w:lang w:val="en-GB"/>
        </w:rPr>
        <w:t xml:space="preserve">. </w:t>
      </w:r>
    </w:p>
    <w:p w:rsidR="005072B1" w:rsidRPr="004B58D3" w:rsidRDefault="005072B1" w:rsidP="005072B1">
      <w:pPr>
        <w:spacing w:before="120" w:after="0" w:line="252" w:lineRule="auto"/>
        <w:jc w:val="both"/>
        <w:rPr>
          <w:sz w:val="22"/>
          <w:szCs w:val="22"/>
          <w:lang w:val="en-GB"/>
        </w:rPr>
      </w:pPr>
      <w:r w:rsidRPr="004B58D3">
        <w:rPr>
          <w:sz w:val="22"/>
          <w:szCs w:val="22"/>
          <w:lang w:val="en-GB"/>
        </w:rPr>
        <w:t xml:space="preserve">Though economic growth for the Black Sea Basin countries on average remained limited in 2012, it </w:t>
      </w:r>
      <w:r>
        <w:rPr>
          <w:sz w:val="22"/>
          <w:szCs w:val="22"/>
          <w:lang w:val="en-GB"/>
        </w:rPr>
        <w:t xml:space="preserve">still </w:t>
      </w:r>
      <w:r w:rsidRPr="004B58D3">
        <w:rPr>
          <w:sz w:val="22"/>
          <w:szCs w:val="22"/>
          <w:lang w:val="en-GB"/>
        </w:rPr>
        <w:t>outperformed the EU, which suffered a contraction of 0.3% overall. The EU recession and continuing problems emanating from the debt crisis limit further economic recovery in the Black Sea region. The EU, and more specifically the Eurozone area, is by far the most significant economic partner of the Black Sea region countries, EU Member States are key trade partners and the principal source of financing and foreign direct investment (FDI) for most Black Sea countries</w:t>
      </w:r>
      <w:r w:rsidRPr="004D189B">
        <w:rPr>
          <w:rStyle w:val="EndnoteReference"/>
          <w:rFonts w:ascii="Arial" w:hAnsi="Arial" w:cs="Arial"/>
          <w:color w:val="313131"/>
          <w:sz w:val="22"/>
          <w:szCs w:val="22"/>
        </w:rPr>
        <w:endnoteReference w:id="23"/>
      </w:r>
      <w:r w:rsidRPr="004B58D3">
        <w:rPr>
          <w:sz w:val="22"/>
          <w:szCs w:val="22"/>
          <w:lang w:val="en-GB"/>
        </w:rPr>
        <w:t xml:space="preserve">. </w:t>
      </w:r>
    </w:p>
    <w:p w:rsidR="005072B1" w:rsidRDefault="005072B1" w:rsidP="005072B1">
      <w:pPr>
        <w:spacing w:before="120" w:after="0" w:line="252" w:lineRule="auto"/>
        <w:jc w:val="both"/>
        <w:rPr>
          <w:sz w:val="22"/>
          <w:szCs w:val="22"/>
          <w:lang w:val="en-GB"/>
        </w:rPr>
      </w:pPr>
      <w:r w:rsidRPr="004B58D3">
        <w:rPr>
          <w:sz w:val="22"/>
          <w:szCs w:val="22"/>
          <w:lang w:val="en-GB"/>
        </w:rPr>
        <w:t>Other key indicators showed stable and sustainable trends in the Black Sea region, in particular the consumer price index that shows a continued trend of declining price pressures over the years. For the first time in 2012, all Black Sea region countries posted single digit rates of inflation, and inflation was below 5% in eight countries</w:t>
      </w:r>
      <w:r w:rsidRPr="004D189B">
        <w:rPr>
          <w:rStyle w:val="EndnoteReference"/>
          <w:sz w:val="22"/>
          <w:szCs w:val="22"/>
        </w:rPr>
        <w:endnoteReference w:id="24"/>
      </w:r>
      <w:r w:rsidRPr="004B58D3">
        <w:rPr>
          <w:sz w:val="22"/>
          <w:szCs w:val="22"/>
          <w:lang w:val="en-GB"/>
        </w:rPr>
        <w:t>.</w:t>
      </w:r>
    </w:p>
    <w:p w:rsidR="005072B1" w:rsidRPr="0002122A" w:rsidRDefault="005072B1" w:rsidP="005072B1">
      <w:pPr>
        <w:spacing w:before="120" w:after="0" w:line="252" w:lineRule="auto"/>
        <w:jc w:val="both"/>
        <w:rPr>
          <w:sz w:val="22"/>
          <w:szCs w:val="22"/>
          <w:lang w:val="en-GB"/>
        </w:rPr>
      </w:pPr>
      <w:r w:rsidRPr="000D3441">
        <w:rPr>
          <w:sz w:val="22"/>
          <w:szCs w:val="22"/>
          <w:lang w:val="en-GB"/>
        </w:rPr>
        <w:t>There has been overall a positive evolution of Black Sea Basin countries global competitiveness, as measured by the Global Competitiveness Index (CGI) of the World Economic Forum. Over the last five years, CGI scores for most countries have increased, meaning the countries improved the set of institutions, policies and factors determining the level of productivity and thus their potential for economic growth and their ability to sustain a high level of income</w:t>
      </w:r>
      <w:r w:rsidRPr="000D3441">
        <w:rPr>
          <w:rStyle w:val="EndnoteReference"/>
          <w:sz w:val="22"/>
          <w:szCs w:val="22"/>
          <w:lang w:val="en-GB"/>
        </w:rPr>
        <w:endnoteReference w:id="25"/>
      </w:r>
      <w:r w:rsidRPr="000D3441">
        <w:rPr>
          <w:sz w:val="22"/>
          <w:szCs w:val="22"/>
          <w:lang w:val="en-GB"/>
        </w:rPr>
        <w:t>. Between 2008 and 2012, Azerbaijan jumped from 69 to 39 (out of 148 countries) in CGI rankings, replacing Russia (downgraded from 64 to 51) as the most competitive economy of the Black Sea Basin. Armenia, Turkey, Georgia and Bulgaria are the other countries that have most improved their ranking and scoring over the period. Put in a worldwide context, Black Sea Basin countries main competitive assets are the availability of a healthy and educated workforce and a conducive macro-economic environment (save Greece), while the innovation factor is their weakest point (see table 2 below).</w:t>
      </w:r>
      <w:r>
        <w:rPr>
          <w:sz w:val="22"/>
          <w:szCs w:val="22"/>
          <w:lang w:val="en-GB"/>
        </w:rPr>
        <w:t xml:space="preserve"> </w:t>
      </w:r>
    </w:p>
    <w:p w:rsidR="005072B1" w:rsidRPr="0077602E" w:rsidRDefault="005072B1" w:rsidP="005072B1">
      <w:pPr>
        <w:widowControl w:val="0"/>
        <w:autoSpaceDE w:val="0"/>
        <w:autoSpaceDN w:val="0"/>
        <w:adjustRightInd w:val="0"/>
        <w:rPr>
          <w:rFonts w:ascii="Times New Roman" w:hAnsi="Times New Roman"/>
          <w:b/>
          <w:sz w:val="18"/>
          <w:szCs w:val="18"/>
          <w:lang w:val="en-GB"/>
        </w:rPr>
      </w:pPr>
    </w:p>
    <w:tbl>
      <w:tblPr>
        <w:tblpPr w:leftFromText="141" w:rightFromText="141" w:horzAnchor="page" w:tblpX="588"/>
        <w:tblW w:w="11023" w:type="dxa"/>
        <w:tblBorders>
          <w:top w:val="single" w:sz="8" w:space="0" w:color="C1AD79"/>
          <w:left w:val="single" w:sz="8" w:space="0" w:color="C1AD79"/>
          <w:bottom w:val="single" w:sz="8" w:space="0" w:color="C1AD79"/>
          <w:right w:val="single" w:sz="8" w:space="0" w:color="C1AD79"/>
          <w:insideH w:val="single" w:sz="8" w:space="0" w:color="C1AD79"/>
          <w:insideV w:val="single" w:sz="8" w:space="0" w:color="C1AD79"/>
        </w:tblBorders>
        <w:tblLayout w:type="fixed"/>
        <w:tblLook w:val="04A0"/>
      </w:tblPr>
      <w:tblGrid>
        <w:gridCol w:w="1013"/>
        <w:gridCol w:w="796"/>
        <w:gridCol w:w="709"/>
        <w:gridCol w:w="709"/>
        <w:gridCol w:w="709"/>
        <w:gridCol w:w="708"/>
        <w:gridCol w:w="709"/>
        <w:gridCol w:w="709"/>
        <w:gridCol w:w="709"/>
        <w:gridCol w:w="708"/>
        <w:gridCol w:w="709"/>
        <w:gridCol w:w="709"/>
        <w:gridCol w:w="709"/>
        <w:gridCol w:w="708"/>
        <w:gridCol w:w="709"/>
      </w:tblGrid>
      <w:tr w:rsidR="005072B1" w:rsidRPr="001368E0" w:rsidTr="001368E0">
        <w:trPr>
          <w:trHeight w:val="720"/>
        </w:trPr>
        <w:tc>
          <w:tcPr>
            <w:tcW w:w="1013"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Country</w:t>
            </w:r>
          </w:p>
        </w:tc>
        <w:tc>
          <w:tcPr>
            <w:tcW w:w="796"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color w:val="000000"/>
                <w:sz w:val="18"/>
                <w:szCs w:val="18"/>
              </w:rPr>
              <w:t>GCI rank (out of 148)</w:t>
            </w:r>
          </w:p>
        </w:tc>
        <w:tc>
          <w:tcPr>
            <w:tcW w:w="709"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color w:val="000000"/>
                <w:sz w:val="18"/>
                <w:szCs w:val="18"/>
              </w:rPr>
              <w:t>CGI score (1-7)</w:t>
            </w:r>
          </w:p>
        </w:tc>
        <w:tc>
          <w:tcPr>
            <w:tcW w:w="709"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1</w:t>
            </w:r>
            <w:r w:rsidRPr="001368E0">
              <w:rPr>
                <w:rFonts w:ascii="Calibri" w:eastAsia="Times New Roman" w:hAnsi="Calibri"/>
                <w:b/>
                <w:color w:val="000000"/>
                <w:sz w:val="18"/>
                <w:szCs w:val="18"/>
              </w:rPr>
              <w:t xml:space="preserve"> score (1-7)</w:t>
            </w:r>
          </w:p>
        </w:tc>
        <w:tc>
          <w:tcPr>
            <w:tcW w:w="709"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2</w:t>
            </w:r>
            <w:r w:rsidRPr="001368E0">
              <w:rPr>
                <w:rFonts w:ascii="Calibri" w:eastAsia="Times New Roman" w:hAnsi="Calibri"/>
                <w:b/>
                <w:color w:val="000000"/>
                <w:sz w:val="18"/>
                <w:szCs w:val="18"/>
              </w:rPr>
              <w:t xml:space="preserve"> score (1-7)</w:t>
            </w:r>
          </w:p>
        </w:tc>
        <w:tc>
          <w:tcPr>
            <w:tcW w:w="708"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3</w:t>
            </w:r>
            <w:r w:rsidRPr="001368E0">
              <w:rPr>
                <w:rFonts w:ascii="Calibri" w:eastAsia="Times New Roman" w:hAnsi="Calibri"/>
                <w:b/>
                <w:color w:val="000000"/>
                <w:sz w:val="18"/>
                <w:szCs w:val="18"/>
              </w:rPr>
              <w:t xml:space="preserve"> score (1-7)</w:t>
            </w:r>
          </w:p>
        </w:tc>
        <w:tc>
          <w:tcPr>
            <w:tcW w:w="709"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4</w:t>
            </w:r>
            <w:r w:rsidRPr="001368E0">
              <w:rPr>
                <w:rFonts w:ascii="Calibri" w:eastAsia="Times New Roman" w:hAnsi="Calibri"/>
                <w:b/>
                <w:color w:val="000000"/>
                <w:sz w:val="18"/>
                <w:szCs w:val="18"/>
              </w:rPr>
              <w:t xml:space="preserve"> score (1-7)</w:t>
            </w:r>
          </w:p>
        </w:tc>
        <w:tc>
          <w:tcPr>
            <w:tcW w:w="709"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5</w:t>
            </w:r>
            <w:r w:rsidRPr="001368E0">
              <w:rPr>
                <w:rFonts w:ascii="Calibri" w:eastAsia="Times New Roman" w:hAnsi="Calibri"/>
                <w:b/>
                <w:color w:val="000000"/>
                <w:sz w:val="18"/>
                <w:szCs w:val="18"/>
              </w:rPr>
              <w:t xml:space="preserve"> score (1-7)</w:t>
            </w:r>
          </w:p>
        </w:tc>
        <w:tc>
          <w:tcPr>
            <w:tcW w:w="709"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6</w:t>
            </w:r>
            <w:r w:rsidRPr="001368E0">
              <w:rPr>
                <w:rFonts w:ascii="Calibri" w:eastAsia="Times New Roman" w:hAnsi="Calibri"/>
                <w:b/>
                <w:color w:val="000000"/>
                <w:sz w:val="18"/>
                <w:szCs w:val="18"/>
              </w:rPr>
              <w:t xml:space="preserve"> score (1-7)</w:t>
            </w:r>
          </w:p>
        </w:tc>
        <w:tc>
          <w:tcPr>
            <w:tcW w:w="708"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7</w:t>
            </w:r>
            <w:r w:rsidRPr="001368E0">
              <w:rPr>
                <w:rFonts w:ascii="Calibri" w:eastAsia="Times New Roman" w:hAnsi="Calibri"/>
                <w:b/>
                <w:color w:val="000000"/>
                <w:sz w:val="18"/>
                <w:szCs w:val="18"/>
              </w:rPr>
              <w:t xml:space="preserve"> score (1-7)</w:t>
            </w:r>
          </w:p>
        </w:tc>
        <w:tc>
          <w:tcPr>
            <w:tcW w:w="709"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8</w:t>
            </w:r>
            <w:r w:rsidRPr="001368E0">
              <w:rPr>
                <w:rFonts w:ascii="Calibri" w:eastAsia="Times New Roman" w:hAnsi="Calibri"/>
                <w:b/>
                <w:color w:val="000000"/>
                <w:sz w:val="18"/>
                <w:szCs w:val="18"/>
              </w:rPr>
              <w:t xml:space="preserve"> score (1-7)</w:t>
            </w:r>
          </w:p>
        </w:tc>
        <w:tc>
          <w:tcPr>
            <w:tcW w:w="709"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9</w:t>
            </w:r>
            <w:r w:rsidRPr="001368E0">
              <w:rPr>
                <w:rFonts w:ascii="Calibri" w:eastAsia="Times New Roman" w:hAnsi="Calibri"/>
                <w:b/>
                <w:color w:val="000000"/>
                <w:sz w:val="18"/>
                <w:szCs w:val="18"/>
              </w:rPr>
              <w:t xml:space="preserve"> score (1-7)</w:t>
            </w:r>
          </w:p>
        </w:tc>
        <w:tc>
          <w:tcPr>
            <w:tcW w:w="709" w:type="dxa"/>
            <w:tcBorders>
              <w:top w:val="single" w:sz="8" w:space="0" w:color="C1AD79"/>
              <w:left w:val="single" w:sz="8" w:space="0" w:color="C1AD79"/>
              <w:bottom w:val="single" w:sz="18" w:space="0" w:color="C1AD79"/>
              <w:right w:val="single" w:sz="8" w:space="0" w:color="C1AD79"/>
            </w:tcBorders>
            <w:shd w:val="clear" w:color="auto" w:fill="auto"/>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10</w:t>
            </w:r>
            <w:r w:rsidRPr="001368E0">
              <w:rPr>
                <w:rFonts w:ascii="Calibri" w:eastAsia="Times New Roman" w:hAnsi="Calibri"/>
                <w:b/>
                <w:color w:val="000000"/>
                <w:sz w:val="18"/>
                <w:szCs w:val="18"/>
              </w:rPr>
              <w:t xml:space="preserve"> score (1-7)</w:t>
            </w:r>
          </w:p>
        </w:tc>
        <w:tc>
          <w:tcPr>
            <w:tcW w:w="708" w:type="dxa"/>
            <w:tcBorders>
              <w:top w:val="single" w:sz="8" w:space="0" w:color="C1AD79"/>
              <w:left w:val="single" w:sz="8" w:space="0" w:color="C1AD79"/>
              <w:bottom w:val="single" w:sz="18" w:space="0" w:color="C1AD79"/>
              <w:right w:val="single" w:sz="8" w:space="0" w:color="C1AD79"/>
            </w:tcBorders>
            <w:shd w:val="clear" w:color="auto" w:fill="auto"/>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11</w:t>
            </w:r>
            <w:r w:rsidRPr="001368E0">
              <w:rPr>
                <w:rFonts w:ascii="Calibri" w:eastAsia="Times New Roman" w:hAnsi="Calibri"/>
                <w:b/>
                <w:color w:val="000000"/>
                <w:sz w:val="18"/>
                <w:szCs w:val="18"/>
              </w:rPr>
              <w:t xml:space="preserve"> score (1-7)</w:t>
            </w:r>
          </w:p>
        </w:tc>
        <w:tc>
          <w:tcPr>
            <w:tcW w:w="709"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12</w:t>
            </w:r>
            <w:r w:rsidRPr="001368E0">
              <w:rPr>
                <w:rFonts w:ascii="Calibri" w:eastAsia="Times New Roman" w:hAnsi="Calibri"/>
                <w:b/>
                <w:color w:val="000000"/>
                <w:sz w:val="18"/>
                <w:szCs w:val="18"/>
              </w:rPr>
              <w:t xml:space="preserve"> score (1-7)</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color w:val="000000"/>
                <w:sz w:val="18"/>
                <w:szCs w:val="18"/>
              </w:rPr>
              <w:t>Azerbaijan</w:t>
            </w:r>
          </w:p>
        </w:tc>
        <w:tc>
          <w:tcPr>
            <w:tcW w:w="79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center"/>
              <w:rPr>
                <w:rFonts w:ascii="Calibri" w:eastAsia="Times New Roman" w:hAnsi="Calibri"/>
                <w:b/>
                <w:color w:val="000000"/>
                <w:sz w:val="18"/>
                <w:szCs w:val="18"/>
              </w:rPr>
            </w:pPr>
            <w:r w:rsidRPr="001368E0">
              <w:rPr>
                <w:rFonts w:ascii="Calibri" w:eastAsia="Times New Roman" w:hAnsi="Calibri"/>
                <w:b/>
                <w:color w:val="000000"/>
                <w:sz w:val="18"/>
                <w:szCs w:val="18"/>
              </w:rPr>
              <w:t>39</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bCs/>
                <w:color w:val="000000"/>
                <w:sz w:val="18"/>
                <w:szCs w:val="18"/>
              </w:rPr>
              <w:t>4.51</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4.06</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4.06</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6.42</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5.07</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4.00</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4.27</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4.72</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3.80</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4.17</w:t>
            </w:r>
          </w:p>
        </w:tc>
        <w:tc>
          <w:tcPr>
            <w:tcW w:w="709" w:type="dxa"/>
            <w:tcBorders>
              <w:top w:val="single" w:sz="8" w:space="0" w:color="C1AD79"/>
              <w:left w:val="single" w:sz="8" w:space="0" w:color="C1AD79"/>
              <w:bottom w:val="single" w:sz="8" w:space="0" w:color="C1AD79"/>
              <w:right w:val="single" w:sz="8" w:space="0" w:color="C1AD79"/>
            </w:tcBorders>
            <w:shd w:val="clear" w:color="auto" w:fill="EFEADD"/>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3.60</w:t>
            </w:r>
          </w:p>
        </w:tc>
        <w:tc>
          <w:tcPr>
            <w:tcW w:w="708" w:type="dxa"/>
            <w:tcBorders>
              <w:top w:val="single" w:sz="8" w:space="0" w:color="C1AD79"/>
              <w:left w:val="single" w:sz="8" w:space="0" w:color="C1AD79"/>
              <w:bottom w:val="single" w:sz="8" w:space="0" w:color="C1AD79"/>
              <w:right w:val="single" w:sz="8" w:space="0" w:color="C1AD79"/>
            </w:tcBorders>
            <w:shd w:val="clear" w:color="auto" w:fill="EFEADD"/>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3.97</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3.45</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color w:val="000000"/>
                <w:sz w:val="18"/>
                <w:szCs w:val="18"/>
              </w:rPr>
              <w:t>Turkey</w:t>
            </w:r>
          </w:p>
        </w:tc>
        <w:tc>
          <w:tcPr>
            <w:tcW w:w="79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color w:val="000000"/>
                <w:sz w:val="18"/>
                <w:szCs w:val="18"/>
              </w:rPr>
            </w:pPr>
            <w:r w:rsidRPr="001368E0">
              <w:rPr>
                <w:rFonts w:ascii="Calibri" w:eastAsia="Times New Roman" w:hAnsi="Calibri"/>
                <w:b/>
                <w:color w:val="000000"/>
                <w:sz w:val="18"/>
                <w:szCs w:val="18"/>
              </w:rPr>
              <w:t>44</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bCs/>
                <w:color w:val="000000"/>
                <w:sz w:val="18"/>
                <w:szCs w:val="18"/>
              </w:rPr>
              <w:t>4.45</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4.08</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4.45</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4.62</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5.86</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4.29</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4.52</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3.74</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4.40</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4.05</w:t>
            </w:r>
          </w:p>
        </w:tc>
        <w:tc>
          <w:tcPr>
            <w:tcW w:w="709"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5.30</w:t>
            </w:r>
          </w:p>
        </w:tc>
        <w:tc>
          <w:tcPr>
            <w:tcW w:w="708"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4.36</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3.47</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color w:val="000000"/>
                <w:sz w:val="18"/>
                <w:szCs w:val="18"/>
              </w:rPr>
              <w:t>Bulgaria</w:t>
            </w:r>
          </w:p>
        </w:tc>
        <w:tc>
          <w:tcPr>
            <w:tcW w:w="79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center"/>
              <w:rPr>
                <w:rFonts w:ascii="Calibri" w:eastAsia="Times New Roman" w:hAnsi="Calibri"/>
                <w:b/>
                <w:color w:val="000000"/>
                <w:sz w:val="18"/>
                <w:szCs w:val="18"/>
              </w:rPr>
            </w:pPr>
            <w:r w:rsidRPr="001368E0">
              <w:rPr>
                <w:rFonts w:ascii="Calibri" w:eastAsia="Times New Roman" w:hAnsi="Calibri"/>
                <w:b/>
                <w:color w:val="000000"/>
                <w:sz w:val="18"/>
                <w:szCs w:val="18"/>
              </w:rPr>
              <w:t>57</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bCs/>
                <w:color w:val="000000"/>
                <w:sz w:val="18"/>
                <w:szCs w:val="18"/>
              </w:rPr>
              <w:t>4.31</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3.38</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3.93</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5.61</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6.00</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4.25</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4.19</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4.36</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3.95</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4.45</w:t>
            </w:r>
          </w:p>
        </w:tc>
        <w:tc>
          <w:tcPr>
            <w:tcW w:w="709" w:type="dxa"/>
            <w:tcBorders>
              <w:top w:val="single" w:sz="8" w:space="0" w:color="C1AD79"/>
              <w:left w:val="single" w:sz="8" w:space="0" w:color="C1AD79"/>
              <w:bottom w:val="single" w:sz="8" w:space="0" w:color="C1AD79"/>
              <w:right w:val="single" w:sz="8" w:space="0" w:color="C1AD79"/>
            </w:tcBorders>
            <w:shd w:val="clear" w:color="auto" w:fill="EFEADD"/>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3.87</w:t>
            </w:r>
          </w:p>
        </w:tc>
        <w:tc>
          <w:tcPr>
            <w:tcW w:w="708" w:type="dxa"/>
            <w:tcBorders>
              <w:top w:val="single" w:sz="8" w:space="0" w:color="C1AD79"/>
              <w:left w:val="single" w:sz="8" w:space="0" w:color="C1AD79"/>
              <w:bottom w:val="single" w:sz="8" w:space="0" w:color="C1AD79"/>
              <w:right w:val="single" w:sz="8" w:space="0" w:color="C1AD79"/>
            </w:tcBorders>
            <w:shd w:val="clear" w:color="auto" w:fill="EFEADD"/>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3.59</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2.97</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color w:val="000000"/>
                <w:sz w:val="18"/>
                <w:szCs w:val="18"/>
              </w:rPr>
              <w:t>Russian Federation</w:t>
            </w:r>
          </w:p>
        </w:tc>
        <w:tc>
          <w:tcPr>
            <w:tcW w:w="79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color w:val="000000"/>
                <w:sz w:val="18"/>
                <w:szCs w:val="18"/>
              </w:rPr>
            </w:pPr>
            <w:r w:rsidRPr="001368E0">
              <w:rPr>
                <w:rFonts w:ascii="Calibri" w:eastAsia="Times New Roman" w:hAnsi="Calibri"/>
                <w:b/>
                <w:color w:val="000000"/>
                <w:sz w:val="18"/>
                <w:szCs w:val="18"/>
              </w:rPr>
              <w:t>64</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bCs/>
                <w:color w:val="000000"/>
                <w:sz w:val="18"/>
                <w:szCs w:val="18"/>
              </w:rPr>
              <w:t>4.25</w:t>
            </w:r>
          </w:p>
        </w:tc>
        <w:tc>
          <w:tcPr>
            <w:tcW w:w="709"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3.28</w:t>
            </w:r>
          </w:p>
        </w:tc>
        <w:tc>
          <w:tcPr>
            <w:tcW w:w="709"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4.61</w:t>
            </w:r>
          </w:p>
        </w:tc>
        <w:tc>
          <w:tcPr>
            <w:tcW w:w="708"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5.93</w:t>
            </w:r>
          </w:p>
        </w:tc>
        <w:tc>
          <w:tcPr>
            <w:tcW w:w="709"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5.71</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4.66</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3.80</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4.31</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3.39</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3.97</w:t>
            </w:r>
          </w:p>
        </w:tc>
        <w:tc>
          <w:tcPr>
            <w:tcW w:w="709"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5.78</w:t>
            </w:r>
          </w:p>
        </w:tc>
        <w:tc>
          <w:tcPr>
            <w:tcW w:w="708"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3.56</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3.13</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color w:val="000000"/>
                <w:sz w:val="18"/>
                <w:szCs w:val="18"/>
              </w:rPr>
              <w:t>Georgia</w:t>
            </w:r>
          </w:p>
        </w:tc>
        <w:tc>
          <w:tcPr>
            <w:tcW w:w="79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center"/>
              <w:rPr>
                <w:rFonts w:ascii="Calibri" w:eastAsia="Times New Roman" w:hAnsi="Calibri"/>
                <w:b/>
                <w:color w:val="000000"/>
                <w:sz w:val="18"/>
                <w:szCs w:val="18"/>
              </w:rPr>
            </w:pPr>
            <w:r w:rsidRPr="001368E0">
              <w:rPr>
                <w:rFonts w:ascii="Calibri" w:eastAsia="Times New Roman" w:hAnsi="Calibri"/>
                <w:b/>
                <w:color w:val="000000"/>
                <w:sz w:val="18"/>
                <w:szCs w:val="18"/>
              </w:rPr>
              <w:t>72</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bCs/>
                <w:color w:val="000000"/>
                <w:sz w:val="18"/>
                <w:szCs w:val="18"/>
              </w:rPr>
              <w:t>4.15</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4.00</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4.31</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4.91</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5.75</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3.79</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4.29</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4.59</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3.91</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3.83</w:t>
            </w:r>
          </w:p>
        </w:tc>
        <w:tc>
          <w:tcPr>
            <w:tcW w:w="709" w:type="dxa"/>
            <w:tcBorders>
              <w:top w:val="single" w:sz="8" w:space="0" w:color="C1AD79"/>
              <w:left w:val="single" w:sz="8" w:space="0" w:color="C1AD79"/>
              <w:bottom w:val="single" w:sz="8" w:space="0" w:color="C1AD79"/>
              <w:right w:val="single" w:sz="8" w:space="0" w:color="C1AD79"/>
            </w:tcBorders>
            <w:shd w:val="clear" w:color="auto" w:fill="EFEADD"/>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2.96</w:t>
            </w:r>
          </w:p>
        </w:tc>
        <w:tc>
          <w:tcPr>
            <w:tcW w:w="708" w:type="dxa"/>
            <w:tcBorders>
              <w:top w:val="single" w:sz="8" w:space="0" w:color="C1AD79"/>
              <w:left w:val="single" w:sz="8" w:space="0" w:color="C1AD79"/>
              <w:bottom w:val="single" w:sz="8" w:space="0" w:color="C1AD79"/>
              <w:right w:val="single" w:sz="8" w:space="0" w:color="C1AD79"/>
            </w:tcBorders>
            <w:shd w:val="clear" w:color="auto" w:fill="EFEADD"/>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3.47</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2.68</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color w:val="000000"/>
                <w:sz w:val="18"/>
                <w:szCs w:val="18"/>
              </w:rPr>
              <w:t>Romania</w:t>
            </w:r>
          </w:p>
        </w:tc>
        <w:tc>
          <w:tcPr>
            <w:tcW w:w="79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color w:val="000000"/>
                <w:sz w:val="18"/>
                <w:szCs w:val="18"/>
              </w:rPr>
            </w:pPr>
            <w:r w:rsidRPr="001368E0">
              <w:rPr>
                <w:rFonts w:ascii="Calibri" w:eastAsia="Times New Roman" w:hAnsi="Calibri"/>
                <w:b/>
                <w:color w:val="000000"/>
                <w:sz w:val="18"/>
                <w:szCs w:val="18"/>
              </w:rPr>
              <w:t>76</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bCs/>
                <w:color w:val="000000"/>
                <w:sz w:val="18"/>
                <w:szCs w:val="18"/>
              </w:rPr>
              <w:t>4.13</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3.34</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3.33</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5.14</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5.47</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4.41</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3.89</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3.96</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3.95</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4.14</w:t>
            </w:r>
          </w:p>
        </w:tc>
        <w:tc>
          <w:tcPr>
            <w:tcW w:w="709"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4.44</w:t>
            </w:r>
          </w:p>
        </w:tc>
        <w:tc>
          <w:tcPr>
            <w:tcW w:w="708"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3.62</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3.01</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color w:val="000000"/>
                <w:sz w:val="18"/>
                <w:szCs w:val="18"/>
              </w:rPr>
              <w:t>Armenia</w:t>
            </w:r>
          </w:p>
        </w:tc>
        <w:tc>
          <w:tcPr>
            <w:tcW w:w="79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center"/>
              <w:rPr>
                <w:rFonts w:ascii="Calibri" w:eastAsia="Times New Roman" w:hAnsi="Calibri"/>
                <w:b/>
                <w:color w:val="000000"/>
                <w:sz w:val="18"/>
                <w:szCs w:val="18"/>
              </w:rPr>
            </w:pPr>
            <w:r w:rsidRPr="001368E0">
              <w:rPr>
                <w:rFonts w:ascii="Calibri" w:eastAsia="Times New Roman" w:hAnsi="Calibri"/>
                <w:b/>
                <w:color w:val="000000"/>
                <w:sz w:val="18"/>
                <w:szCs w:val="18"/>
              </w:rPr>
              <w:t>79</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bCs/>
                <w:color w:val="000000"/>
                <w:sz w:val="18"/>
                <w:szCs w:val="18"/>
              </w:rPr>
              <w:t>4.10</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3.98</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3.81</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4.88</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5.46</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4.18</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4.34</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4.49</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3.91</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3.74</w:t>
            </w:r>
          </w:p>
        </w:tc>
        <w:tc>
          <w:tcPr>
            <w:tcW w:w="709" w:type="dxa"/>
            <w:tcBorders>
              <w:top w:val="single" w:sz="8" w:space="0" w:color="C1AD79"/>
              <w:left w:val="single" w:sz="8" w:space="0" w:color="C1AD79"/>
              <w:bottom w:val="single" w:sz="8" w:space="0" w:color="C1AD79"/>
              <w:right w:val="single" w:sz="8" w:space="0" w:color="C1AD79"/>
            </w:tcBorders>
            <w:shd w:val="clear" w:color="auto" w:fill="EFEADD"/>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2.73</w:t>
            </w:r>
          </w:p>
        </w:tc>
        <w:tc>
          <w:tcPr>
            <w:tcW w:w="708" w:type="dxa"/>
            <w:tcBorders>
              <w:top w:val="single" w:sz="8" w:space="0" w:color="C1AD79"/>
              <w:left w:val="single" w:sz="8" w:space="0" w:color="C1AD79"/>
              <w:bottom w:val="single" w:sz="8" w:space="0" w:color="C1AD79"/>
              <w:right w:val="single" w:sz="8" w:space="0" w:color="C1AD79"/>
            </w:tcBorders>
            <w:shd w:val="clear" w:color="auto" w:fill="EFEADD"/>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3.82</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2.99</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color w:val="000000"/>
                <w:sz w:val="18"/>
                <w:szCs w:val="18"/>
              </w:rPr>
              <w:t>Ukraine</w:t>
            </w:r>
          </w:p>
        </w:tc>
        <w:tc>
          <w:tcPr>
            <w:tcW w:w="79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color w:val="000000"/>
                <w:sz w:val="18"/>
                <w:szCs w:val="18"/>
              </w:rPr>
            </w:pPr>
            <w:r w:rsidRPr="001368E0">
              <w:rPr>
                <w:rFonts w:ascii="Calibri" w:eastAsia="Times New Roman" w:hAnsi="Calibri"/>
                <w:b/>
                <w:color w:val="000000"/>
                <w:sz w:val="18"/>
                <w:szCs w:val="18"/>
              </w:rPr>
              <w:t>84</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bCs/>
                <w:color w:val="000000"/>
                <w:sz w:val="18"/>
                <w:szCs w:val="18"/>
              </w:rPr>
              <w:t>4.05</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2.99</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4.07</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4.20</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5.84</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4.75</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3.81</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4.18</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3.46</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3.28</w:t>
            </w:r>
          </w:p>
        </w:tc>
        <w:tc>
          <w:tcPr>
            <w:tcW w:w="709"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4.60</w:t>
            </w:r>
          </w:p>
        </w:tc>
        <w:tc>
          <w:tcPr>
            <w:tcW w:w="708"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3.68</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3.03</w:t>
            </w:r>
          </w:p>
        </w:tc>
      </w:tr>
      <w:tr w:rsidR="005072B1" w:rsidRPr="001368E0" w:rsidTr="001368E0">
        <w:trPr>
          <w:trHeight w:val="334"/>
        </w:trPr>
        <w:tc>
          <w:tcPr>
            <w:tcW w:w="101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color w:val="000000"/>
                <w:sz w:val="18"/>
                <w:szCs w:val="18"/>
              </w:rPr>
              <w:t>Moldova</w:t>
            </w:r>
          </w:p>
        </w:tc>
        <w:tc>
          <w:tcPr>
            <w:tcW w:w="79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center"/>
              <w:rPr>
                <w:rFonts w:ascii="Calibri" w:eastAsia="Times New Roman" w:hAnsi="Calibri"/>
                <w:b/>
                <w:color w:val="000000"/>
                <w:sz w:val="18"/>
                <w:szCs w:val="18"/>
              </w:rPr>
            </w:pPr>
            <w:r w:rsidRPr="001368E0">
              <w:rPr>
                <w:rFonts w:ascii="Calibri" w:eastAsia="Times New Roman" w:hAnsi="Calibri"/>
                <w:b/>
                <w:color w:val="000000"/>
                <w:sz w:val="18"/>
                <w:szCs w:val="18"/>
              </w:rPr>
              <w:t>89</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bCs/>
                <w:color w:val="000000"/>
                <w:sz w:val="18"/>
                <w:szCs w:val="18"/>
              </w:rPr>
              <w:t>3.94</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3.24</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3.57</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4.62</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5.38</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3.88</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3.93</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4.09</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3.60</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3.89</w:t>
            </w:r>
          </w:p>
        </w:tc>
        <w:tc>
          <w:tcPr>
            <w:tcW w:w="709" w:type="dxa"/>
            <w:tcBorders>
              <w:top w:val="single" w:sz="8" w:space="0" w:color="C1AD79"/>
              <w:left w:val="single" w:sz="8" w:space="0" w:color="C1AD79"/>
              <w:bottom w:val="single" w:sz="8" w:space="0" w:color="C1AD79"/>
              <w:right w:val="single" w:sz="8" w:space="0" w:color="C1AD79"/>
            </w:tcBorders>
            <w:shd w:val="clear" w:color="auto" w:fill="EFEADD"/>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2.55</w:t>
            </w:r>
          </w:p>
        </w:tc>
        <w:tc>
          <w:tcPr>
            <w:tcW w:w="708" w:type="dxa"/>
            <w:tcBorders>
              <w:top w:val="single" w:sz="8" w:space="0" w:color="C1AD79"/>
              <w:left w:val="single" w:sz="8" w:space="0" w:color="C1AD79"/>
              <w:bottom w:val="single" w:sz="8" w:space="0" w:color="C1AD79"/>
              <w:right w:val="single" w:sz="8" w:space="0" w:color="C1AD79"/>
            </w:tcBorders>
            <w:shd w:val="clear" w:color="auto" w:fill="EFEADD"/>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3.32</w:t>
            </w:r>
          </w:p>
        </w:tc>
        <w:tc>
          <w:tcPr>
            <w:tcW w:w="70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2.42</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color w:val="000000"/>
                <w:sz w:val="18"/>
                <w:szCs w:val="18"/>
              </w:rPr>
              <w:t>Greece</w:t>
            </w:r>
          </w:p>
        </w:tc>
        <w:tc>
          <w:tcPr>
            <w:tcW w:w="79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color w:val="000000"/>
                <w:sz w:val="18"/>
                <w:szCs w:val="18"/>
              </w:rPr>
            </w:pPr>
            <w:r w:rsidRPr="001368E0">
              <w:rPr>
                <w:rFonts w:ascii="Calibri" w:eastAsia="Times New Roman" w:hAnsi="Calibri"/>
                <w:b/>
                <w:color w:val="000000"/>
                <w:sz w:val="18"/>
                <w:szCs w:val="18"/>
              </w:rPr>
              <w:t>91</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bCs/>
                <w:color w:val="000000"/>
                <w:sz w:val="18"/>
                <w:szCs w:val="18"/>
              </w:rPr>
              <w:t>3.93</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3.49</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4.79</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2.82</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6.10</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4.81</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3.93</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3.77</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2.86</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4.62</w:t>
            </w:r>
          </w:p>
        </w:tc>
        <w:tc>
          <w:tcPr>
            <w:tcW w:w="709"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4.37</w:t>
            </w:r>
          </w:p>
        </w:tc>
        <w:tc>
          <w:tcPr>
            <w:tcW w:w="708" w:type="dxa"/>
            <w:tcBorders>
              <w:top w:val="single" w:sz="8" w:space="0" w:color="C1AD79"/>
              <w:left w:val="single" w:sz="8" w:space="0" w:color="C1AD79"/>
              <w:bottom w:val="single" w:sz="8" w:space="0" w:color="C1AD79"/>
              <w:right w:val="single" w:sz="8" w:space="0" w:color="C1AD79"/>
            </w:tcBorders>
            <w:shd w:val="clear" w:color="auto" w:fill="auto"/>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3.84</w:t>
            </w:r>
          </w:p>
        </w:tc>
        <w:tc>
          <w:tcPr>
            <w:tcW w:w="70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3.08</w:t>
            </w:r>
          </w:p>
        </w:tc>
      </w:tr>
      <w:tr w:rsidR="005072B1" w:rsidRPr="001368E0" w:rsidTr="001368E0">
        <w:trPr>
          <w:trHeight w:val="300"/>
        </w:trPr>
        <w:tc>
          <w:tcPr>
            <w:tcW w:w="11023" w:type="dxa"/>
            <w:gridSpan w:val="15"/>
            <w:tcBorders>
              <w:top w:val="single" w:sz="8" w:space="0" w:color="C1AD79"/>
              <w:left w:val="single" w:sz="8" w:space="0" w:color="C1AD79"/>
              <w:bottom w:val="single" w:sz="8" w:space="0" w:color="C1AD79"/>
              <w:right w:val="single" w:sz="8" w:space="0" w:color="C1AD79"/>
            </w:tcBorders>
            <w:shd w:val="clear" w:color="auto" w:fill="EFEADD"/>
          </w:tcPr>
          <w:p w:rsidR="005072B1" w:rsidRPr="001368E0" w:rsidRDefault="005072B1" w:rsidP="001368E0">
            <w:pPr>
              <w:tabs>
                <w:tab w:val="left" w:pos="1008"/>
              </w:tabs>
              <w:spacing w:after="0" w:line="240" w:lineRule="auto"/>
              <w:jc w:val="both"/>
              <w:rPr>
                <w:rFonts w:ascii="Calibri" w:eastAsia="Times New Roman" w:hAnsi="Calibri"/>
                <w:b/>
                <w:bCs/>
                <w:color w:val="000000"/>
                <w:sz w:val="18"/>
                <w:szCs w:val="18"/>
                <w:lang w:val="en-GB"/>
              </w:rPr>
            </w:pPr>
            <w:r w:rsidRPr="001368E0">
              <w:rPr>
                <w:bCs/>
                <w:sz w:val="20"/>
                <w:szCs w:val="20"/>
                <w:lang w:val="en-GB"/>
              </w:rPr>
              <w:t xml:space="preserve">The Global Competitiveness Index is based on 12 pillars : (1) Institutions, (2) Infrastructure, (3) Macroeconomic environment, (4) Health and primary education, (5) Higher education and training, (6) Goods market efficiency, (7) Labour market efficiency, (8) Financial market development, (9) Technological readiness, (10) Market size, (11) Business sophistication, (12) Innovation. </w:t>
            </w:r>
            <w:r w:rsidRPr="001368E0">
              <w:rPr>
                <w:bCs/>
                <w:lang w:val="en-GB"/>
              </w:rPr>
              <w:t xml:space="preserve"> </w:t>
            </w:r>
          </w:p>
        </w:tc>
      </w:tr>
    </w:tbl>
    <w:p w:rsidR="005072B1" w:rsidRPr="000D3441" w:rsidRDefault="005072B1" w:rsidP="005A12B9">
      <w:pPr>
        <w:pStyle w:val="Caption"/>
        <w:spacing w:before="120" w:after="0"/>
        <w:jc w:val="left"/>
        <w:rPr>
          <w:sz w:val="22"/>
          <w:szCs w:val="22"/>
          <w:lang w:val="en-GB"/>
        </w:rPr>
      </w:pPr>
      <w:r w:rsidRPr="000D3441">
        <w:rPr>
          <w:sz w:val="22"/>
          <w:szCs w:val="22"/>
          <w:lang w:val="en-GB"/>
        </w:rPr>
        <w:t xml:space="preserve">Table 2. Global Competitiveness Index (CGI) 2012-2013 ranking (out of 148 countries) and scoring (from lowest 1 to highest 7), overall and for each of the 12 pillars. Countries strongest features are highlighted in yellow.   </w:t>
      </w:r>
    </w:p>
    <w:p w:rsidR="005072B1" w:rsidRPr="004B58D3" w:rsidRDefault="005072B1" w:rsidP="005072B1">
      <w:pPr>
        <w:spacing w:before="120" w:after="0" w:line="252" w:lineRule="auto"/>
        <w:jc w:val="both"/>
        <w:rPr>
          <w:sz w:val="22"/>
          <w:szCs w:val="22"/>
          <w:lang w:val="en-GB"/>
        </w:rPr>
      </w:pPr>
      <w:r w:rsidRPr="000D3441">
        <w:rPr>
          <w:sz w:val="22"/>
          <w:szCs w:val="22"/>
          <w:lang w:val="en-GB"/>
        </w:rPr>
        <w:t>In 2013, according to the World Economic Forum survey</w:t>
      </w:r>
      <w:r>
        <w:rPr>
          <w:rStyle w:val="EndnoteReference"/>
          <w:sz w:val="22"/>
          <w:szCs w:val="22"/>
          <w:lang w:val="en-GB"/>
        </w:rPr>
        <w:endnoteReference w:id="26"/>
      </w:r>
      <w:r w:rsidRPr="000D3441">
        <w:rPr>
          <w:sz w:val="22"/>
          <w:szCs w:val="22"/>
          <w:lang w:val="en-GB"/>
        </w:rPr>
        <w:t>, corruption is perceived by business executives as the most problematic factor for doing business in Armenia, Azerbaijan, Bulgaria, Moldova and Russia, and as the second most problematic factor in Romania (after tax rates) and Ukraine (after access to financing). In Greece and Georgia, access to financing is considered the most problematic factor, while it is tax rates in Turkey.</w:t>
      </w:r>
      <w:r>
        <w:rPr>
          <w:sz w:val="22"/>
          <w:szCs w:val="22"/>
          <w:lang w:val="en-GB"/>
        </w:rPr>
        <w:t xml:space="preserve">  </w:t>
      </w:r>
    </w:p>
    <w:p w:rsidR="005072B1" w:rsidRPr="004B58D3" w:rsidRDefault="005072B1" w:rsidP="005072B1">
      <w:pPr>
        <w:spacing w:before="120" w:after="0" w:line="252" w:lineRule="auto"/>
        <w:jc w:val="both"/>
        <w:rPr>
          <w:sz w:val="22"/>
          <w:szCs w:val="22"/>
          <w:lang w:val="en-GB"/>
        </w:rPr>
      </w:pPr>
      <w:r>
        <w:rPr>
          <w:sz w:val="22"/>
          <w:szCs w:val="22"/>
          <w:lang w:val="en-GB"/>
        </w:rPr>
        <w:t>I</w:t>
      </w:r>
      <w:r w:rsidRPr="004B58D3">
        <w:rPr>
          <w:sz w:val="22"/>
          <w:szCs w:val="22"/>
          <w:lang w:val="en-GB"/>
        </w:rPr>
        <w:t xml:space="preserve">n 2011 only three countries (Georgia, Azerbaijan and Armenia) attracted </w:t>
      </w:r>
      <w:r>
        <w:rPr>
          <w:sz w:val="22"/>
          <w:szCs w:val="22"/>
          <w:lang w:val="en-GB"/>
        </w:rPr>
        <w:t>foreign direct investment (</w:t>
      </w:r>
      <w:r w:rsidRPr="004B58D3">
        <w:rPr>
          <w:sz w:val="22"/>
          <w:szCs w:val="22"/>
          <w:lang w:val="en-GB"/>
        </w:rPr>
        <w:t>FDI</w:t>
      </w:r>
      <w:r>
        <w:rPr>
          <w:sz w:val="22"/>
          <w:szCs w:val="22"/>
          <w:lang w:val="en-GB"/>
        </w:rPr>
        <w:t>)</w:t>
      </w:r>
      <w:r w:rsidRPr="004B58D3">
        <w:rPr>
          <w:sz w:val="22"/>
          <w:szCs w:val="22"/>
          <w:lang w:val="en-GB"/>
        </w:rPr>
        <w:t xml:space="preserve"> in excess of 5% of GDP against seven countries in 2007</w:t>
      </w:r>
      <w:r>
        <w:rPr>
          <w:sz w:val="22"/>
          <w:szCs w:val="22"/>
          <w:lang w:val="en-GB"/>
        </w:rPr>
        <w:t xml:space="preserve"> (see </w:t>
      </w:r>
      <w:r w:rsidR="00363A14">
        <w:rPr>
          <w:sz w:val="22"/>
          <w:szCs w:val="22"/>
          <w:lang w:val="en-GB"/>
        </w:rPr>
        <w:t>figure 6</w:t>
      </w:r>
      <w:r w:rsidRPr="004B58D3">
        <w:rPr>
          <w:sz w:val="22"/>
          <w:szCs w:val="22"/>
          <w:lang w:val="en-GB"/>
        </w:rPr>
        <w:t xml:space="preserve"> below). The FDI is</w:t>
      </w:r>
      <w:r>
        <w:rPr>
          <w:sz w:val="22"/>
          <w:szCs w:val="22"/>
          <w:lang w:val="en-GB"/>
        </w:rPr>
        <w:t xml:space="preserve"> a</w:t>
      </w:r>
      <w:r w:rsidRPr="004B58D3">
        <w:rPr>
          <w:sz w:val="22"/>
          <w:szCs w:val="22"/>
          <w:lang w:val="en-GB"/>
        </w:rPr>
        <w:t xml:space="preserve"> useful indicator of how the business environment in the eligible territories is perceived by investors, and it shows that the Black Sea region</w:t>
      </w:r>
      <w:r>
        <w:rPr>
          <w:sz w:val="22"/>
          <w:szCs w:val="22"/>
          <w:lang w:val="en-GB"/>
        </w:rPr>
        <w:t xml:space="preserve"> overall</w:t>
      </w:r>
      <w:r w:rsidRPr="004B58D3">
        <w:rPr>
          <w:sz w:val="22"/>
          <w:szCs w:val="22"/>
          <w:lang w:val="en-GB"/>
        </w:rPr>
        <w:t xml:space="preserve"> still suffers from </w:t>
      </w:r>
      <w:r>
        <w:rPr>
          <w:sz w:val="22"/>
          <w:szCs w:val="22"/>
          <w:lang w:val="en-GB"/>
        </w:rPr>
        <w:t>a</w:t>
      </w:r>
      <w:r w:rsidRPr="004B58D3">
        <w:rPr>
          <w:sz w:val="22"/>
          <w:szCs w:val="22"/>
          <w:lang w:val="en-GB"/>
        </w:rPr>
        <w:t xml:space="preserve"> broader risk aversion following the 2008 crisis. </w:t>
      </w:r>
    </w:p>
    <w:p w:rsidR="005072B1" w:rsidRPr="004B58D3" w:rsidRDefault="006102F6" w:rsidP="006C45B4">
      <w:pPr>
        <w:pStyle w:val="Caption"/>
        <w:spacing w:after="0" w:line="252" w:lineRule="auto"/>
        <w:jc w:val="left"/>
        <w:rPr>
          <w:sz w:val="22"/>
          <w:szCs w:val="22"/>
          <w:lang w:val="en-GB"/>
        </w:rPr>
      </w:pPr>
      <w:r>
        <w:rPr>
          <w:i w:val="0"/>
          <w:noProof/>
          <w:color w:val="auto"/>
          <w:sz w:val="24"/>
          <w:szCs w:val="24"/>
          <w:lang w:val="ro-RO" w:eastAsia="ro-RO"/>
        </w:rPr>
        <w:drawing>
          <wp:inline distT="0" distB="0" distL="0" distR="0">
            <wp:extent cx="6696075" cy="2333625"/>
            <wp:effectExtent l="19050" t="0" r="9525" b="0"/>
            <wp:docPr id="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8"/>
                    <a:srcRect/>
                    <a:stretch>
                      <a:fillRect/>
                    </a:stretch>
                  </pic:blipFill>
                  <pic:spPr bwMode="auto">
                    <a:xfrm>
                      <a:off x="0" y="0"/>
                      <a:ext cx="6696075" cy="2333625"/>
                    </a:xfrm>
                    <a:prstGeom prst="rect">
                      <a:avLst/>
                    </a:prstGeom>
                    <a:noFill/>
                    <a:ln w="9525">
                      <a:noFill/>
                      <a:miter lim="800000"/>
                      <a:headEnd/>
                      <a:tailEnd/>
                    </a:ln>
                  </pic:spPr>
                </pic:pic>
              </a:graphicData>
            </a:graphic>
          </wp:inline>
        </w:drawing>
      </w:r>
      <w:r w:rsidR="005072B1" w:rsidRPr="004B58D3">
        <w:rPr>
          <w:sz w:val="22"/>
          <w:szCs w:val="22"/>
          <w:lang w:val="en-GB"/>
        </w:rPr>
        <w:t xml:space="preserve">Figure </w:t>
      </w:r>
      <w:r w:rsidR="00957F9B">
        <w:rPr>
          <w:sz w:val="22"/>
          <w:szCs w:val="22"/>
          <w:lang w:val="en-GB"/>
        </w:rPr>
        <w:t>6</w:t>
      </w:r>
      <w:r w:rsidR="005072B1" w:rsidRPr="004B58D3">
        <w:rPr>
          <w:sz w:val="22"/>
          <w:szCs w:val="22"/>
          <w:lang w:val="en-GB"/>
        </w:rPr>
        <w:t>. Foreign Direct Investment, as a % of GDP, 2011</w:t>
      </w:r>
      <w:r w:rsidR="005072B1">
        <w:rPr>
          <w:rStyle w:val="EndnoteReference"/>
          <w:sz w:val="22"/>
          <w:szCs w:val="22"/>
        </w:rPr>
        <w:endnoteReference w:id="27"/>
      </w:r>
    </w:p>
    <w:p w:rsidR="005072B1" w:rsidRPr="004B58D3" w:rsidRDefault="005072B1" w:rsidP="00C51C92">
      <w:pPr>
        <w:spacing w:before="120" w:after="0" w:line="252" w:lineRule="auto"/>
        <w:jc w:val="both"/>
        <w:rPr>
          <w:sz w:val="22"/>
          <w:szCs w:val="22"/>
          <w:lang w:val="en-GB"/>
        </w:rPr>
      </w:pPr>
      <w:r w:rsidRPr="004B58D3">
        <w:rPr>
          <w:sz w:val="22"/>
          <w:szCs w:val="22"/>
          <w:lang w:val="en-GB"/>
        </w:rPr>
        <w:t>The significant emigration since the 1990s, mostly labour emigration, has generated considerable flows of remittances to the Black Sea region</w:t>
      </w:r>
      <w:r w:rsidR="008873DD">
        <w:rPr>
          <w:sz w:val="22"/>
          <w:szCs w:val="22"/>
          <w:lang w:val="en-GB"/>
        </w:rPr>
        <w:t xml:space="preserve"> (see figure 7</w:t>
      </w:r>
      <w:r w:rsidRPr="004B58D3">
        <w:rPr>
          <w:sz w:val="22"/>
          <w:szCs w:val="22"/>
          <w:lang w:val="en-GB"/>
        </w:rPr>
        <w:t xml:space="preserve"> below). Personnal remittances received represent a substantial part of Gross Domestic Product (GDP) for Moldova (23%), Armenia (20%) and Georgia (11%), and is at about the same level as foreign direct investment (FDI) overall for Ukraine. As migrant remittances tend to be more predictable and stable than FDI as a source of foreign exchange, they play an important role in offsetting the balance of trade deficit. Remittances also influence economic activity in the recipient country through the growth of consumer demand, savings and investments, and entrepreneurial activity, and as such represent an opportunity to take advantage of to get maximum benefit for the countries e.g. encouraging the productive investment of remittances</w:t>
      </w:r>
      <w:r w:rsidRPr="004D189B">
        <w:rPr>
          <w:rStyle w:val="EndnoteReference"/>
          <w:sz w:val="22"/>
          <w:szCs w:val="22"/>
        </w:rPr>
        <w:endnoteReference w:id="28"/>
      </w:r>
      <w:r w:rsidRPr="004B58D3">
        <w:rPr>
          <w:sz w:val="22"/>
          <w:szCs w:val="22"/>
          <w:lang w:val="en-GB"/>
        </w:rPr>
        <w:t>.</w:t>
      </w:r>
    </w:p>
    <w:p w:rsidR="005072B1" w:rsidRPr="004B58D3" w:rsidRDefault="006102F6" w:rsidP="006C45B4">
      <w:pPr>
        <w:widowControl w:val="0"/>
        <w:autoSpaceDE w:val="0"/>
        <w:autoSpaceDN w:val="0"/>
        <w:adjustRightInd w:val="0"/>
        <w:spacing w:after="0" w:line="252" w:lineRule="auto"/>
        <w:rPr>
          <w:rFonts w:ascii="Times New Roman" w:hAnsi="Times New Roman"/>
          <w:i/>
          <w:sz w:val="22"/>
          <w:szCs w:val="22"/>
          <w:lang w:val="en-GB"/>
        </w:rPr>
      </w:pPr>
      <w:r>
        <w:rPr>
          <w:rFonts w:ascii="Times New Roman" w:hAnsi="Times New Roman"/>
          <w:noProof/>
          <w:sz w:val="22"/>
          <w:szCs w:val="22"/>
          <w:lang w:val="ro-RO" w:eastAsia="ro-RO"/>
        </w:rPr>
        <w:drawing>
          <wp:inline distT="0" distB="0" distL="0" distR="0">
            <wp:extent cx="6696075" cy="2333625"/>
            <wp:effectExtent l="19050" t="0" r="9525" b="0"/>
            <wp:docPr id="9"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9"/>
                    <a:srcRect/>
                    <a:stretch>
                      <a:fillRect/>
                    </a:stretch>
                  </pic:blipFill>
                  <pic:spPr bwMode="auto">
                    <a:xfrm>
                      <a:off x="0" y="0"/>
                      <a:ext cx="6696075" cy="2333625"/>
                    </a:xfrm>
                    <a:prstGeom prst="rect">
                      <a:avLst/>
                    </a:prstGeom>
                    <a:noFill/>
                    <a:ln w="9525">
                      <a:noFill/>
                      <a:miter lim="800000"/>
                      <a:headEnd/>
                      <a:tailEnd/>
                    </a:ln>
                  </pic:spPr>
                </pic:pic>
              </a:graphicData>
            </a:graphic>
          </wp:inline>
        </w:drawing>
      </w:r>
      <w:r w:rsidR="005072B1" w:rsidRPr="004B58D3">
        <w:rPr>
          <w:i/>
          <w:sz w:val="22"/>
          <w:szCs w:val="22"/>
          <w:lang w:val="en-GB"/>
        </w:rPr>
        <w:t xml:space="preserve">Figure </w:t>
      </w:r>
      <w:r w:rsidR="00957F9B">
        <w:rPr>
          <w:i/>
          <w:sz w:val="22"/>
          <w:szCs w:val="22"/>
          <w:lang w:val="en-GB"/>
        </w:rPr>
        <w:t>7</w:t>
      </w:r>
      <w:r w:rsidR="005072B1" w:rsidRPr="004B58D3">
        <w:rPr>
          <w:i/>
          <w:sz w:val="22"/>
          <w:szCs w:val="22"/>
          <w:lang w:val="en-GB"/>
        </w:rPr>
        <w:t>. Personnal remittances received, as a % of GDP, 2011</w:t>
      </w:r>
      <w:r w:rsidR="005072B1" w:rsidRPr="00ED01AF">
        <w:rPr>
          <w:rStyle w:val="EndnoteReference"/>
          <w:i/>
          <w:sz w:val="22"/>
          <w:szCs w:val="22"/>
        </w:rPr>
        <w:endnoteReference w:id="29"/>
      </w:r>
    </w:p>
    <w:p w:rsidR="005072B1" w:rsidRPr="004B58D3" w:rsidRDefault="005072B1" w:rsidP="005072B1">
      <w:pPr>
        <w:spacing w:before="120" w:after="0" w:line="252" w:lineRule="auto"/>
        <w:jc w:val="both"/>
        <w:rPr>
          <w:sz w:val="22"/>
          <w:szCs w:val="22"/>
          <w:lang w:val="en-GB"/>
        </w:rPr>
      </w:pPr>
      <w:r w:rsidRPr="004B58D3">
        <w:rPr>
          <w:sz w:val="22"/>
          <w:szCs w:val="22"/>
          <w:lang w:val="en-GB"/>
        </w:rPr>
        <w:t>The Gross Domestic Product (GDP) per capita figures still reflect large wealth disparities among Black Sea region countries</w:t>
      </w:r>
      <w:r w:rsidR="00C238A8">
        <w:rPr>
          <w:sz w:val="22"/>
          <w:szCs w:val="22"/>
          <w:lang w:val="en-GB"/>
        </w:rPr>
        <w:t xml:space="preserve"> (see figure 8</w:t>
      </w:r>
      <w:r w:rsidRPr="004B58D3">
        <w:rPr>
          <w:sz w:val="22"/>
          <w:szCs w:val="22"/>
          <w:lang w:val="en-GB"/>
        </w:rPr>
        <w:t xml:space="preserve"> below). GDP per capita in 2012 ranges from $2,038 in Moldova to $22,083 in Greece. The average for the region is $8,139, which corresponds to an upper middle income level</w:t>
      </w:r>
      <w:r w:rsidRPr="004D189B">
        <w:rPr>
          <w:rStyle w:val="FootnoteReference"/>
          <w:sz w:val="22"/>
          <w:szCs w:val="22"/>
        </w:rPr>
        <w:footnoteReference w:id="26"/>
      </w:r>
      <w:r w:rsidRPr="004B58D3">
        <w:rPr>
          <w:sz w:val="22"/>
          <w:szCs w:val="22"/>
          <w:lang w:val="en-GB"/>
        </w:rPr>
        <w:t xml:space="preserve">. </w:t>
      </w:r>
    </w:p>
    <w:p w:rsidR="005072B1" w:rsidRPr="004B58D3" w:rsidRDefault="005072B1" w:rsidP="005072B1">
      <w:pPr>
        <w:spacing w:before="120" w:after="0" w:line="252" w:lineRule="auto"/>
        <w:jc w:val="both"/>
        <w:rPr>
          <w:sz w:val="22"/>
          <w:szCs w:val="22"/>
          <w:lang w:val="en-GB"/>
        </w:rPr>
      </w:pPr>
      <w:r w:rsidRPr="004B58D3">
        <w:rPr>
          <w:sz w:val="22"/>
          <w:szCs w:val="22"/>
          <w:lang w:val="en-GB"/>
        </w:rPr>
        <w:t>This average is still four times lower than th</w:t>
      </w:r>
      <w:r w:rsidR="00CC7AC7">
        <w:rPr>
          <w:sz w:val="22"/>
          <w:szCs w:val="22"/>
          <w:lang w:val="en-GB"/>
        </w:rPr>
        <w:t>e EU overall figure in 2012 ($3</w:t>
      </w:r>
      <w:r w:rsidRPr="004B58D3">
        <w:rPr>
          <w:sz w:val="22"/>
          <w:szCs w:val="22"/>
          <w:lang w:val="en-GB"/>
        </w:rPr>
        <w:t>2</w:t>
      </w:r>
      <w:r w:rsidR="00CC7AC7">
        <w:rPr>
          <w:sz w:val="22"/>
          <w:szCs w:val="22"/>
          <w:lang w:val="en-GB"/>
        </w:rPr>
        <w:t>,</w:t>
      </w:r>
      <w:r w:rsidRPr="004B58D3">
        <w:rPr>
          <w:sz w:val="22"/>
          <w:szCs w:val="22"/>
          <w:lang w:val="en-GB"/>
        </w:rPr>
        <w:t>677), although, considering it was six times lower in 2006, there has been a convergence over the period, driven by stronger economic growth</w:t>
      </w:r>
      <w:r>
        <w:rPr>
          <w:sz w:val="22"/>
          <w:szCs w:val="22"/>
          <w:lang w:val="en-GB"/>
        </w:rPr>
        <w:t xml:space="preserve"> on average</w:t>
      </w:r>
      <w:r w:rsidRPr="004B58D3">
        <w:rPr>
          <w:sz w:val="22"/>
          <w:szCs w:val="22"/>
          <w:lang w:val="en-GB"/>
        </w:rPr>
        <w:t xml:space="preserve"> </w:t>
      </w:r>
      <w:r w:rsidRPr="000D3441">
        <w:rPr>
          <w:sz w:val="22"/>
          <w:szCs w:val="22"/>
          <w:lang w:val="en-GB"/>
        </w:rPr>
        <w:t>in th</w:t>
      </w:r>
      <w:r w:rsidR="00FB4798">
        <w:rPr>
          <w:sz w:val="22"/>
          <w:szCs w:val="22"/>
          <w:lang w:val="en-GB"/>
        </w:rPr>
        <w:t>e Black Sea region (see figure 5</w:t>
      </w:r>
      <w:r w:rsidRPr="000D3441">
        <w:rPr>
          <w:sz w:val="22"/>
          <w:szCs w:val="22"/>
          <w:lang w:val="en-GB"/>
        </w:rPr>
        <w:t xml:space="preserve"> above). When comparing Purchasing Power Parity (PPP), the GDP per capita</w:t>
      </w:r>
      <w:r w:rsidRPr="004B58D3">
        <w:rPr>
          <w:sz w:val="22"/>
          <w:szCs w:val="22"/>
          <w:lang w:val="en-GB"/>
        </w:rPr>
        <w:t xml:space="preserve"> gap is even smaller, as Black Sea region average figure is only 2.5 times lower than that for the EU.   </w:t>
      </w:r>
    </w:p>
    <w:p w:rsidR="005072B1" w:rsidRDefault="006102F6" w:rsidP="005072B1">
      <w:pPr>
        <w:keepNext/>
        <w:widowControl w:val="0"/>
        <w:autoSpaceDE w:val="0"/>
        <w:autoSpaceDN w:val="0"/>
        <w:adjustRightInd w:val="0"/>
        <w:spacing w:before="120" w:after="0" w:line="252" w:lineRule="auto"/>
      </w:pPr>
      <w:r>
        <w:rPr>
          <w:noProof/>
          <w:lang w:val="ro-RO" w:eastAsia="ro-RO"/>
        </w:rPr>
        <w:drawing>
          <wp:inline distT="0" distB="0" distL="0" distR="0">
            <wp:extent cx="6696075" cy="2266950"/>
            <wp:effectExtent l="19050" t="0" r="9525" b="0"/>
            <wp:docPr id="1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0"/>
                    <a:srcRect/>
                    <a:stretch>
                      <a:fillRect/>
                    </a:stretch>
                  </pic:blipFill>
                  <pic:spPr bwMode="auto">
                    <a:xfrm>
                      <a:off x="0" y="0"/>
                      <a:ext cx="6696075" cy="2266950"/>
                    </a:xfrm>
                    <a:prstGeom prst="rect">
                      <a:avLst/>
                    </a:prstGeom>
                    <a:noFill/>
                    <a:ln w="9525">
                      <a:noFill/>
                      <a:miter lim="800000"/>
                      <a:headEnd/>
                      <a:tailEnd/>
                    </a:ln>
                  </pic:spPr>
                </pic:pic>
              </a:graphicData>
            </a:graphic>
          </wp:inline>
        </w:drawing>
      </w:r>
    </w:p>
    <w:p w:rsidR="005072B1" w:rsidRPr="005A12B9" w:rsidRDefault="005072B1" w:rsidP="005A12B9">
      <w:pPr>
        <w:pStyle w:val="Caption"/>
        <w:spacing w:after="0" w:line="252" w:lineRule="auto"/>
        <w:jc w:val="left"/>
        <w:rPr>
          <w:rFonts w:ascii="Times New Roman" w:hAnsi="Times New Roman"/>
          <w:color w:val="1D181A"/>
          <w:sz w:val="22"/>
          <w:szCs w:val="22"/>
          <w:lang w:val="en-GB"/>
        </w:rPr>
      </w:pPr>
      <w:r w:rsidRPr="005A12B9">
        <w:rPr>
          <w:sz w:val="22"/>
          <w:szCs w:val="22"/>
          <w:lang w:val="en-GB"/>
        </w:rPr>
        <w:t xml:space="preserve">Figure </w:t>
      </w:r>
      <w:r w:rsidR="00957F9B" w:rsidRPr="005A12B9">
        <w:rPr>
          <w:sz w:val="22"/>
          <w:szCs w:val="22"/>
          <w:lang w:val="en-GB"/>
        </w:rPr>
        <w:t>8</w:t>
      </w:r>
      <w:r w:rsidRPr="005A12B9">
        <w:rPr>
          <w:sz w:val="22"/>
          <w:szCs w:val="22"/>
          <w:lang w:val="en-GB"/>
        </w:rPr>
        <w:t>. GDP per capita of Black Sea countries, 2012</w:t>
      </w:r>
      <w:r w:rsidRPr="005A12B9">
        <w:rPr>
          <w:rStyle w:val="EndnoteReference"/>
          <w:sz w:val="22"/>
          <w:szCs w:val="22"/>
        </w:rPr>
        <w:endnoteReference w:id="30"/>
      </w:r>
    </w:p>
    <w:p w:rsidR="005072B1" w:rsidRDefault="005072B1" w:rsidP="005072B1">
      <w:pPr>
        <w:spacing w:before="120" w:after="0" w:line="252" w:lineRule="auto"/>
        <w:jc w:val="both"/>
        <w:rPr>
          <w:sz w:val="22"/>
          <w:szCs w:val="22"/>
          <w:lang w:val="en-GB"/>
        </w:rPr>
      </w:pPr>
      <w:r w:rsidRPr="000D3441">
        <w:rPr>
          <w:sz w:val="22"/>
          <w:szCs w:val="22"/>
          <w:lang w:val="en-GB"/>
        </w:rPr>
        <w:t>Disparities among Black Sea countries have also reduced over the last few years, mostly due to the different countries growth rates but also to a lesser extent to their disparate demographic trends, notably affected by emigration</w:t>
      </w:r>
      <w:r w:rsidRPr="000D3441">
        <w:rPr>
          <w:rStyle w:val="FootnoteReference"/>
          <w:sz w:val="22"/>
          <w:szCs w:val="22"/>
          <w:lang w:val="en-GB"/>
        </w:rPr>
        <w:footnoteReference w:id="27"/>
      </w:r>
      <w:r w:rsidRPr="000D3441">
        <w:rPr>
          <w:sz w:val="22"/>
          <w:szCs w:val="22"/>
          <w:lang w:val="en-GB"/>
        </w:rPr>
        <w:t>. As a</w:t>
      </w:r>
      <w:r w:rsidRPr="00FD5F88">
        <w:rPr>
          <w:sz w:val="22"/>
          <w:szCs w:val="22"/>
          <w:lang w:val="en-GB"/>
        </w:rPr>
        <w:t xml:space="preserve"> result the ratio in 2006 of 1 to 22 between the lowest (Moldova) and highest (Greece) GDP per capita figures, dropped to 1 to 11 in 2012 for nominal GDP, </w:t>
      </w:r>
      <w:r w:rsidR="00F259B6">
        <w:rPr>
          <w:sz w:val="22"/>
          <w:szCs w:val="22"/>
          <w:lang w:val="en-GB"/>
        </w:rPr>
        <w:t xml:space="preserve">and 1 to 7 for PPP (see figure 8 </w:t>
      </w:r>
      <w:r>
        <w:rPr>
          <w:sz w:val="22"/>
          <w:szCs w:val="22"/>
          <w:lang w:val="en-GB"/>
        </w:rPr>
        <w:t>above</w:t>
      </w:r>
      <w:r w:rsidRPr="00FD5F88">
        <w:rPr>
          <w:sz w:val="22"/>
          <w:szCs w:val="22"/>
          <w:lang w:val="en-GB"/>
        </w:rPr>
        <w:t>).</w:t>
      </w:r>
    </w:p>
    <w:p w:rsidR="005072B1" w:rsidRPr="004B58D3" w:rsidRDefault="005072B1" w:rsidP="005072B1">
      <w:pPr>
        <w:spacing w:before="120" w:after="0" w:line="252" w:lineRule="auto"/>
        <w:jc w:val="both"/>
        <w:rPr>
          <w:sz w:val="22"/>
          <w:szCs w:val="22"/>
          <w:lang w:val="en-GB"/>
        </w:rPr>
      </w:pPr>
      <w:r w:rsidRPr="004B58D3">
        <w:rPr>
          <w:sz w:val="22"/>
          <w:szCs w:val="22"/>
          <w:lang w:val="en-GB"/>
        </w:rPr>
        <w:t>The economic structure in the Black Sea Basin eligible area still shows overall a larger share of agricultural and industrial sectors than the EU average. In terms of economic structure, the countries have in common a long-term decline of the agricultural sector, the rapid growth of the services sector, and the fact that on the expenditure side the private sector accounts for most of the incremental economic growth, led notably by consumer demand</w:t>
      </w:r>
      <w:r w:rsidRPr="004D189B">
        <w:rPr>
          <w:rStyle w:val="EndnoteReference"/>
          <w:sz w:val="22"/>
          <w:szCs w:val="22"/>
        </w:rPr>
        <w:endnoteReference w:id="31"/>
      </w:r>
      <w:r w:rsidRPr="004B58D3">
        <w:rPr>
          <w:sz w:val="22"/>
          <w:szCs w:val="22"/>
          <w:lang w:val="en-GB"/>
        </w:rPr>
        <w:t xml:space="preserve">. </w:t>
      </w:r>
    </w:p>
    <w:p w:rsidR="005072B1" w:rsidRDefault="005072B1" w:rsidP="005072B1">
      <w:pPr>
        <w:spacing w:before="120" w:after="0" w:line="252" w:lineRule="auto"/>
        <w:jc w:val="both"/>
        <w:rPr>
          <w:sz w:val="22"/>
          <w:szCs w:val="22"/>
          <w:lang w:val="en-GB"/>
        </w:rPr>
      </w:pPr>
      <w:r w:rsidRPr="004B58D3">
        <w:rPr>
          <w:sz w:val="22"/>
          <w:szCs w:val="22"/>
          <w:lang w:val="en-GB"/>
        </w:rPr>
        <w:t>However the economies of the Black Sea region are very diverse in their structure, e.g. Armenia and Moldova rely on their agricultural sectors, while e.g. Ukraine is still dependent on low value added ‘heavy’ industry. Most countries are energy importers, but there are also two energy exporters (Russia and Azerbaijan), who rely on these exports to fuel their growth and face the challenge of diversifying their economies. Even service sector growth tends to take different forms. In some cases retail is more significant, though to varying degrees financial services, tourism, and transport and shipping also play important roles</w:t>
      </w:r>
      <w:r w:rsidRPr="004D189B">
        <w:rPr>
          <w:rStyle w:val="EndnoteReference"/>
          <w:sz w:val="22"/>
          <w:szCs w:val="22"/>
        </w:rPr>
        <w:endnoteReference w:id="32"/>
      </w:r>
      <w:r w:rsidRPr="004B58D3">
        <w:rPr>
          <w:sz w:val="22"/>
          <w:szCs w:val="22"/>
          <w:lang w:val="en-GB"/>
        </w:rPr>
        <w:t>. This may generate complementarities within which regional cooperation may develop.</w:t>
      </w:r>
    </w:p>
    <w:p w:rsidR="005072B1" w:rsidRPr="00002063" w:rsidRDefault="005072B1" w:rsidP="001024F6">
      <w:pPr>
        <w:spacing w:before="240" w:after="120" w:line="264" w:lineRule="auto"/>
        <w:rPr>
          <w:b/>
          <w:bCs/>
          <w:lang w:val="en-GB"/>
        </w:rPr>
      </w:pPr>
      <w:bookmarkStart w:id="29" w:name="_Toc246127424"/>
      <w:r w:rsidRPr="00002063">
        <w:rPr>
          <w:b/>
          <w:bCs/>
          <w:lang w:val="en-GB"/>
        </w:rPr>
        <w:t>Small and Medium Enterprises</w:t>
      </w:r>
      <w:bookmarkEnd w:id="29"/>
    </w:p>
    <w:p w:rsidR="005072B1" w:rsidRDefault="005072B1" w:rsidP="005072B1">
      <w:pPr>
        <w:spacing w:before="120" w:after="0" w:line="252" w:lineRule="auto"/>
        <w:jc w:val="both"/>
        <w:rPr>
          <w:sz w:val="22"/>
          <w:szCs w:val="22"/>
          <w:lang w:val="en-GB"/>
        </w:rPr>
      </w:pPr>
      <w:r w:rsidRPr="004B58D3">
        <w:rPr>
          <w:sz w:val="22"/>
          <w:szCs w:val="22"/>
          <w:lang w:val="en-GB"/>
        </w:rPr>
        <w:t>Small and medium enterprises (SMEs)</w:t>
      </w:r>
      <w:r w:rsidRPr="004B58D3">
        <w:rPr>
          <w:rStyle w:val="FootnoteReference"/>
          <w:rFonts w:eastAsia="Times New Roman"/>
          <w:sz w:val="22"/>
          <w:szCs w:val="22"/>
          <w:lang w:val="en-GB"/>
        </w:rPr>
        <w:t xml:space="preserve"> </w:t>
      </w:r>
      <w:r w:rsidRPr="004D189B">
        <w:rPr>
          <w:rStyle w:val="FootnoteReference"/>
          <w:rFonts w:eastAsia="Times New Roman"/>
          <w:sz w:val="22"/>
          <w:szCs w:val="22"/>
        </w:rPr>
        <w:footnoteReference w:id="28"/>
      </w:r>
      <w:r w:rsidRPr="004B58D3">
        <w:rPr>
          <w:rFonts w:eastAsia="Times New Roman"/>
          <w:sz w:val="22"/>
          <w:szCs w:val="22"/>
          <w:lang w:val="en-GB"/>
        </w:rPr>
        <w:t xml:space="preserve"> </w:t>
      </w:r>
      <w:r w:rsidRPr="004B58D3">
        <w:rPr>
          <w:sz w:val="22"/>
          <w:szCs w:val="22"/>
          <w:lang w:val="en-GB"/>
        </w:rPr>
        <w:t>in the ENI CBC Black Sea Basin eligible area</w:t>
      </w:r>
      <w:r w:rsidRPr="004D189B">
        <w:rPr>
          <w:rStyle w:val="FootnoteReference"/>
          <w:sz w:val="22"/>
          <w:szCs w:val="22"/>
        </w:rPr>
        <w:footnoteReference w:id="29"/>
      </w:r>
      <w:r w:rsidRPr="004B58D3">
        <w:rPr>
          <w:sz w:val="22"/>
          <w:szCs w:val="22"/>
          <w:lang w:val="en-GB"/>
        </w:rPr>
        <w:t xml:space="preserve"> represent 99% of all enterprises, which is similar to the EU overall. SMEs play an important role as key engines for economic growth, provide more than half of all employment and more than a third of gross value added</w:t>
      </w:r>
      <w:r w:rsidRPr="004D189B">
        <w:rPr>
          <w:rStyle w:val="FootnoteReference"/>
          <w:sz w:val="22"/>
          <w:szCs w:val="22"/>
        </w:rPr>
        <w:footnoteReference w:id="30"/>
      </w:r>
      <w:r w:rsidRPr="004B58D3">
        <w:rPr>
          <w:sz w:val="22"/>
          <w:szCs w:val="22"/>
          <w:lang w:val="en-GB"/>
        </w:rPr>
        <w:t>. There is still potential for growth, in particular in the Eastern part of the Basin, considering these overall figures are below EU and OECD averages, where SMEs account for two-third of the employment and more than half the value added</w:t>
      </w:r>
      <w:r w:rsidRPr="004D189B">
        <w:rPr>
          <w:rStyle w:val="EndnoteReference"/>
          <w:sz w:val="22"/>
          <w:szCs w:val="22"/>
        </w:rPr>
        <w:endnoteReference w:id="33"/>
      </w:r>
      <w:r w:rsidRPr="004B58D3">
        <w:rPr>
          <w:sz w:val="22"/>
          <w:szCs w:val="22"/>
          <w:lang w:val="en-GB"/>
        </w:rPr>
        <w:t xml:space="preserve">. </w:t>
      </w:r>
    </w:p>
    <w:p w:rsidR="005072B1" w:rsidRPr="004B58D3" w:rsidRDefault="005072B1" w:rsidP="005072B1">
      <w:pPr>
        <w:spacing w:before="120" w:after="0" w:line="252" w:lineRule="auto"/>
        <w:jc w:val="both"/>
        <w:rPr>
          <w:rFonts w:eastAsia="Times New Roman"/>
          <w:sz w:val="22"/>
          <w:szCs w:val="22"/>
          <w:lang w:val="en-GB"/>
        </w:rPr>
      </w:pPr>
      <w:r w:rsidRPr="004B58D3">
        <w:rPr>
          <w:rFonts w:eastAsia="Times New Roman"/>
          <w:sz w:val="22"/>
          <w:szCs w:val="22"/>
          <w:lang w:val="en-GB"/>
        </w:rPr>
        <w:t>Access to financing continues to be one of the most significant challenges for the creation, survival and growth of SMEs, especially innovative ones, a problem that has been strongly exacerbated by the financial crisis.</w:t>
      </w:r>
      <w:r w:rsidRPr="004B58D3">
        <w:rPr>
          <w:sz w:val="22"/>
          <w:szCs w:val="22"/>
          <w:lang w:val="en-GB"/>
        </w:rPr>
        <w:t xml:space="preserve"> Business incubators, clusters of innovative SMEs, science and technology parks and development agencies may play an important role in facilitating appropriate access to financing for SMEs at local and regional levels. Cities and regions may underpin and strengthen this function through partnerships with private financial institutions and universities. </w:t>
      </w:r>
    </w:p>
    <w:p w:rsidR="005072B1" w:rsidRDefault="005072B1" w:rsidP="005072B1">
      <w:pPr>
        <w:spacing w:before="120" w:after="0" w:line="252" w:lineRule="auto"/>
        <w:jc w:val="both"/>
        <w:rPr>
          <w:rFonts w:eastAsia="Times New Roman"/>
          <w:sz w:val="22"/>
          <w:szCs w:val="22"/>
          <w:lang w:val="en-GB"/>
        </w:rPr>
      </w:pPr>
      <w:r w:rsidRPr="004B58D3">
        <w:rPr>
          <w:rFonts w:eastAsia="Times New Roman"/>
          <w:sz w:val="22"/>
          <w:szCs w:val="22"/>
          <w:lang w:val="en-GB"/>
        </w:rPr>
        <w:t>Other challenges to further development for SMEs in the Black Sea Basin include easing the administrative burden on small businesses, supporting entrepreneurship development and skills upgrading, supporting technology diffusion and SME access to international markets. This could provide opportunities in particular for the development of important regional sectors such as agribusiness, information and communication technologies (ICT), tourism and construction</w:t>
      </w:r>
      <w:r w:rsidRPr="004D189B">
        <w:rPr>
          <w:rStyle w:val="EndnoteReference"/>
          <w:rFonts w:eastAsia="Times New Roman"/>
          <w:sz w:val="22"/>
          <w:szCs w:val="22"/>
        </w:rPr>
        <w:endnoteReference w:id="34"/>
      </w:r>
      <w:r w:rsidRPr="004B58D3">
        <w:rPr>
          <w:rFonts w:eastAsia="Times New Roman"/>
          <w:sz w:val="22"/>
          <w:szCs w:val="22"/>
          <w:lang w:val="en-GB"/>
        </w:rPr>
        <w:t>.</w:t>
      </w:r>
    </w:p>
    <w:p w:rsidR="005072B1" w:rsidRDefault="005072B1" w:rsidP="005072B1">
      <w:pPr>
        <w:spacing w:before="120" w:after="0" w:line="252" w:lineRule="auto"/>
        <w:jc w:val="both"/>
        <w:rPr>
          <w:rFonts w:eastAsia="Times New Roman"/>
          <w:sz w:val="22"/>
          <w:szCs w:val="22"/>
          <w:lang w:val="en-GB"/>
        </w:rPr>
      </w:pPr>
      <w:r w:rsidRPr="000D3441">
        <w:rPr>
          <w:rFonts w:eastAsia="Times New Roman"/>
          <w:sz w:val="22"/>
          <w:szCs w:val="22"/>
          <w:lang w:val="en-GB"/>
        </w:rPr>
        <w:t xml:space="preserve">A comparison of business regulations for small and medium-size enterprises in Black Sea Basin countries reveals great discrepancies, an uneven path of reforms as well as a large potential for exchange of good practices among countries </w:t>
      </w:r>
      <w:r>
        <w:rPr>
          <w:rFonts w:eastAsia="Times New Roman"/>
          <w:sz w:val="22"/>
          <w:szCs w:val="22"/>
          <w:lang w:val="en-GB"/>
        </w:rPr>
        <w:t>(see Table 3</w:t>
      </w:r>
      <w:r w:rsidRPr="000D3441">
        <w:rPr>
          <w:rFonts w:eastAsia="Times New Roman"/>
          <w:sz w:val="22"/>
          <w:szCs w:val="22"/>
          <w:lang w:val="en-GB"/>
        </w:rPr>
        <w:t xml:space="preserve"> below). Some countries (Georgia, Armenia) have achieved considerable success in improving the regulations that enhance business activity and now rank among the most business-friendly environments worldwide, while the business climate has got comparatively worse in Romania, Russia, Bulgaria and Ukraine since 2007. Georgia stands out as a top improver since 2005, both regionally and worldwide, focusing first on reducing the complexity and cost of regulatory processes (in such areas as business start-up, construction permits, property registration) then strengthening legal institutions relevant to business regulation (in such areas as getting credit and protecting investors)</w:t>
      </w:r>
      <w:r w:rsidRPr="000D3441">
        <w:rPr>
          <w:rStyle w:val="EndnoteReference"/>
          <w:rFonts w:eastAsia="Times New Roman"/>
          <w:sz w:val="22"/>
          <w:szCs w:val="22"/>
          <w:lang w:val="en-GB"/>
        </w:rPr>
        <w:endnoteReference w:id="35"/>
      </w:r>
      <w:r w:rsidRPr="000D3441">
        <w:rPr>
          <w:rFonts w:eastAsia="Times New Roman"/>
          <w:sz w:val="22"/>
          <w:szCs w:val="22"/>
          <w:lang w:val="en-GB"/>
        </w:rPr>
        <w:t>. Aiming for economic recovery, Greece has recently considerably improved its regulatory framework, though it still ranks rather low.</w:t>
      </w:r>
    </w:p>
    <w:p w:rsidR="005072B1" w:rsidRPr="006916CA" w:rsidRDefault="005072B1" w:rsidP="005072B1">
      <w:pPr>
        <w:spacing w:before="120" w:after="0" w:line="252" w:lineRule="auto"/>
        <w:jc w:val="both"/>
        <w:rPr>
          <w:rFonts w:eastAsia="Times New Roman"/>
          <w:sz w:val="22"/>
          <w:szCs w:val="22"/>
          <w:lang w:val="en-GB"/>
        </w:rPr>
      </w:pPr>
    </w:p>
    <w:tbl>
      <w:tblPr>
        <w:tblpPr w:leftFromText="141" w:rightFromText="141" w:horzAnchor="page" w:tblpX="588"/>
        <w:tblW w:w="11473" w:type="dxa"/>
        <w:tblBorders>
          <w:top w:val="single" w:sz="8" w:space="0" w:color="C1AD79"/>
          <w:left w:val="single" w:sz="8" w:space="0" w:color="C1AD79"/>
          <w:bottom w:val="single" w:sz="8" w:space="0" w:color="C1AD79"/>
          <w:right w:val="single" w:sz="8" w:space="0" w:color="C1AD79"/>
          <w:insideH w:val="single" w:sz="8" w:space="0" w:color="C1AD79"/>
          <w:insideV w:val="single" w:sz="8" w:space="0" w:color="C1AD79"/>
        </w:tblBorders>
        <w:tblLayout w:type="fixed"/>
        <w:tblLook w:val="04A0"/>
      </w:tblPr>
      <w:tblGrid>
        <w:gridCol w:w="1013"/>
        <w:gridCol w:w="655"/>
        <w:gridCol w:w="708"/>
        <w:gridCol w:w="846"/>
        <w:gridCol w:w="1157"/>
        <w:gridCol w:w="935"/>
        <w:gridCol w:w="1033"/>
        <w:gridCol w:w="761"/>
        <w:gridCol w:w="974"/>
        <w:gridCol w:w="698"/>
        <w:gridCol w:w="789"/>
        <w:gridCol w:w="918"/>
        <w:gridCol w:w="986"/>
      </w:tblGrid>
      <w:tr w:rsidR="005072B1" w:rsidRPr="001368E0" w:rsidTr="001368E0">
        <w:trPr>
          <w:trHeight w:val="720"/>
        </w:trPr>
        <w:tc>
          <w:tcPr>
            <w:tcW w:w="1013"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color w:val="000000"/>
                <w:sz w:val="18"/>
                <w:szCs w:val="18"/>
              </w:rPr>
              <w:t>Economy</w:t>
            </w:r>
          </w:p>
        </w:tc>
        <w:tc>
          <w:tcPr>
            <w:tcW w:w="655"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color w:val="000000"/>
                <w:sz w:val="18"/>
                <w:szCs w:val="18"/>
              </w:rPr>
              <w:t>EDB Rank 2007</w:t>
            </w:r>
          </w:p>
        </w:tc>
        <w:tc>
          <w:tcPr>
            <w:tcW w:w="708"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b/>
                <w:color w:val="000000"/>
                <w:sz w:val="18"/>
                <w:szCs w:val="18"/>
              </w:rPr>
              <w:t>EDB Rank 2012</w:t>
            </w:r>
          </w:p>
        </w:tc>
        <w:tc>
          <w:tcPr>
            <w:tcW w:w="846"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Starting a Business</w:t>
            </w:r>
          </w:p>
        </w:tc>
        <w:tc>
          <w:tcPr>
            <w:tcW w:w="1157"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Dealing with Construction Permits</w:t>
            </w:r>
          </w:p>
        </w:tc>
        <w:tc>
          <w:tcPr>
            <w:tcW w:w="935"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Getting Electricity</w:t>
            </w:r>
          </w:p>
        </w:tc>
        <w:tc>
          <w:tcPr>
            <w:tcW w:w="1033"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Registering Property</w:t>
            </w:r>
          </w:p>
        </w:tc>
        <w:tc>
          <w:tcPr>
            <w:tcW w:w="761"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Getting Credit</w:t>
            </w:r>
          </w:p>
        </w:tc>
        <w:tc>
          <w:tcPr>
            <w:tcW w:w="974"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Protecting Investors</w:t>
            </w:r>
          </w:p>
        </w:tc>
        <w:tc>
          <w:tcPr>
            <w:tcW w:w="698"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Paying Taxes</w:t>
            </w:r>
          </w:p>
        </w:tc>
        <w:tc>
          <w:tcPr>
            <w:tcW w:w="789"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Trading Across Borders</w:t>
            </w:r>
          </w:p>
        </w:tc>
        <w:tc>
          <w:tcPr>
            <w:tcW w:w="918"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Enforcing Contracts</w:t>
            </w:r>
          </w:p>
        </w:tc>
        <w:tc>
          <w:tcPr>
            <w:tcW w:w="986" w:type="dxa"/>
            <w:tcBorders>
              <w:top w:val="single" w:sz="8" w:space="0" w:color="C1AD79"/>
              <w:left w:val="single" w:sz="8" w:space="0" w:color="C1AD79"/>
              <w:bottom w:val="single" w:sz="18" w:space="0" w:color="C1AD79"/>
              <w:right w:val="single" w:sz="8" w:space="0" w:color="C1AD79"/>
            </w:tcBorders>
            <w:shd w:val="clear" w:color="auto" w:fill="auto"/>
            <w:hideMark/>
          </w:tcPr>
          <w:p w:rsidR="005072B1" w:rsidRPr="001368E0" w:rsidRDefault="005072B1" w:rsidP="001368E0">
            <w:pPr>
              <w:spacing w:after="0" w:line="240" w:lineRule="auto"/>
              <w:jc w:val="center"/>
              <w:rPr>
                <w:rFonts w:ascii="Calibri" w:eastAsia="Times New Roman" w:hAnsi="Calibri"/>
                <w:b/>
                <w:bCs/>
                <w:color w:val="000000"/>
                <w:sz w:val="18"/>
                <w:szCs w:val="18"/>
              </w:rPr>
            </w:pPr>
            <w:r w:rsidRPr="001368E0">
              <w:rPr>
                <w:rFonts w:ascii="Calibri" w:eastAsia="Times New Roman" w:hAnsi="Calibri"/>
                <w:color w:val="000000"/>
                <w:sz w:val="18"/>
                <w:szCs w:val="18"/>
              </w:rPr>
              <w:t>Resolving Insolvency</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b/>
                <w:color w:val="000000"/>
                <w:sz w:val="18"/>
                <w:szCs w:val="18"/>
              </w:rPr>
              <w:t>Georgia</w:t>
            </w:r>
          </w:p>
        </w:tc>
        <w:tc>
          <w:tcPr>
            <w:tcW w:w="655"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i/>
                <w:color w:val="000000"/>
                <w:sz w:val="18"/>
                <w:szCs w:val="18"/>
              </w:rPr>
            </w:pPr>
            <w:r w:rsidRPr="001368E0">
              <w:rPr>
                <w:rFonts w:ascii="Calibri" w:eastAsia="Times New Roman" w:hAnsi="Calibri"/>
                <w:i/>
                <w:color w:val="000000"/>
                <w:sz w:val="18"/>
                <w:szCs w:val="18"/>
              </w:rPr>
              <w:t>37</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b/>
                <w:bCs/>
                <w:color w:val="000000"/>
                <w:sz w:val="18"/>
                <w:szCs w:val="18"/>
              </w:rPr>
            </w:pPr>
            <w:r w:rsidRPr="001368E0">
              <w:rPr>
                <w:rFonts w:ascii="Calibri" w:eastAsia="Times New Roman" w:hAnsi="Calibri"/>
                <w:b/>
                <w:bCs/>
                <w:color w:val="000000"/>
                <w:sz w:val="18"/>
                <w:szCs w:val="18"/>
              </w:rPr>
              <w:t>9</w:t>
            </w:r>
          </w:p>
        </w:tc>
        <w:tc>
          <w:tcPr>
            <w:tcW w:w="84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sz w:val="18"/>
                <w:szCs w:val="18"/>
              </w:rPr>
            </w:pPr>
            <w:r w:rsidRPr="001368E0">
              <w:rPr>
                <w:rFonts w:ascii="Calibri" w:eastAsia="Times New Roman" w:hAnsi="Calibri"/>
                <w:sz w:val="18"/>
                <w:szCs w:val="18"/>
              </w:rPr>
              <w:t>7</w:t>
            </w:r>
          </w:p>
        </w:tc>
        <w:tc>
          <w:tcPr>
            <w:tcW w:w="1157"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w:t>
            </w:r>
          </w:p>
        </w:tc>
        <w:tc>
          <w:tcPr>
            <w:tcW w:w="935"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50</w:t>
            </w:r>
          </w:p>
        </w:tc>
        <w:tc>
          <w:tcPr>
            <w:tcW w:w="103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w:t>
            </w:r>
          </w:p>
        </w:tc>
        <w:tc>
          <w:tcPr>
            <w:tcW w:w="761"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w:t>
            </w:r>
          </w:p>
        </w:tc>
        <w:tc>
          <w:tcPr>
            <w:tcW w:w="974"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19</w:t>
            </w:r>
          </w:p>
        </w:tc>
        <w:tc>
          <w:tcPr>
            <w:tcW w:w="69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33</w:t>
            </w:r>
          </w:p>
        </w:tc>
        <w:tc>
          <w:tcPr>
            <w:tcW w:w="78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38</w:t>
            </w:r>
          </w:p>
        </w:tc>
        <w:tc>
          <w:tcPr>
            <w:tcW w:w="91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30</w:t>
            </w:r>
          </w:p>
        </w:tc>
        <w:tc>
          <w:tcPr>
            <w:tcW w:w="98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81</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b/>
                <w:color w:val="000000"/>
                <w:sz w:val="18"/>
                <w:szCs w:val="18"/>
              </w:rPr>
              <w:t>Armenia</w:t>
            </w:r>
          </w:p>
        </w:tc>
        <w:tc>
          <w:tcPr>
            <w:tcW w:w="655"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i/>
                <w:color w:val="000000"/>
                <w:sz w:val="18"/>
                <w:szCs w:val="18"/>
              </w:rPr>
            </w:pPr>
            <w:r w:rsidRPr="001368E0">
              <w:rPr>
                <w:rFonts w:ascii="Calibri" w:eastAsia="Times New Roman" w:hAnsi="Calibri"/>
                <w:i/>
                <w:color w:val="000000"/>
                <w:sz w:val="18"/>
                <w:szCs w:val="18"/>
              </w:rPr>
              <w:t>34</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b/>
                <w:bCs/>
                <w:color w:val="000000"/>
                <w:sz w:val="18"/>
                <w:szCs w:val="18"/>
              </w:rPr>
            </w:pPr>
            <w:r w:rsidRPr="001368E0">
              <w:rPr>
                <w:rFonts w:ascii="Calibri" w:eastAsia="Times New Roman" w:hAnsi="Calibri"/>
                <w:b/>
                <w:bCs/>
                <w:color w:val="000000"/>
                <w:sz w:val="18"/>
                <w:szCs w:val="18"/>
              </w:rPr>
              <w:t>32</w:t>
            </w:r>
          </w:p>
        </w:tc>
        <w:tc>
          <w:tcPr>
            <w:tcW w:w="84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11</w:t>
            </w:r>
          </w:p>
        </w:tc>
        <w:tc>
          <w:tcPr>
            <w:tcW w:w="1157"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46</w:t>
            </w:r>
          </w:p>
        </w:tc>
        <w:tc>
          <w:tcPr>
            <w:tcW w:w="935"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101</w:t>
            </w:r>
          </w:p>
        </w:tc>
        <w:tc>
          <w:tcPr>
            <w:tcW w:w="103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w:t>
            </w:r>
          </w:p>
        </w:tc>
        <w:tc>
          <w:tcPr>
            <w:tcW w:w="761"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w:t>
            </w:r>
          </w:p>
        </w:tc>
        <w:tc>
          <w:tcPr>
            <w:tcW w:w="974"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25</w:t>
            </w:r>
          </w:p>
        </w:tc>
        <w:tc>
          <w:tcPr>
            <w:tcW w:w="69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108</w:t>
            </w:r>
          </w:p>
        </w:tc>
        <w:tc>
          <w:tcPr>
            <w:tcW w:w="78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107</w:t>
            </w:r>
          </w:p>
        </w:tc>
        <w:tc>
          <w:tcPr>
            <w:tcW w:w="91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91</w:t>
            </w:r>
          </w:p>
        </w:tc>
        <w:tc>
          <w:tcPr>
            <w:tcW w:w="98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63</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b/>
                <w:color w:val="000000"/>
                <w:sz w:val="18"/>
                <w:szCs w:val="18"/>
              </w:rPr>
              <w:t>Bulgaria</w:t>
            </w:r>
          </w:p>
        </w:tc>
        <w:tc>
          <w:tcPr>
            <w:tcW w:w="655"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i/>
                <w:color w:val="000000"/>
                <w:sz w:val="18"/>
                <w:szCs w:val="18"/>
              </w:rPr>
            </w:pPr>
            <w:r w:rsidRPr="001368E0">
              <w:rPr>
                <w:rFonts w:ascii="Calibri" w:eastAsia="Times New Roman" w:hAnsi="Calibri"/>
                <w:i/>
                <w:color w:val="000000"/>
                <w:sz w:val="18"/>
                <w:szCs w:val="18"/>
              </w:rPr>
              <w:t>54</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b/>
                <w:bCs/>
                <w:color w:val="000000"/>
                <w:sz w:val="18"/>
                <w:szCs w:val="18"/>
              </w:rPr>
            </w:pPr>
            <w:r w:rsidRPr="001368E0">
              <w:rPr>
                <w:rFonts w:ascii="Calibri" w:eastAsia="Times New Roman" w:hAnsi="Calibri"/>
                <w:b/>
                <w:bCs/>
                <w:color w:val="000000"/>
                <w:sz w:val="18"/>
                <w:szCs w:val="18"/>
              </w:rPr>
              <w:t>66</w:t>
            </w:r>
          </w:p>
        </w:tc>
        <w:tc>
          <w:tcPr>
            <w:tcW w:w="84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57</w:t>
            </w:r>
          </w:p>
        </w:tc>
        <w:tc>
          <w:tcPr>
            <w:tcW w:w="1157"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123</w:t>
            </w:r>
          </w:p>
        </w:tc>
        <w:tc>
          <w:tcPr>
            <w:tcW w:w="935"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128</w:t>
            </w:r>
          </w:p>
        </w:tc>
        <w:tc>
          <w:tcPr>
            <w:tcW w:w="103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68</w:t>
            </w:r>
          </w:p>
        </w:tc>
        <w:tc>
          <w:tcPr>
            <w:tcW w:w="761"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w:t>
            </w:r>
          </w:p>
        </w:tc>
        <w:tc>
          <w:tcPr>
            <w:tcW w:w="974"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49</w:t>
            </w:r>
          </w:p>
        </w:tc>
        <w:tc>
          <w:tcPr>
            <w:tcW w:w="69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91</w:t>
            </w:r>
          </w:p>
        </w:tc>
        <w:tc>
          <w:tcPr>
            <w:tcW w:w="78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93</w:t>
            </w:r>
          </w:p>
        </w:tc>
        <w:tc>
          <w:tcPr>
            <w:tcW w:w="91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86</w:t>
            </w:r>
          </w:p>
        </w:tc>
        <w:tc>
          <w:tcPr>
            <w:tcW w:w="98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93</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b/>
                <w:color w:val="000000"/>
                <w:sz w:val="18"/>
                <w:szCs w:val="18"/>
              </w:rPr>
              <w:t>Azerbaijan</w:t>
            </w:r>
          </w:p>
        </w:tc>
        <w:tc>
          <w:tcPr>
            <w:tcW w:w="655"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i/>
                <w:color w:val="000000"/>
                <w:sz w:val="18"/>
                <w:szCs w:val="18"/>
              </w:rPr>
            </w:pPr>
            <w:r w:rsidRPr="001368E0">
              <w:rPr>
                <w:rFonts w:ascii="Calibri" w:eastAsia="Times New Roman" w:hAnsi="Calibri"/>
                <w:i/>
                <w:color w:val="000000"/>
                <w:sz w:val="18"/>
                <w:szCs w:val="18"/>
              </w:rPr>
              <w:t>99</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b/>
                <w:bCs/>
                <w:color w:val="000000"/>
                <w:sz w:val="18"/>
                <w:szCs w:val="18"/>
              </w:rPr>
            </w:pPr>
            <w:r w:rsidRPr="001368E0">
              <w:rPr>
                <w:rFonts w:ascii="Calibri" w:eastAsia="Times New Roman" w:hAnsi="Calibri"/>
                <w:b/>
                <w:bCs/>
                <w:color w:val="000000"/>
                <w:sz w:val="18"/>
                <w:szCs w:val="18"/>
              </w:rPr>
              <w:t>67</w:t>
            </w:r>
          </w:p>
        </w:tc>
        <w:tc>
          <w:tcPr>
            <w:tcW w:w="84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18</w:t>
            </w:r>
          </w:p>
        </w:tc>
        <w:tc>
          <w:tcPr>
            <w:tcW w:w="1157"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177</w:t>
            </w:r>
          </w:p>
        </w:tc>
        <w:tc>
          <w:tcPr>
            <w:tcW w:w="935"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175</w:t>
            </w:r>
          </w:p>
        </w:tc>
        <w:tc>
          <w:tcPr>
            <w:tcW w:w="103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9</w:t>
            </w:r>
          </w:p>
        </w:tc>
        <w:tc>
          <w:tcPr>
            <w:tcW w:w="761"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53</w:t>
            </w:r>
          </w:p>
        </w:tc>
        <w:tc>
          <w:tcPr>
            <w:tcW w:w="974"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25</w:t>
            </w:r>
          </w:p>
        </w:tc>
        <w:tc>
          <w:tcPr>
            <w:tcW w:w="69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76</w:t>
            </w:r>
          </w:p>
        </w:tc>
        <w:tc>
          <w:tcPr>
            <w:tcW w:w="78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169</w:t>
            </w:r>
          </w:p>
        </w:tc>
        <w:tc>
          <w:tcPr>
            <w:tcW w:w="91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25</w:t>
            </w:r>
          </w:p>
        </w:tc>
        <w:tc>
          <w:tcPr>
            <w:tcW w:w="98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95</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b/>
                <w:color w:val="000000"/>
                <w:sz w:val="18"/>
                <w:szCs w:val="18"/>
              </w:rPr>
              <w:t>Turkey</w:t>
            </w:r>
          </w:p>
        </w:tc>
        <w:tc>
          <w:tcPr>
            <w:tcW w:w="655"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i/>
                <w:color w:val="000000"/>
                <w:sz w:val="18"/>
                <w:szCs w:val="18"/>
              </w:rPr>
            </w:pPr>
            <w:r w:rsidRPr="001368E0">
              <w:rPr>
                <w:rFonts w:ascii="Calibri" w:eastAsia="Times New Roman" w:hAnsi="Calibri"/>
                <w:i/>
                <w:color w:val="000000"/>
                <w:sz w:val="18"/>
                <w:szCs w:val="18"/>
              </w:rPr>
              <w:t>91</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b/>
                <w:bCs/>
                <w:color w:val="000000"/>
                <w:sz w:val="18"/>
                <w:szCs w:val="18"/>
              </w:rPr>
            </w:pPr>
            <w:r w:rsidRPr="001368E0">
              <w:rPr>
                <w:rFonts w:ascii="Calibri" w:eastAsia="Times New Roman" w:hAnsi="Calibri"/>
                <w:b/>
                <w:bCs/>
                <w:color w:val="000000"/>
                <w:sz w:val="18"/>
                <w:szCs w:val="18"/>
              </w:rPr>
              <w:t>71</w:t>
            </w:r>
          </w:p>
        </w:tc>
        <w:tc>
          <w:tcPr>
            <w:tcW w:w="84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72</w:t>
            </w:r>
          </w:p>
        </w:tc>
        <w:tc>
          <w:tcPr>
            <w:tcW w:w="1157"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142</w:t>
            </w:r>
          </w:p>
        </w:tc>
        <w:tc>
          <w:tcPr>
            <w:tcW w:w="935"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68</w:t>
            </w:r>
          </w:p>
        </w:tc>
        <w:tc>
          <w:tcPr>
            <w:tcW w:w="103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42</w:t>
            </w:r>
          </w:p>
        </w:tc>
        <w:tc>
          <w:tcPr>
            <w:tcW w:w="761"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83</w:t>
            </w:r>
          </w:p>
        </w:tc>
        <w:tc>
          <w:tcPr>
            <w:tcW w:w="974"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70</w:t>
            </w:r>
          </w:p>
        </w:tc>
        <w:tc>
          <w:tcPr>
            <w:tcW w:w="69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80</w:t>
            </w:r>
          </w:p>
        </w:tc>
        <w:tc>
          <w:tcPr>
            <w:tcW w:w="78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78</w:t>
            </w:r>
          </w:p>
        </w:tc>
        <w:tc>
          <w:tcPr>
            <w:tcW w:w="91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w:t>
            </w:r>
          </w:p>
        </w:tc>
        <w:tc>
          <w:tcPr>
            <w:tcW w:w="98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124</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b/>
                <w:color w:val="000000"/>
                <w:sz w:val="18"/>
                <w:szCs w:val="18"/>
              </w:rPr>
              <w:t>Romania</w:t>
            </w:r>
          </w:p>
        </w:tc>
        <w:tc>
          <w:tcPr>
            <w:tcW w:w="655"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i/>
                <w:color w:val="000000"/>
                <w:sz w:val="18"/>
                <w:szCs w:val="18"/>
              </w:rPr>
            </w:pPr>
            <w:r w:rsidRPr="001368E0">
              <w:rPr>
                <w:rFonts w:ascii="Calibri" w:eastAsia="Times New Roman" w:hAnsi="Calibri"/>
                <w:i/>
                <w:color w:val="000000"/>
                <w:sz w:val="18"/>
                <w:szCs w:val="18"/>
              </w:rPr>
              <w:t>49</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b/>
                <w:bCs/>
                <w:color w:val="000000"/>
                <w:sz w:val="18"/>
                <w:szCs w:val="18"/>
              </w:rPr>
            </w:pPr>
            <w:r w:rsidRPr="001368E0">
              <w:rPr>
                <w:rFonts w:ascii="Calibri" w:eastAsia="Times New Roman" w:hAnsi="Calibri"/>
                <w:b/>
                <w:bCs/>
                <w:color w:val="000000"/>
                <w:sz w:val="18"/>
                <w:szCs w:val="18"/>
              </w:rPr>
              <w:t>72</w:t>
            </w:r>
          </w:p>
        </w:tc>
        <w:tc>
          <w:tcPr>
            <w:tcW w:w="84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68</w:t>
            </w:r>
          </w:p>
        </w:tc>
        <w:tc>
          <w:tcPr>
            <w:tcW w:w="1157"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129</w:t>
            </w:r>
          </w:p>
        </w:tc>
        <w:tc>
          <w:tcPr>
            <w:tcW w:w="935"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168</w:t>
            </w:r>
          </w:p>
        </w:tc>
        <w:tc>
          <w:tcPr>
            <w:tcW w:w="103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72</w:t>
            </w:r>
          </w:p>
        </w:tc>
        <w:tc>
          <w:tcPr>
            <w:tcW w:w="761"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12</w:t>
            </w:r>
          </w:p>
        </w:tc>
        <w:tc>
          <w:tcPr>
            <w:tcW w:w="974"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49</w:t>
            </w:r>
          </w:p>
        </w:tc>
        <w:tc>
          <w:tcPr>
            <w:tcW w:w="69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136</w:t>
            </w:r>
          </w:p>
        </w:tc>
        <w:tc>
          <w:tcPr>
            <w:tcW w:w="78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72</w:t>
            </w:r>
          </w:p>
        </w:tc>
        <w:tc>
          <w:tcPr>
            <w:tcW w:w="91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60</w:t>
            </w:r>
          </w:p>
        </w:tc>
        <w:tc>
          <w:tcPr>
            <w:tcW w:w="98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102</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b/>
                <w:color w:val="000000"/>
                <w:sz w:val="18"/>
                <w:szCs w:val="18"/>
              </w:rPr>
              <w:t>Greece</w:t>
            </w:r>
          </w:p>
        </w:tc>
        <w:tc>
          <w:tcPr>
            <w:tcW w:w="655"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i/>
                <w:color w:val="000000"/>
                <w:sz w:val="18"/>
                <w:szCs w:val="18"/>
              </w:rPr>
            </w:pPr>
            <w:r w:rsidRPr="001368E0">
              <w:rPr>
                <w:rFonts w:ascii="Calibri" w:eastAsia="Times New Roman" w:hAnsi="Calibri"/>
                <w:i/>
                <w:color w:val="000000"/>
                <w:sz w:val="18"/>
                <w:szCs w:val="18"/>
              </w:rPr>
              <w:t>109</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b/>
                <w:bCs/>
                <w:color w:val="000000"/>
                <w:sz w:val="18"/>
                <w:szCs w:val="18"/>
              </w:rPr>
            </w:pPr>
            <w:r w:rsidRPr="001368E0">
              <w:rPr>
                <w:rFonts w:ascii="Calibri" w:eastAsia="Times New Roman" w:hAnsi="Calibri"/>
                <w:b/>
                <w:bCs/>
                <w:color w:val="000000"/>
                <w:sz w:val="18"/>
                <w:szCs w:val="18"/>
              </w:rPr>
              <w:t>78</w:t>
            </w:r>
          </w:p>
        </w:tc>
        <w:tc>
          <w:tcPr>
            <w:tcW w:w="84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146</w:t>
            </w:r>
          </w:p>
        </w:tc>
        <w:tc>
          <w:tcPr>
            <w:tcW w:w="1157"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31</w:t>
            </w:r>
          </w:p>
        </w:tc>
        <w:tc>
          <w:tcPr>
            <w:tcW w:w="935"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59</w:t>
            </w:r>
          </w:p>
        </w:tc>
        <w:tc>
          <w:tcPr>
            <w:tcW w:w="103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150</w:t>
            </w:r>
          </w:p>
        </w:tc>
        <w:tc>
          <w:tcPr>
            <w:tcW w:w="761"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83</w:t>
            </w:r>
          </w:p>
        </w:tc>
        <w:tc>
          <w:tcPr>
            <w:tcW w:w="974"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117</w:t>
            </w:r>
          </w:p>
        </w:tc>
        <w:tc>
          <w:tcPr>
            <w:tcW w:w="69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56</w:t>
            </w:r>
          </w:p>
        </w:tc>
        <w:tc>
          <w:tcPr>
            <w:tcW w:w="78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62</w:t>
            </w:r>
          </w:p>
        </w:tc>
        <w:tc>
          <w:tcPr>
            <w:tcW w:w="91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87</w:t>
            </w:r>
          </w:p>
        </w:tc>
        <w:tc>
          <w:tcPr>
            <w:tcW w:w="98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50</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b/>
                <w:color w:val="000000"/>
                <w:sz w:val="18"/>
                <w:szCs w:val="18"/>
              </w:rPr>
              <w:t>Moldova</w:t>
            </w:r>
          </w:p>
        </w:tc>
        <w:tc>
          <w:tcPr>
            <w:tcW w:w="655"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i/>
                <w:color w:val="000000"/>
                <w:sz w:val="18"/>
                <w:szCs w:val="18"/>
              </w:rPr>
            </w:pPr>
            <w:r w:rsidRPr="001368E0">
              <w:rPr>
                <w:rFonts w:ascii="Calibri" w:eastAsia="Times New Roman" w:hAnsi="Calibri"/>
                <w:i/>
                <w:color w:val="000000"/>
                <w:sz w:val="18"/>
                <w:szCs w:val="18"/>
              </w:rPr>
              <w:t>103</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b/>
                <w:bCs/>
                <w:color w:val="000000"/>
                <w:sz w:val="18"/>
                <w:szCs w:val="18"/>
              </w:rPr>
            </w:pPr>
            <w:r w:rsidRPr="001368E0">
              <w:rPr>
                <w:rFonts w:ascii="Calibri" w:eastAsia="Times New Roman" w:hAnsi="Calibri"/>
                <w:b/>
                <w:bCs/>
                <w:color w:val="000000"/>
                <w:sz w:val="18"/>
                <w:szCs w:val="18"/>
              </w:rPr>
              <w:t>83</w:t>
            </w:r>
          </w:p>
        </w:tc>
        <w:tc>
          <w:tcPr>
            <w:tcW w:w="84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92</w:t>
            </w:r>
          </w:p>
        </w:tc>
        <w:tc>
          <w:tcPr>
            <w:tcW w:w="1157"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168</w:t>
            </w:r>
          </w:p>
        </w:tc>
        <w:tc>
          <w:tcPr>
            <w:tcW w:w="935"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161</w:t>
            </w:r>
          </w:p>
        </w:tc>
        <w:tc>
          <w:tcPr>
            <w:tcW w:w="103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16</w:t>
            </w:r>
          </w:p>
        </w:tc>
        <w:tc>
          <w:tcPr>
            <w:tcW w:w="761"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40</w:t>
            </w:r>
          </w:p>
        </w:tc>
        <w:tc>
          <w:tcPr>
            <w:tcW w:w="974"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82</w:t>
            </w:r>
          </w:p>
        </w:tc>
        <w:tc>
          <w:tcPr>
            <w:tcW w:w="69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109</w:t>
            </w:r>
          </w:p>
        </w:tc>
        <w:tc>
          <w:tcPr>
            <w:tcW w:w="78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142</w:t>
            </w:r>
          </w:p>
        </w:tc>
        <w:tc>
          <w:tcPr>
            <w:tcW w:w="91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26</w:t>
            </w:r>
          </w:p>
        </w:tc>
        <w:tc>
          <w:tcPr>
            <w:tcW w:w="98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91</w:t>
            </w:r>
          </w:p>
        </w:tc>
      </w:tr>
      <w:tr w:rsidR="005072B1" w:rsidRPr="001368E0" w:rsidTr="001368E0">
        <w:trPr>
          <w:trHeight w:val="500"/>
        </w:trPr>
        <w:tc>
          <w:tcPr>
            <w:tcW w:w="101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b/>
                <w:color w:val="000000"/>
                <w:sz w:val="18"/>
                <w:szCs w:val="18"/>
              </w:rPr>
              <w:t>Russian Federat.</w:t>
            </w:r>
          </w:p>
        </w:tc>
        <w:tc>
          <w:tcPr>
            <w:tcW w:w="655"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i/>
                <w:color w:val="000000"/>
                <w:sz w:val="18"/>
                <w:szCs w:val="18"/>
              </w:rPr>
            </w:pPr>
            <w:r w:rsidRPr="001368E0">
              <w:rPr>
                <w:rFonts w:ascii="Calibri" w:eastAsia="Times New Roman" w:hAnsi="Calibri"/>
                <w:i/>
                <w:color w:val="000000"/>
                <w:sz w:val="18"/>
                <w:szCs w:val="18"/>
              </w:rPr>
              <w:t>96</w:t>
            </w:r>
          </w:p>
        </w:tc>
        <w:tc>
          <w:tcPr>
            <w:tcW w:w="70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b/>
                <w:bCs/>
                <w:color w:val="000000"/>
                <w:sz w:val="18"/>
                <w:szCs w:val="18"/>
              </w:rPr>
            </w:pPr>
            <w:r w:rsidRPr="001368E0">
              <w:rPr>
                <w:rFonts w:ascii="Calibri" w:eastAsia="Times New Roman" w:hAnsi="Calibri"/>
                <w:b/>
                <w:bCs/>
                <w:color w:val="000000"/>
                <w:sz w:val="18"/>
                <w:szCs w:val="18"/>
              </w:rPr>
              <w:t>112</w:t>
            </w:r>
          </w:p>
        </w:tc>
        <w:tc>
          <w:tcPr>
            <w:tcW w:w="84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101</w:t>
            </w:r>
          </w:p>
        </w:tc>
        <w:tc>
          <w:tcPr>
            <w:tcW w:w="1157"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178</w:t>
            </w:r>
          </w:p>
        </w:tc>
        <w:tc>
          <w:tcPr>
            <w:tcW w:w="935"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184</w:t>
            </w:r>
          </w:p>
        </w:tc>
        <w:tc>
          <w:tcPr>
            <w:tcW w:w="1033"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46</w:t>
            </w:r>
          </w:p>
        </w:tc>
        <w:tc>
          <w:tcPr>
            <w:tcW w:w="761"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104</w:t>
            </w:r>
          </w:p>
        </w:tc>
        <w:tc>
          <w:tcPr>
            <w:tcW w:w="974"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117</w:t>
            </w:r>
          </w:p>
        </w:tc>
        <w:tc>
          <w:tcPr>
            <w:tcW w:w="69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64</w:t>
            </w:r>
          </w:p>
        </w:tc>
        <w:tc>
          <w:tcPr>
            <w:tcW w:w="789"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162</w:t>
            </w:r>
          </w:p>
        </w:tc>
        <w:tc>
          <w:tcPr>
            <w:tcW w:w="918"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11</w:t>
            </w:r>
          </w:p>
        </w:tc>
        <w:tc>
          <w:tcPr>
            <w:tcW w:w="986" w:type="dxa"/>
            <w:tcBorders>
              <w:top w:val="single" w:sz="8" w:space="0" w:color="C1AD79"/>
              <w:left w:val="single" w:sz="8" w:space="0" w:color="C1AD79"/>
              <w:bottom w:val="single" w:sz="8" w:space="0" w:color="C1AD79"/>
              <w:right w:val="single" w:sz="8" w:space="0" w:color="C1AD79"/>
            </w:tcBorders>
            <w:shd w:val="clear" w:color="auto" w:fill="EFEADD"/>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53</w:t>
            </w:r>
          </w:p>
        </w:tc>
      </w:tr>
      <w:tr w:rsidR="005072B1" w:rsidRPr="001368E0" w:rsidTr="001368E0">
        <w:trPr>
          <w:trHeight w:val="300"/>
        </w:trPr>
        <w:tc>
          <w:tcPr>
            <w:tcW w:w="101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rPr>
                <w:rFonts w:ascii="Calibri" w:eastAsia="Times New Roman" w:hAnsi="Calibri"/>
                <w:b/>
                <w:bCs/>
                <w:color w:val="000000"/>
                <w:sz w:val="18"/>
                <w:szCs w:val="18"/>
              </w:rPr>
            </w:pPr>
            <w:r w:rsidRPr="001368E0">
              <w:rPr>
                <w:rFonts w:ascii="Calibri" w:eastAsia="Times New Roman" w:hAnsi="Calibri"/>
                <w:b/>
                <w:color w:val="000000"/>
                <w:sz w:val="18"/>
                <w:szCs w:val="18"/>
              </w:rPr>
              <w:t>Ukraine</w:t>
            </w:r>
          </w:p>
        </w:tc>
        <w:tc>
          <w:tcPr>
            <w:tcW w:w="655"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i/>
                <w:color w:val="000000"/>
                <w:sz w:val="18"/>
                <w:szCs w:val="18"/>
              </w:rPr>
            </w:pPr>
            <w:r w:rsidRPr="001368E0">
              <w:rPr>
                <w:rFonts w:ascii="Calibri" w:eastAsia="Times New Roman" w:hAnsi="Calibri"/>
                <w:i/>
                <w:color w:val="000000"/>
                <w:sz w:val="18"/>
                <w:szCs w:val="18"/>
              </w:rPr>
              <w:t>128</w:t>
            </w:r>
          </w:p>
        </w:tc>
        <w:tc>
          <w:tcPr>
            <w:tcW w:w="70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b/>
                <w:bCs/>
                <w:color w:val="000000"/>
                <w:sz w:val="18"/>
                <w:szCs w:val="18"/>
              </w:rPr>
            </w:pPr>
            <w:r w:rsidRPr="001368E0">
              <w:rPr>
                <w:rFonts w:ascii="Calibri" w:eastAsia="Times New Roman" w:hAnsi="Calibri"/>
                <w:b/>
                <w:bCs/>
                <w:color w:val="000000"/>
                <w:sz w:val="18"/>
                <w:szCs w:val="18"/>
              </w:rPr>
              <w:t>137</w:t>
            </w:r>
          </w:p>
        </w:tc>
        <w:tc>
          <w:tcPr>
            <w:tcW w:w="84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50</w:t>
            </w:r>
          </w:p>
        </w:tc>
        <w:tc>
          <w:tcPr>
            <w:tcW w:w="1157"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183</w:t>
            </w:r>
          </w:p>
        </w:tc>
        <w:tc>
          <w:tcPr>
            <w:tcW w:w="935"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166</w:t>
            </w:r>
          </w:p>
        </w:tc>
        <w:tc>
          <w:tcPr>
            <w:tcW w:w="1033"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149</w:t>
            </w:r>
          </w:p>
        </w:tc>
        <w:tc>
          <w:tcPr>
            <w:tcW w:w="761"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23</w:t>
            </w:r>
          </w:p>
        </w:tc>
        <w:tc>
          <w:tcPr>
            <w:tcW w:w="974"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117</w:t>
            </w:r>
          </w:p>
        </w:tc>
        <w:tc>
          <w:tcPr>
            <w:tcW w:w="69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165</w:t>
            </w:r>
          </w:p>
        </w:tc>
        <w:tc>
          <w:tcPr>
            <w:tcW w:w="789"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145</w:t>
            </w:r>
          </w:p>
        </w:tc>
        <w:tc>
          <w:tcPr>
            <w:tcW w:w="918"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42</w:t>
            </w:r>
          </w:p>
        </w:tc>
        <w:tc>
          <w:tcPr>
            <w:tcW w:w="986" w:type="dxa"/>
            <w:tcBorders>
              <w:top w:val="single" w:sz="8" w:space="0" w:color="C1AD79"/>
              <w:left w:val="single" w:sz="8" w:space="0" w:color="C1AD79"/>
              <w:bottom w:val="single" w:sz="8" w:space="0" w:color="C1AD79"/>
              <w:right w:val="single" w:sz="8" w:space="0" w:color="C1AD79"/>
            </w:tcBorders>
            <w:shd w:val="clear" w:color="auto" w:fill="auto"/>
            <w:hideMark/>
          </w:tcPr>
          <w:p w:rsidR="005072B1" w:rsidRPr="001368E0" w:rsidRDefault="005072B1" w:rsidP="001368E0">
            <w:pPr>
              <w:spacing w:after="0" w:line="240" w:lineRule="auto"/>
              <w:jc w:val="right"/>
              <w:rPr>
                <w:rFonts w:ascii="Calibri" w:eastAsia="Times New Roman" w:hAnsi="Calibri"/>
                <w:color w:val="000000"/>
                <w:sz w:val="18"/>
                <w:szCs w:val="18"/>
              </w:rPr>
            </w:pPr>
            <w:r w:rsidRPr="001368E0">
              <w:rPr>
                <w:rFonts w:ascii="Calibri" w:eastAsia="Times New Roman" w:hAnsi="Calibri"/>
                <w:color w:val="000000"/>
                <w:sz w:val="18"/>
                <w:szCs w:val="18"/>
              </w:rPr>
              <w:t>157</w:t>
            </w:r>
          </w:p>
        </w:tc>
      </w:tr>
    </w:tbl>
    <w:p w:rsidR="005072B1" w:rsidRPr="001024F6" w:rsidRDefault="005072B1" w:rsidP="00422207">
      <w:pPr>
        <w:pStyle w:val="Caption"/>
        <w:spacing w:before="120" w:after="0"/>
        <w:jc w:val="both"/>
        <w:rPr>
          <w:sz w:val="22"/>
          <w:szCs w:val="22"/>
          <w:lang w:val="en-GB"/>
        </w:rPr>
      </w:pPr>
      <w:r w:rsidRPr="000D3441">
        <w:rPr>
          <w:sz w:val="22"/>
          <w:szCs w:val="22"/>
          <w:lang w:val="en-GB"/>
        </w:rPr>
        <w:t>Table 3. Ease of Doing Business (EDB) overall ranking 2007 (ranking out of 175 countries) and 2012 (out of 185 countries) and key indicator ranking for 2012</w:t>
      </w:r>
      <w:r w:rsidRPr="000D3441">
        <w:rPr>
          <w:vertAlign w:val="superscript"/>
        </w:rPr>
        <w:endnoteReference w:id="36"/>
      </w:r>
      <w:r w:rsidRPr="000D3441">
        <w:rPr>
          <w:sz w:val="22"/>
          <w:szCs w:val="22"/>
          <w:lang w:val="en-GB"/>
        </w:rPr>
        <w:t>.</w:t>
      </w:r>
      <w:r>
        <w:rPr>
          <w:sz w:val="22"/>
          <w:szCs w:val="22"/>
          <w:lang w:val="en-GB"/>
        </w:rPr>
        <w:t xml:space="preserve"> A good</w:t>
      </w:r>
      <w:r w:rsidRPr="000D3441">
        <w:rPr>
          <w:sz w:val="22"/>
          <w:szCs w:val="22"/>
          <w:lang w:val="en-GB"/>
        </w:rPr>
        <w:t xml:space="preserve"> ranking on the EDB index means the regulatory environment is more conducive to starting and operating a local firm. Strong features of each country are highlighted in yellow.</w:t>
      </w:r>
      <w:r>
        <w:rPr>
          <w:sz w:val="22"/>
          <w:szCs w:val="22"/>
          <w:lang w:val="en-GB"/>
        </w:rPr>
        <w:t xml:space="preserve">  </w:t>
      </w:r>
    </w:p>
    <w:p w:rsidR="00A34868" w:rsidRDefault="00A34868">
      <w:pPr>
        <w:rPr>
          <w:b/>
          <w:bCs/>
          <w:lang w:val="en-GB"/>
        </w:rPr>
      </w:pPr>
      <w:bookmarkStart w:id="30" w:name="_Toc246127425"/>
      <w:r>
        <w:rPr>
          <w:b/>
          <w:bCs/>
          <w:lang w:val="en-GB"/>
        </w:rPr>
        <w:br w:type="page"/>
      </w:r>
    </w:p>
    <w:p w:rsidR="003B5454" w:rsidRDefault="005072B1" w:rsidP="003B5454">
      <w:pPr>
        <w:spacing w:before="240" w:after="120" w:line="264" w:lineRule="auto"/>
        <w:rPr>
          <w:b/>
          <w:bCs/>
          <w:lang w:val="en-GB"/>
        </w:rPr>
      </w:pPr>
      <w:r w:rsidRPr="00002063">
        <w:rPr>
          <w:b/>
          <w:bCs/>
          <w:lang w:val="en-GB"/>
        </w:rPr>
        <w:t>International trade</w:t>
      </w:r>
      <w:bookmarkEnd w:id="30"/>
      <w:r w:rsidRPr="00002063">
        <w:rPr>
          <w:b/>
          <w:bCs/>
          <w:lang w:val="en-GB"/>
        </w:rPr>
        <w:t xml:space="preserve"> </w:t>
      </w:r>
    </w:p>
    <w:p w:rsidR="005072B1" w:rsidRPr="003B5454" w:rsidRDefault="005072B1" w:rsidP="00422207">
      <w:pPr>
        <w:spacing w:before="240" w:after="120" w:line="264" w:lineRule="auto"/>
        <w:jc w:val="both"/>
        <w:rPr>
          <w:b/>
          <w:bCs/>
          <w:lang w:val="en-GB"/>
        </w:rPr>
      </w:pPr>
      <w:r w:rsidRPr="004B58D3">
        <w:rPr>
          <w:sz w:val="22"/>
          <w:szCs w:val="22"/>
          <w:lang w:val="en-GB"/>
        </w:rPr>
        <w:t>With average exports representing 39% of GDP and imports 46% of GDP, the Black Sea countries show overall in 2012 a trade openness</w:t>
      </w:r>
      <w:r w:rsidRPr="004D189B">
        <w:rPr>
          <w:rStyle w:val="FootnoteReference"/>
          <w:sz w:val="22"/>
          <w:szCs w:val="22"/>
        </w:rPr>
        <w:footnoteReference w:id="31"/>
      </w:r>
      <w:r w:rsidRPr="004B58D3">
        <w:rPr>
          <w:sz w:val="22"/>
          <w:szCs w:val="22"/>
          <w:lang w:val="en-GB"/>
        </w:rPr>
        <w:t xml:space="preserve"> similar to that of the EU (with respectively 43% for exports and 41% for imports). These averages nonetheless mask great national discrepencies both in terms of the integration of these countries into international trade – with Bulgaria, Moldova and Ukraine being the most integrated an</w:t>
      </w:r>
      <w:r>
        <w:rPr>
          <w:sz w:val="22"/>
          <w:szCs w:val="22"/>
          <w:lang w:val="en-GB"/>
        </w:rPr>
        <w:t>d Romania and Russia the least</w:t>
      </w:r>
      <w:r w:rsidRPr="004B58D3">
        <w:rPr>
          <w:sz w:val="22"/>
          <w:szCs w:val="22"/>
          <w:lang w:val="en-GB"/>
        </w:rPr>
        <w:t xml:space="preserve"> – and in terms of trade balance, with the two oil-exporting contries achieving considerable trade surplus, while several others struggle with la</w:t>
      </w:r>
      <w:r>
        <w:rPr>
          <w:sz w:val="22"/>
          <w:szCs w:val="22"/>
          <w:lang w:val="en-GB"/>
        </w:rPr>
        <w:t>r</w:t>
      </w:r>
      <w:r w:rsidR="00F7145D">
        <w:rPr>
          <w:sz w:val="22"/>
          <w:szCs w:val="22"/>
          <w:lang w:val="en-GB"/>
        </w:rPr>
        <w:t>ge trade deficits (see figure 9</w:t>
      </w:r>
      <w:r>
        <w:rPr>
          <w:sz w:val="22"/>
          <w:szCs w:val="22"/>
          <w:lang w:val="en-GB"/>
        </w:rPr>
        <w:t xml:space="preserve"> below</w:t>
      </w:r>
      <w:r w:rsidRPr="004B58D3">
        <w:rPr>
          <w:sz w:val="22"/>
          <w:szCs w:val="22"/>
          <w:lang w:val="en-GB"/>
        </w:rPr>
        <w:t>).</w:t>
      </w:r>
    </w:p>
    <w:p w:rsidR="005072B1" w:rsidRDefault="006102F6" w:rsidP="005072B1">
      <w:pPr>
        <w:keepNext/>
        <w:widowControl w:val="0"/>
        <w:autoSpaceDE w:val="0"/>
        <w:autoSpaceDN w:val="0"/>
        <w:adjustRightInd w:val="0"/>
        <w:spacing w:before="120" w:after="0" w:line="252" w:lineRule="auto"/>
      </w:pPr>
      <w:r>
        <w:rPr>
          <w:rFonts w:ascii="Times New Roman" w:hAnsi="Times New Roman"/>
          <w:noProof/>
          <w:sz w:val="22"/>
          <w:szCs w:val="22"/>
          <w:lang w:val="ro-RO" w:eastAsia="ro-RO"/>
        </w:rPr>
        <w:drawing>
          <wp:inline distT="0" distB="0" distL="0" distR="0">
            <wp:extent cx="6696075" cy="2333625"/>
            <wp:effectExtent l="19050" t="0" r="9525"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a:srcRect/>
                    <a:stretch>
                      <a:fillRect/>
                    </a:stretch>
                  </pic:blipFill>
                  <pic:spPr bwMode="auto">
                    <a:xfrm>
                      <a:off x="0" y="0"/>
                      <a:ext cx="6696075" cy="2333625"/>
                    </a:xfrm>
                    <a:prstGeom prst="rect">
                      <a:avLst/>
                    </a:prstGeom>
                    <a:noFill/>
                    <a:ln w="9525">
                      <a:noFill/>
                      <a:miter lim="800000"/>
                      <a:headEnd/>
                      <a:tailEnd/>
                    </a:ln>
                  </pic:spPr>
                </pic:pic>
              </a:graphicData>
            </a:graphic>
          </wp:inline>
        </w:drawing>
      </w:r>
    </w:p>
    <w:p w:rsidR="005072B1" w:rsidRPr="004B58D3" w:rsidRDefault="005072B1" w:rsidP="005A12B9">
      <w:pPr>
        <w:pStyle w:val="Caption"/>
        <w:spacing w:after="0" w:line="252" w:lineRule="auto"/>
        <w:jc w:val="left"/>
        <w:rPr>
          <w:rFonts w:ascii="Times New Roman" w:hAnsi="Times New Roman"/>
          <w:sz w:val="22"/>
          <w:szCs w:val="22"/>
          <w:lang w:val="en-GB"/>
        </w:rPr>
      </w:pPr>
      <w:r w:rsidRPr="004B58D3">
        <w:rPr>
          <w:sz w:val="22"/>
          <w:szCs w:val="22"/>
          <w:lang w:val="en-GB"/>
        </w:rPr>
        <w:t xml:space="preserve">Figure </w:t>
      </w:r>
      <w:r w:rsidR="00957F9B">
        <w:rPr>
          <w:sz w:val="22"/>
          <w:szCs w:val="22"/>
          <w:lang w:val="en-GB"/>
        </w:rPr>
        <w:t>9</w:t>
      </w:r>
      <w:r w:rsidRPr="004B58D3">
        <w:rPr>
          <w:sz w:val="22"/>
          <w:szCs w:val="22"/>
          <w:lang w:val="en-GB"/>
        </w:rPr>
        <w:t>. Exports and Imports of goods and services, as a % of GDP, 2012</w:t>
      </w:r>
      <w:r>
        <w:rPr>
          <w:rStyle w:val="EndnoteReference"/>
          <w:sz w:val="22"/>
          <w:szCs w:val="22"/>
        </w:rPr>
        <w:endnoteReference w:id="37"/>
      </w:r>
    </w:p>
    <w:p w:rsidR="005072B1" w:rsidRPr="004B58D3" w:rsidRDefault="005072B1" w:rsidP="005072B1">
      <w:pPr>
        <w:spacing w:before="120" w:after="0" w:line="252" w:lineRule="auto"/>
        <w:jc w:val="both"/>
        <w:rPr>
          <w:sz w:val="22"/>
          <w:szCs w:val="22"/>
          <w:lang w:val="en-GB"/>
        </w:rPr>
      </w:pPr>
      <w:r w:rsidRPr="004B58D3">
        <w:rPr>
          <w:sz w:val="22"/>
          <w:szCs w:val="22"/>
          <w:lang w:val="en-GB"/>
        </w:rPr>
        <w:t>Since 2004, the EU has become the main trading partner for each country in the Black Sea region. In 2009, trade with the EU amounted to 30% of overall trade for Armenia, 43 % for Azerbaijan and 29% for Georgia</w:t>
      </w:r>
      <w:r w:rsidRPr="004D189B">
        <w:rPr>
          <w:rStyle w:val="EndnoteReference"/>
          <w:sz w:val="22"/>
          <w:szCs w:val="22"/>
        </w:rPr>
        <w:endnoteReference w:id="38"/>
      </w:r>
      <w:r w:rsidRPr="004B58D3">
        <w:rPr>
          <w:sz w:val="22"/>
          <w:szCs w:val="22"/>
          <w:lang w:val="en-GB"/>
        </w:rPr>
        <w:t>. Trade figures also reveal that intra-regional trade within the Black Sea region expanded more quickly than overall external trade, both in the growth years, from 2000–2008, and in the recovery year of 2010</w:t>
      </w:r>
      <w:r w:rsidRPr="004D189B">
        <w:rPr>
          <w:rStyle w:val="EndnoteReference"/>
          <w:sz w:val="22"/>
          <w:szCs w:val="22"/>
        </w:rPr>
        <w:endnoteReference w:id="39"/>
      </w:r>
      <w:r w:rsidRPr="004B58D3">
        <w:rPr>
          <w:sz w:val="22"/>
          <w:szCs w:val="22"/>
          <w:lang w:val="en-GB"/>
        </w:rPr>
        <w:t>.</w:t>
      </w:r>
    </w:p>
    <w:p w:rsidR="005072B1" w:rsidRPr="004B58D3" w:rsidRDefault="005072B1" w:rsidP="005072B1">
      <w:pPr>
        <w:spacing w:before="120" w:after="0" w:line="252" w:lineRule="auto"/>
        <w:jc w:val="both"/>
        <w:rPr>
          <w:sz w:val="22"/>
          <w:szCs w:val="22"/>
          <w:lang w:val="en-GB"/>
        </w:rPr>
      </w:pPr>
      <w:r w:rsidRPr="004B58D3">
        <w:rPr>
          <w:sz w:val="22"/>
          <w:szCs w:val="22"/>
          <w:lang w:val="en-GB"/>
        </w:rPr>
        <w:t>The breakdown of key exports for each country is presented in the figure below and shows the great disparities among Black Sea export profiles, with notably Moldova relying mostly on food products, Romania and Turkey on manufactured goods and Azerbaijan and Russia on fuel</w:t>
      </w:r>
      <w:r w:rsidR="00205392">
        <w:rPr>
          <w:sz w:val="22"/>
          <w:szCs w:val="22"/>
          <w:lang w:val="en-GB"/>
        </w:rPr>
        <w:t xml:space="preserve"> (see figure 10</w:t>
      </w:r>
      <w:r>
        <w:rPr>
          <w:sz w:val="22"/>
          <w:szCs w:val="22"/>
          <w:lang w:val="en-GB"/>
        </w:rPr>
        <w:t xml:space="preserve"> below</w:t>
      </w:r>
      <w:r w:rsidRPr="004B58D3">
        <w:rPr>
          <w:sz w:val="22"/>
          <w:szCs w:val="22"/>
          <w:lang w:val="en-GB"/>
        </w:rPr>
        <w:t>).</w:t>
      </w:r>
    </w:p>
    <w:p w:rsidR="005072B1" w:rsidRDefault="006102F6" w:rsidP="005072B1">
      <w:pPr>
        <w:keepNext/>
        <w:spacing w:before="120" w:after="0" w:line="252" w:lineRule="auto"/>
        <w:jc w:val="both"/>
      </w:pPr>
      <w:r>
        <w:rPr>
          <w:noProof/>
          <w:lang w:val="ro-RO" w:eastAsia="ro-RO"/>
        </w:rPr>
        <w:drawing>
          <wp:inline distT="0" distB="0" distL="0" distR="0">
            <wp:extent cx="6905625" cy="2447925"/>
            <wp:effectExtent l="19050" t="0" r="952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srcRect/>
                    <a:stretch>
                      <a:fillRect/>
                    </a:stretch>
                  </pic:blipFill>
                  <pic:spPr bwMode="auto">
                    <a:xfrm>
                      <a:off x="0" y="0"/>
                      <a:ext cx="6905625" cy="2447925"/>
                    </a:xfrm>
                    <a:prstGeom prst="rect">
                      <a:avLst/>
                    </a:prstGeom>
                    <a:noFill/>
                    <a:ln w="9525">
                      <a:noFill/>
                      <a:miter lim="800000"/>
                      <a:headEnd/>
                      <a:tailEnd/>
                    </a:ln>
                  </pic:spPr>
                </pic:pic>
              </a:graphicData>
            </a:graphic>
          </wp:inline>
        </w:drawing>
      </w:r>
    </w:p>
    <w:p w:rsidR="005072B1" w:rsidRPr="004B58D3" w:rsidRDefault="005072B1" w:rsidP="005A12B9">
      <w:pPr>
        <w:pStyle w:val="Caption"/>
        <w:spacing w:after="0" w:line="252" w:lineRule="auto"/>
        <w:jc w:val="both"/>
        <w:rPr>
          <w:sz w:val="22"/>
          <w:szCs w:val="22"/>
          <w:lang w:val="en-GB"/>
        </w:rPr>
      </w:pPr>
      <w:r w:rsidRPr="004B58D3">
        <w:rPr>
          <w:sz w:val="22"/>
          <w:szCs w:val="22"/>
          <w:lang w:val="en-GB"/>
        </w:rPr>
        <w:t xml:space="preserve">Figure </w:t>
      </w:r>
      <w:r w:rsidR="00957F9B">
        <w:rPr>
          <w:sz w:val="22"/>
          <w:szCs w:val="22"/>
          <w:lang w:val="en-GB"/>
        </w:rPr>
        <w:t>10</w:t>
      </w:r>
      <w:r w:rsidRPr="004B58D3">
        <w:rPr>
          <w:sz w:val="22"/>
          <w:szCs w:val="22"/>
          <w:lang w:val="en-GB"/>
        </w:rPr>
        <w:t>. Main type of exports per country, 2011</w:t>
      </w:r>
      <w:r w:rsidRPr="00844F5F">
        <w:rPr>
          <w:rStyle w:val="EndnoteReference"/>
          <w:sz w:val="22"/>
          <w:szCs w:val="22"/>
        </w:rPr>
        <w:endnoteReference w:id="40"/>
      </w:r>
    </w:p>
    <w:p w:rsidR="005072B1" w:rsidRPr="004B58D3" w:rsidRDefault="005072B1" w:rsidP="005072B1">
      <w:pPr>
        <w:spacing w:before="120" w:after="0" w:line="252" w:lineRule="auto"/>
        <w:jc w:val="both"/>
        <w:rPr>
          <w:sz w:val="22"/>
          <w:szCs w:val="22"/>
          <w:lang w:val="en-GB"/>
        </w:rPr>
      </w:pPr>
      <w:r w:rsidRPr="004B58D3">
        <w:rPr>
          <w:sz w:val="22"/>
          <w:szCs w:val="22"/>
          <w:lang w:val="en-GB"/>
        </w:rPr>
        <w:t>High technology exports remain limited overall, ranging from 1.3% (Azerbaijan) to 10.2% (Romania) of manufactured goods exported in 2011 against 16% on average for the EU, with an uneven tendency over t</w:t>
      </w:r>
      <w:r w:rsidR="00B67D2F">
        <w:rPr>
          <w:sz w:val="22"/>
          <w:szCs w:val="22"/>
          <w:lang w:val="en-GB"/>
        </w:rPr>
        <w:t>he last few years (see figure 11</w:t>
      </w:r>
      <w:r w:rsidRPr="004B58D3">
        <w:rPr>
          <w:sz w:val="22"/>
          <w:szCs w:val="22"/>
          <w:lang w:val="en-GB"/>
        </w:rPr>
        <w:t xml:space="preserve"> below). These figures show that the stimulation of innovation and research in the Black Sea Basin area remains a challenge.</w:t>
      </w:r>
    </w:p>
    <w:p w:rsidR="005072B1" w:rsidRDefault="006102F6" w:rsidP="005072B1">
      <w:pPr>
        <w:keepNext/>
        <w:spacing w:before="120" w:after="0" w:line="252" w:lineRule="auto"/>
      </w:pPr>
      <w:r>
        <w:rPr>
          <w:rFonts w:ascii="Times New Roman" w:hAnsi="Times New Roman"/>
          <w:noProof/>
          <w:sz w:val="22"/>
          <w:szCs w:val="22"/>
          <w:lang w:val="ro-RO" w:eastAsia="ro-RO"/>
        </w:rPr>
        <w:drawing>
          <wp:inline distT="0" distB="0" distL="0" distR="0">
            <wp:extent cx="6696075" cy="2266950"/>
            <wp:effectExtent l="19050" t="0" r="9525" b="0"/>
            <wp:docPr id="1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3"/>
                    <a:srcRect/>
                    <a:stretch>
                      <a:fillRect/>
                    </a:stretch>
                  </pic:blipFill>
                  <pic:spPr bwMode="auto">
                    <a:xfrm>
                      <a:off x="0" y="0"/>
                      <a:ext cx="6696075" cy="2266950"/>
                    </a:xfrm>
                    <a:prstGeom prst="rect">
                      <a:avLst/>
                    </a:prstGeom>
                    <a:noFill/>
                    <a:ln w="9525">
                      <a:noFill/>
                      <a:miter lim="800000"/>
                      <a:headEnd/>
                      <a:tailEnd/>
                    </a:ln>
                  </pic:spPr>
                </pic:pic>
              </a:graphicData>
            </a:graphic>
          </wp:inline>
        </w:drawing>
      </w:r>
    </w:p>
    <w:p w:rsidR="005072B1" w:rsidRPr="004B58D3" w:rsidRDefault="005072B1" w:rsidP="005A12B9">
      <w:pPr>
        <w:pStyle w:val="Caption"/>
        <w:spacing w:after="0" w:line="252" w:lineRule="auto"/>
        <w:jc w:val="left"/>
        <w:rPr>
          <w:sz w:val="22"/>
          <w:szCs w:val="22"/>
          <w:lang w:val="en-GB"/>
        </w:rPr>
      </w:pPr>
      <w:r w:rsidRPr="004B58D3">
        <w:rPr>
          <w:sz w:val="22"/>
          <w:szCs w:val="22"/>
          <w:lang w:val="en-GB"/>
        </w:rPr>
        <w:t xml:space="preserve">Figure </w:t>
      </w:r>
      <w:r w:rsidR="00957F9B">
        <w:rPr>
          <w:sz w:val="22"/>
          <w:szCs w:val="22"/>
          <w:lang w:val="en-GB"/>
        </w:rPr>
        <w:t>11</w:t>
      </w:r>
      <w:r w:rsidRPr="004B58D3">
        <w:rPr>
          <w:sz w:val="22"/>
          <w:szCs w:val="22"/>
          <w:lang w:val="en-GB"/>
        </w:rPr>
        <w:t>. High technology exports (% of manufactured exports), 2006-2011</w:t>
      </w:r>
      <w:r>
        <w:rPr>
          <w:rStyle w:val="EndnoteReference"/>
          <w:sz w:val="22"/>
          <w:szCs w:val="22"/>
        </w:rPr>
        <w:endnoteReference w:id="41"/>
      </w:r>
    </w:p>
    <w:p w:rsidR="005072B1" w:rsidRPr="00002063" w:rsidRDefault="005072B1" w:rsidP="00002063">
      <w:pPr>
        <w:spacing w:before="180" w:after="180" w:line="264" w:lineRule="auto"/>
        <w:rPr>
          <w:b/>
          <w:bCs/>
          <w:lang w:val="en-GB"/>
        </w:rPr>
      </w:pPr>
      <w:bookmarkStart w:id="31" w:name="_Toc246127426"/>
      <w:r w:rsidRPr="00002063">
        <w:rPr>
          <w:b/>
          <w:bCs/>
          <w:lang w:val="en-GB"/>
        </w:rPr>
        <w:t>Tourism</w:t>
      </w:r>
      <w:bookmarkEnd w:id="31"/>
    </w:p>
    <w:p w:rsidR="005072B1" w:rsidRPr="004B58D3" w:rsidRDefault="005072B1" w:rsidP="005072B1">
      <w:pPr>
        <w:spacing w:before="120" w:after="0" w:line="252" w:lineRule="auto"/>
        <w:jc w:val="both"/>
        <w:rPr>
          <w:sz w:val="22"/>
          <w:szCs w:val="22"/>
          <w:lang w:val="en-GB"/>
        </w:rPr>
      </w:pPr>
      <w:r w:rsidRPr="004B58D3">
        <w:rPr>
          <w:sz w:val="22"/>
          <w:szCs w:val="22"/>
          <w:lang w:val="en-GB"/>
        </w:rPr>
        <w:t xml:space="preserve">The Black Sea Basin favourable climate and outstanding natural features - including mineral springs and beautiful beaches – have made the region an important destination for recreational and health tourism with the Crimea being the most important. Seaside resorts in Bulgaria, Romania, Ukraine, Russia and Georgia are very active but </w:t>
      </w:r>
      <w:r>
        <w:rPr>
          <w:sz w:val="22"/>
          <w:szCs w:val="22"/>
          <w:lang w:val="en-GB"/>
        </w:rPr>
        <w:t xml:space="preserve">are </w:t>
      </w:r>
      <w:r w:rsidRPr="004B58D3">
        <w:rPr>
          <w:sz w:val="22"/>
          <w:szCs w:val="22"/>
          <w:lang w:val="en-GB"/>
        </w:rPr>
        <w:t xml:space="preserve">less developed on Turkey's coasts (where tourism is focused mainly on the Mediterranean). Tourism potential in the Black Sea Basin area is rich and diversified, including </w:t>
      </w:r>
      <w:r>
        <w:rPr>
          <w:sz w:val="22"/>
          <w:szCs w:val="22"/>
          <w:lang w:val="en-GB"/>
        </w:rPr>
        <w:t xml:space="preserve">in addition </w:t>
      </w:r>
      <w:r w:rsidRPr="004B58D3">
        <w:rPr>
          <w:sz w:val="22"/>
          <w:szCs w:val="22"/>
          <w:lang w:val="en-GB"/>
        </w:rPr>
        <w:t>for spa and medical tourism, culture, nature, eco and agro-tourism, adventure, cave and mountain tourism, and tourism related to cuisine, rivers, hunting and diving as well as winter tourism (skiing)</w:t>
      </w:r>
      <w:r w:rsidRPr="004D189B">
        <w:rPr>
          <w:rStyle w:val="EndnoteReference"/>
          <w:sz w:val="22"/>
          <w:szCs w:val="22"/>
        </w:rPr>
        <w:endnoteReference w:id="42"/>
      </w:r>
      <w:r w:rsidRPr="004B58D3">
        <w:rPr>
          <w:sz w:val="22"/>
          <w:szCs w:val="22"/>
          <w:lang w:val="en-GB"/>
        </w:rPr>
        <w:t>.</w:t>
      </w:r>
    </w:p>
    <w:p w:rsidR="005072B1" w:rsidRPr="004B58D3" w:rsidRDefault="005072B1" w:rsidP="005072B1">
      <w:pPr>
        <w:spacing w:before="120" w:after="0" w:line="252" w:lineRule="auto"/>
        <w:jc w:val="both"/>
        <w:rPr>
          <w:sz w:val="22"/>
          <w:szCs w:val="22"/>
          <w:lang w:val="en-GB"/>
        </w:rPr>
      </w:pPr>
      <w:r w:rsidRPr="004B58D3">
        <w:rPr>
          <w:sz w:val="22"/>
          <w:szCs w:val="22"/>
          <w:lang w:val="en-GB"/>
        </w:rPr>
        <w:t>Even though the lack of comprehensive regional data limits the possibility to draw a full regional picture, it appears clearly that the number of international visitors to the Black Sea Basin eligible area has expanded rapidly since 2004</w:t>
      </w:r>
      <w:r w:rsidRPr="004D189B">
        <w:rPr>
          <w:rStyle w:val="EndnoteReference"/>
          <w:sz w:val="22"/>
          <w:szCs w:val="22"/>
        </w:rPr>
        <w:endnoteReference w:id="43"/>
      </w:r>
      <w:r w:rsidRPr="004B58D3">
        <w:rPr>
          <w:sz w:val="22"/>
          <w:szCs w:val="22"/>
          <w:lang w:val="en-GB"/>
        </w:rPr>
        <w:t xml:space="preserve"> thanks notably to enhanced tourist infrastructure. In 2012 only, Georgia registered 36% more international visitors than in 2011 reaching 4.4 million visitors (against 0.1 million in 2004)</w:t>
      </w:r>
      <w:r w:rsidRPr="004D189B">
        <w:rPr>
          <w:rStyle w:val="EndnoteReference"/>
          <w:sz w:val="22"/>
          <w:szCs w:val="22"/>
        </w:rPr>
        <w:endnoteReference w:id="44"/>
      </w:r>
      <w:r w:rsidRPr="004B58D3">
        <w:rPr>
          <w:sz w:val="22"/>
          <w:szCs w:val="22"/>
          <w:lang w:val="en-GB"/>
        </w:rPr>
        <w:t>. Tourism within the Black Sea region constitutes a substantial component, visitors from Black Sea Basin countries account for three quarters of total international arrivals to Azerbaijan, about half in Moldova and more than a third in Romania and Georgia</w:t>
      </w:r>
      <w:r w:rsidRPr="004D189B">
        <w:rPr>
          <w:rStyle w:val="FootnoteReference"/>
          <w:sz w:val="22"/>
          <w:szCs w:val="22"/>
        </w:rPr>
        <w:footnoteReference w:id="32"/>
      </w:r>
      <w:r w:rsidRPr="004B58D3">
        <w:rPr>
          <w:sz w:val="22"/>
          <w:szCs w:val="22"/>
          <w:lang w:val="en-GB"/>
        </w:rPr>
        <w:t>. The countries of origin common to several Black Sea Basin tourist destinations include Germany, the United States, the UK and Italy, providing opportunities for joint tourism products around the Black Sea.</w:t>
      </w:r>
    </w:p>
    <w:p w:rsidR="005072B1" w:rsidRPr="004B58D3" w:rsidRDefault="005072B1" w:rsidP="005072B1">
      <w:pPr>
        <w:spacing w:before="120" w:after="0" w:line="252" w:lineRule="auto"/>
        <w:jc w:val="both"/>
        <w:rPr>
          <w:sz w:val="22"/>
          <w:szCs w:val="22"/>
          <w:lang w:val="en-GB"/>
        </w:rPr>
      </w:pPr>
      <w:r w:rsidRPr="004B58D3">
        <w:rPr>
          <w:sz w:val="22"/>
          <w:szCs w:val="22"/>
          <w:lang w:val="en-GB"/>
        </w:rPr>
        <w:t>Continued expansion and diversification of tourism over the past six decades means it has become one of the largest and fastest-growing economic sectors in the world and it is still expected to increase considerably in the coming years</w:t>
      </w:r>
      <w:r w:rsidRPr="004D189B">
        <w:rPr>
          <w:rStyle w:val="EndnoteReference"/>
          <w:sz w:val="22"/>
          <w:szCs w:val="22"/>
        </w:rPr>
        <w:endnoteReference w:id="45"/>
      </w:r>
      <w:r w:rsidRPr="004B58D3">
        <w:rPr>
          <w:sz w:val="22"/>
          <w:szCs w:val="22"/>
          <w:lang w:val="en-GB"/>
        </w:rPr>
        <w:t>. These international trends therefore could be an opportunity for cooperation for further tourism development based on the Black Sea Basin’s rich potential. Tourism has very positive impact on employment and income, although it also creates environmental challenges notably in the coastal areas.</w:t>
      </w:r>
    </w:p>
    <w:p w:rsidR="005072B1" w:rsidRPr="00002063" w:rsidRDefault="005072B1" w:rsidP="00002063">
      <w:pPr>
        <w:spacing w:before="180" w:after="180" w:line="264" w:lineRule="auto"/>
        <w:rPr>
          <w:b/>
          <w:bCs/>
          <w:lang w:val="en-GB"/>
        </w:rPr>
      </w:pPr>
      <w:bookmarkStart w:id="32" w:name="_Toc246127427"/>
      <w:r w:rsidRPr="00002063">
        <w:rPr>
          <w:b/>
          <w:bCs/>
          <w:lang w:val="en-GB"/>
        </w:rPr>
        <w:t>Agriculture</w:t>
      </w:r>
      <w:bookmarkEnd w:id="32"/>
      <w:r w:rsidRPr="00002063">
        <w:rPr>
          <w:b/>
          <w:bCs/>
          <w:lang w:val="en-GB"/>
        </w:rPr>
        <w:t xml:space="preserve"> </w:t>
      </w:r>
    </w:p>
    <w:p w:rsidR="005072B1" w:rsidRPr="004B58D3" w:rsidRDefault="005072B1" w:rsidP="005072B1">
      <w:pPr>
        <w:spacing w:before="120" w:after="0" w:line="252" w:lineRule="auto"/>
        <w:jc w:val="both"/>
        <w:rPr>
          <w:sz w:val="22"/>
          <w:szCs w:val="22"/>
          <w:lang w:val="en-GB"/>
        </w:rPr>
      </w:pPr>
      <w:r w:rsidRPr="004B58D3">
        <w:rPr>
          <w:sz w:val="22"/>
          <w:szCs w:val="22"/>
          <w:lang w:val="en-GB"/>
        </w:rPr>
        <w:t>Though the agricultural sector has generally declined in the Black Sea Basin countries, it is still a substantial or major component of most of their economies, in particular in terms of employment, e.g. providing over 45% of employment in Ge</w:t>
      </w:r>
      <w:r w:rsidR="00A30E36">
        <w:rPr>
          <w:sz w:val="22"/>
          <w:szCs w:val="22"/>
          <w:lang w:val="en-GB"/>
        </w:rPr>
        <w:t>orgia and Armenia (see figure 13</w:t>
      </w:r>
      <w:r w:rsidRPr="004B58D3">
        <w:rPr>
          <w:sz w:val="22"/>
          <w:szCs w:val="22"/>
          <w:lang w:val="en-GB"/>
        </w:rPr>
        <w:t>, employment distribution) or in</w:t>
      </w:r>
      <w:r w:rsidR="00A30E36">
        <w:rPr>
          <w:sz w:val="22"/>
          <w:szCs w:val="22"/>
          <w:lang w:val="en-GB"/>
        </w:rPr>
        <w:t xml:space="preserve"> terms of exports (see figure 10</w:t>
      </w:r>
      <w:r w:rsidRPr="004B58D3">
        <w:rPr>
          <w:sz w:val="22"/>
          <w:szCs w:val="22"/>
          <w:lang w:val="en-GB"/>
        </w:rPr>
        <w:t xml:space="preserve"> above). Agricultural products such as fruits and nuts, vegetables, cereals, meat, dairy products, fish and alcohol are amongst the main goods traded between countries within the Black Sea Basin area</w:t>
      </w:r>
      <w:r w:rsidRPr="004D189B">
        <w:rPr>
          <w:rStyle w:val="EndnoteReference"/>
          <w:sz w:val="22"/>
          <w:szCs w:val="22"/>
        </w:rPr>
        <w:endnoteReference w:id="46"/>
      </w:r>
      <w:r w:rsidRPr="004B58D3">
        <w:rPr>
          <w:sz w:val="22"/>
          <w:szCs w:val="22"/>
          <w:lang w:val="en-GB"/>
        </w:rPr>
        <w:t xml:space="preserve"> and therefore there could be good potential complementarities.</w:t>
      </w:r>
    </w:p>
    <w:p w:rsidR="005072B1" w:rsidRPr="000D3441" w:rsidRDefault="005072B1" w:rsidP="005072B1">
      <w:pPr>
        <w:spacing w:before="120" w:after="0" w:line="252" w:lineRule="auto"/>
        <w:jc w:val="both"/>
        <w:rPr>
          <w:sz w:val="22"/>
          <w:szCs w:val="22"/>
          <w:lang w:val="en-GB"/>
        </w:rPr>
      </w:pPr>
      <w:r w:rsidRPr="000D3441">
        <w:rPr>
          <w:sz w:val="22"/>
          <w:szCs w:val="22"/>
          <w:lang w:val="en-GB"/>
        </w:rPr>
        <w:t>Organic farming still appears to be little developped in the Black Sea Basin area</w:t>
      </w:r>
      <w:r w:rsidRPr="000D3441">
        <w:rPr>
          <w:rStyle w:val="EndnoteReference"/>
          <w:sz w:val="22"/>
          <w:szCs w:val="22"/>
        </w:rPr>
        <w:endnoteReference w:id="47"/>
      </w:r>
      <w:r w:rsidRPr="000D3441">
        <w:rPr>
          <w:sz w:val="22"/>
          <w:szCs w:val="22"/>
          <w:lang w:val="en-GB"/>
        </w:rPr>
        <w:t>, representing at best 1.6% of farmland in Romanian South-East region and 0.9% in Trabzon region (Turkey)</w:t>
      </w:r>
      <w:r w:rsidRPr="000D3441">
        <w:rPr>
          <w:rStyle w:val="FootnoteReference"/>
          <w:sz w:val="22"/>
          <w:szCs w:val="22"/>
        </w:rPr>
        <w:footnoteReference w:id="33"/>
      </w:r>
      <w:r w:rsidRPr="000D3441">
        <w:rPr>
          <w:sz w:val="22"/>
          <w:szCs w:val="22"/>
          <w:lang w:val="en-GB"/>
        </w:rPr>
        <w:t>, despite a world tendency for a strong growth in organic farmland. Organically managed farmland grew by 57% in the EU in the period 2005 to 2011, representing 5.4% of EU agricultural land in 2011</w:t>
      </w:r>
      <w:r w:rsidRPr="000D3441">
        <w:rPr>
          <w:rStyle w:val="EndnoteReference"/>
          <w:sz w:val="22"/>
          <w:szCs w:val="22"/>
        </w:rPr>
        <w:endnoteReference w:id="48"/>
      </w:r>
      <w:r w:rsidRPr="000D3441">
        <w:rPr>
          <w:sz w:val="22"/>
          <w:szCs w:val="22"/>
          <w:lang w:val="en-GB"/>
        </w:rPr>
        <w:t xml:space="preserve">. Considering these dynamics and the more lalour-intensive nature of organic farming, it could present an opportunity for further development and cooperation in the Black Sea Basin.   </w:t>
      </w:r>
    </w:p>
    <w:p w:rsidR="005072B1" w:rsidRDefault="005072B1" w:rsidP="00EC0F3B">
      <w:pPr>
        <w:spacing w:before="120" w:after="0" w:line="252" w:lineRule="auto"/>
        <w:jc w:val="both"/>
        <w:rPr>
          <w:sz w:val="22"/>
          <w:szCs w:val="22"/>
          <w:lang w:val="en-GB"/>
        </w:rPr>
      </w:pPr>
      <w:r w:rsidRPr="000D3441">
        <w:rPr>
          <w:sz w:val="22"/>
          <w:szCs w:val="22"/>
          <w:lang w:val="en-GB"/>
        </w:rPr>
        <w:t xml:space="preserve">The development of sustainable aquaculture in the Black Sea basin also seems to present good potential including in all the categories (fresh, brackish and marine water). The production from aquaculture has increased from 185,000 tons in 1999 to 320,000 tons in 2009 with an average annual growth rate of about 7.3 %. This increased production mainly came from freshwater </w:t>
      </w:r>
      <w:r>
        <w:rPr>
          <w:sz w:val="22"/>
          <w:szCs w:val="22"/>
          <w:lang w:val="en-GB"/>
        </w:rPr>
        <w:t>aquaculture (74</w:t>
      </w:r>
      <w:r w:rsidRPr="000D3441">
        <w:rPr>
          <w:sz w:val="22"/>
          <w:szCs w:val="22"/>
          <w:lang w:val="en-GB"/>
        </w:rPr>
        <w:t>%), represented largely by carps and other ciprinidae, meanwhile mollusks and finfish (European sea bass, mussels, oysters, sea trout and turbot) characterise the production of brackish and marine aquaculture (26%)</w:t>
      </w:r>
      <w:r w:rsidRPr="000D3441">
        <w:rPr>
          <w:rStyle w:val="EndnoteReference"/>
          <w:sz w:val="22"/>
          <w:szCs w:val="22"/>
          <w:lang w:val="en-GB"/>
        </w:rPr>
        <w:endnoteReference w:id="49"/>
      </w:r>
      <w:r w:rsidRPr="000D3441">
        <w:rPr>
          <w:sz w:val="22"/>
          <w:szCs w:val="22"/>
          <w:lang w:val="en-GB"/>
        </w:rPr>
        <w:t>. The actual development of brackish and marine aquaculture in the region is not homogenous and shows different patterns according to the technology applied and species reared (e.g. focusing on mussels in Bulgaria and on sea bass and sea trout in Turkey). Technology development during the last years (including cages and new rearing systems) represents new opportunities for marine aquaculture development as well as for regional cooperation and sharing of good practices.</w:t>
      </w:r>
    </w:p>
    <w:p w:rsidR="00C51C92" w:rsidRPr="00EC0F3B" w:rsidRDefault="00A34868" w:rsidP="00A34868">
      <w:pPr>
        <w:rPr>
          <w:sz w:val="22"/>
          <w:szCs w:val="22"/>
          <w:lang w:val="en-GB"/>
        </w:rPr>
      </w:pPr>
      <w:r>
        <w:rPr>
          <w:sz w:val="22"/>
          <w:szCs w:val="22"/>
          <w:lang w:val="en-GB"/>
        </w:rPr>
        <w:br w:type="page"/>
      </w:r>
    </w:p>
    <w:tbl>
      <w:tblPr>
        <w:tblpPr w:leftFromText="141" w:rightFromText="141" w:vertAnchor="text" w:tblpY="1"/>
        <w:tblOverlap w:val="never"/>
        <w:tblW w:w="0" w:type="auto"/>
        <w:tblLayout w:type="fixed"/>
        <w:tblLook w:val="04A0"/>
      </w:tblPr>
      <w:tblGrid>
        <w:gridCol w:w="5778"/>
        <w:gridCol w:w="5245"/>
      </w:tblGrid>
      <w:tr w:rsidR="00E26AF0" w:rsidRPr="001368E0" w:rsidTr="001368E0">
        <w:trPr>
          <w:trHeight w:val="280"/>
        </w:trPr>
        <w:tc>
          <w:tcPr>
            <w:tcW w:w="11023" w:type="dxa"/>
            <w:gridSpan w:val="2"/>
            <w:tcBorders>
              <w:top w:val="single" w:sz="4" w:space="0" w:color="983620"/>
              <w:left w:val="single" w:sz="4" w:space="0" w:color="983620"/>
              <w:bottom w:val="single" w:sz="12" w:space="0" w:color="FFFFFF"/>
              <w:right w:val="single" w:sz="4" w:space="0" w:color="983620"/>
            </w:tcBorders>
            <w:shd w:val="clear" w:color="auto" w:fill="792A19"/>
            <w:noWrap/>
            <w:hideMark/>
          </w:tcPr>
          <w:p w:rsidR="00E26AF0" w:rsidRPr="001368E0" w:rsidRDefault="00E26AF0" w:rsidP="001368E0">
            <w:pPr>
              <w:spacing w:after="0" w:line="240" w:lineRule="auto"/>
              <w:jc w:val="center"/>
              <w:rPr>
                <w:b/>
                <w:bCs/>
                <w:color w:val="FFFFFF"/>
              </w:rPr>
            </w:pPr>
            <w:r w:rsidRPr="001368E0">
              <w:rPr>
                <w:b/>
                <w:bCs/>
                <w:color w:val="FFFFFF"/>
              </w:rPr>
              <w:t>SWOT - ECONOMY</w:t>
            </w:r>
          </w:p>
        </w:tc>
      </w:tr>
      <w:tr w:rsidR="002F1780" w:rsidRPr="001368E0" w:rsidTr="001368E0">
        <w:trPr>
          <w:trHeight w:val="280"/>
        </w:trPr>
        <w:tc>
          <w:tcPr>
            <w:tcW w:w="5778" w:type="dxa"/>
            <w:tcBorders>
              <w:left w:val="single" w:sz="4" w:space="0" w:color="983620"/>
              <w:right w:val="single" w:sz="4" w:space="0" w:color="983620"/>
            </w:tcBorders>
            <w:shd w:val="clear" w:color="auto" w:fill="A6A6A6"/>
            <w:noWrap/>
            <w:hideMark/>
          </w:tcPr>
          <w:p w:rsidR="00E26AF0" w:rsidRPr="001368E0" w:rsidRDefault="00E26AF0" w:rsidP="001368E0">
            <w:pPr>
              <w:spacing w:after="0" w:line="240" w:lineRule="auto"/>
              <w:jc w:val="center"/>
              <w:rPr>
                <w:b/>
                <w:bCs/>
                <w:color w:val="000000"/>
              </w:rPr>
            </w:pPr>
            <w:r w:rsidRPr="001368E0">
              <w:rPr>
                <w:b/>
                <w:bCs/>
                <w:color w:val="000000"/>
              </w:rPr>
              <w:t>STRENGTHS</w:t>
            </w:r>
          </w:p>
        </w:tc>
        <w:tc>
          <w:tcPr>
            <w:tcW w:w="5245" w:type="dxa"/>
            <w:tcBorders>
              <w:left w:val="single" w:sz="4" w:space="0" w:color="983620"/>
              <w:right w:val="single" w:sz="4" w:space="0" w:color="983620"/>
            </w:tcBorders>
            <w:shd w:val="clear" w:color="auto" w:fill="A6A6A6"/>
            <w:hideMark/>
          </w:tcPr>
          <w:p w:rsidR="00E26AF0" w:rsidRPr="001368E0" w:rsidRDefault="00E26AF0" w:rsidP="001368E0">
            <w:pPr>
              <w:spacing w:after="0" w:line="240" w:lineRule="auto"/>
              <w:jc w:val="center"/>
              <w:rPr>
                <w:b/>
                <w:color w:val="000000"/>
              </w:rPr>
            </w:pPr>
            <w:r w:rsidRPr="001368E0">
              <w:rPr>
                <w:b/>
                <w:color w:val="000000"/>
              </w:rPr>
              <w:t>WEAKNESSES</w:t>
            </w:r>
          </w:p>
        </w:tc>
      </w:tr>
      <w:tr w:rsidR="00781BD7" w:rsidRPr="001368E0" w:rsidTr="001368E0">
        <w:trPr>
          <w:trHeight w:val="8036"/>
        </w:trPr>
        <w:tc>
          <w:tcPr>
            <w:tcW w:w="5778" w:type="dxa"/>
            <w:tcBorders>
              <w:left w:val="single" w:sz="4" w:space="0" w:color="983620"/>
              <w:right w:val="single" w:sz="4" w:space="0" w:color="983620"/>
            </w:tcBorders>
            <w:shd w:val="clear" w:color="auto" w:fill="E6E6E6"/>
            <w:hideMark/>
          </w:tcPr>
          <w:tbl>
            <w:tblPr>
              <w:tblW w:w="5670" w:type="dxa"/>
              <w:tblLayout w:type="fixed"/>
              <w:tblCellMar>
                <w:left w:w="70" w:type="dxa"/>
                <w:right w:w="70" w:type="dxa"/>
              </w:tblCellMar>
              <w:tblLook w:val="04A0"/>
            </w:tblPr>
            <w:tblGrid>
              <w:gridCol w:w="5670"/>
            </w:tblGrid>
            <w:tr w:rsidR="008F2D2F" w:rsidRPr="001368E0" w:rsidTr="00447875">
              <w:trPr>
                <w:trHeight w:val="731"/>
              </w:trPr>
              <w:tc>
                <w:tcPr>
                  <w:tcW w:w="5670" w:type="dxa"/>
                  <w:tcBorders>
                    <w:top w:val="nil"/>
                    <w:left w:val="nil"/>
                    <w:right w:val="nil"/>
                  </w:tcBorders>
                  <w:shd w:val="clear" w:color="auto" w:fill="auto"/>
                  <w:vAlign w:val="center"/>
                  <w:hideMark/>
                </w:tcPr>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 xml:space="preserve">Strong economic growth on average (2006-2012), especially Azerbaijan, Moldova, Georgia and Armenia </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Most of BSB countries seem to be recovering from recession</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Stable and sustainable single digit rates of inflation</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Improved set of institutions, policies and factors determining the level of productivity have raised competitiveness of most BSB countries</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Some countries (Georgia, Armenia) have achieved considerable success in improving the regulations that enhance business- friendly environments</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Disparities among BSB countries incomes have reduced over the last few years</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GDP per capita: there has been a convergence over the period (with EU overall)</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Economies of the BSB region are very diverse in their structure</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Diverse and possibly complementary service sector growth (retail vs financial services vs logistics)</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Intra-regional trade within the BSB region expanded more quickly than overall external trade</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Favourable climate for recreational tourism and outstanding natural features</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Tourism potential in BSB area is rich and diversified</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Agricultural products amongst the main goods traded between countries within the BSB area</w:t>
                  </w:r>
                </w:p>
                <w:p w:rsidR="008F2D2F" w:rsidRPr="001368E0"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1368E0">
                    <w:rPr>
                      <w:sz w:val="22"/>
                      <w:szCs w:val="22"/>
                      <w:lang w:val="en-GB"/>
                    </w:rPr>
                    <w:t xml:space="preserve">Potential for the development of sustainable aquaculture in BSB </w:t>
                  </w:r>
                </w:p>
              </w:tc>
            </w:tr>
          </w:tbl>
          <w:p w:rsidR="00E26AF0" w:rsidRPr="001368E0" w:rsidRDefault="00E26AF0" w:rsidP="001368E0">
            <w:pPr>
              <w:spacing w:after="0" w:line="20" w:lineRule="atLeast"/>
              <w:rPr>
                <w:bCs/>
                <w:color w:val="000000"/>
                <w:sz w:val="2"/>
                <w:szCs w:val="2"/>
                <w:lang w:val="en-GB"/>
              </w:rPr>
            </w:pPr>
          </w:p>
        </w:tc>
        <w:tc>
          <w:tcPr>
            <w:tcW w:w="5245" w:type="dxa"/>
            <w:tcBorders>
              <w:left w:val="single" w:sz="4" w:space="0" w:color="983620"/>
              <w:right w:val="single" w:sz="4" w:space="0" w:color="983620"/>
            </w:tcBorders>
            <w:shd w:val="clear" w:color="auto" w:fill="E6E6E6"/>
            <w:hideMark/>
          </w:tcPr>
          <w:tbl>
            <w:tblPr>
              <w:tblW w:w="5173" w:type="dxa"/>
              <w:tblLayout w:type="fixed"/>
              <w:tblCellMar>
                <w:left w:w="70" w:type="dxa"/>
                <w:right w:w="70" w:type="dxa"/>
              </w:tblCellMar>
              <w:tblLook w:val="04A0"/>
            </w:tblPr>
            <w:tblGrid>
              <w:gridCol w:w="5173"/>
            </w:tblGrid>
            <w:tr w:rsidR="00BF6580" w:rsidRPr="001368E0" w:rsidTr="00447875">
              <w:trPr>
                <w:trHeight w:val="1156"/>
              </w:trPr>
              <w:tc>
                <w:tcPr>
                  <w:tcW w:w="5173" w:type="dxa"/>
                  <w:tcBorders>
                    <w:top w:val="nil"/>
                    <w:left w:val="nil"/>
                    <w:right w:val="nil"/>
                  </w:tcBorders>
                  <w:shd w:val="clear" w:color="auto" w:fill="auto"/>
                  <w:vAlign w:val="center"/>
                  <w:hideMark/>
                </w:tcPr>
                <w:tbl>
                  <w:tblPr>
                    <w:tblW w:w="4925" w:type="dxa"/>
                    <w:tblLayout w:type="fixed"/>
                    <w:tblCellMar>
                      <w:left w:w="70" w:type="dxa"/>
                      <w:right w:w="70" w:type="dxa"/>
                    </w:tblCellMar>
                    <w:tblLook w:val="04A0"/>
                  </w:tblPr>
                  <w:tblGrid>
                    <w:gridCol w:w="4925"/>
                  </w:tblGrid>
                  <w:tr w:rsidR="00BF6580" w:rsidRPr="001368E0" w:rsidTr="009D178D">
                    <w:trPr>
                      <w:trHeight w:val="8036"/>
                    </w:trPr>
                    <w:tc>
                      <w:tcPr>
                        <w:tcW w:w="4925" w:type="dxa"/>
                        <w:tcBorders>
                          <w:top w:val="nil"/>
                        </w:tcBorders>
                        <w:shd w:val="clear" w:color="auto" w:fill="auto"/>
                        <w:vAlign w:val="center"/>
                        <w:hideMark/>
                      </w:tcPr>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lang w:val="en-GB"/>
                          </w:rPr>
                        </w:pPr>
                        <w:r w:rsidRPr="001368E0">
                          <w:rPr>
                            <w:rFonts w:eastAsia="Times New Roman"/>
                            <w:color w:val="000000"/>
                            <w:sz w:val="22"/>
                            <w:szCs w:val="22"/>
                            <w:lang w:val="en-GB"/>
                          </w:rPr>
                          <w:t>Growth rates considerable variation among countries (sub-national even greater disparities)</w:t>
                        </w:r>
                      </w:p>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lang w:val="en-GB"/>
                          </w:rPr>
                        </w:pPr>
                        <w:r w:rsidRPr="001368E0">
                          <w:rPr>
                            <w:rFonts w:eastAsia="Times New Roman"/>
                            <w:color w:val="000000"/>
                            <w:sz w:val="22"/>
                            <w:szCs w:val="22"/>
                            <w:lang w:val="en-GB"/>
                          </w:rPr>
                          <w:t>Large wealth disparities among BSB countries</w:t>
                        </w:r>
                      </w:p>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lang w:val="en-GB"/>
                          </w:rPr>
                        </w:pPr>
                        <w:r w:rsidRPr="001368E0">
                          <w:rPr>
                            <w:rFonts w:eastAsia="Times New Roman"/>
                            <w:color w:val="000000"/>
                            <w:sz w:val="22"/>
                            <w:szCs w:val="22"/>
                            <w:lang w:val="en-GB"/>
                          </w:rPr>
                          <w:t>GDP per capita in BSB four times lower than the EU overall figure</w:t>
                        </w:r>
                      </w:p>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lang w:val="en-GB"/>
                          </w:rPr>
                        </w:pPr>
                        <w:r w:rsidRPr="001368E0">
                          <w:rPr>
                            <w:rFonts w:eastAsia="Times New Roman"/>
                            <w:color w:val="000000"/>
                            <w:sz w:val="22"/>
                            <w:szCs w:val="22"/>
                            <w:lang w:val="en-GB"/>
                          </w:rPr>
                          <w:t>Corruption is perceived by business executives as one of the most problematic factor for doing business in majority of BSB countries</w:t>
                        </w:r>
                      </w:p>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lang w:val="en-GB"/>
                          </w:rPr>
                        </w:pPr>
                        <w:r w:rsidRPr="001368E0">
                          <w:rPr>
                            <w:rFonts w:eastAsia="Times New Roman"/>
                            <w:color w:val="000000"/>
                            <w:sz w:val="22"/>
                            <w:szCs w:val="22"/>
                            <w:lang w:val="en-GB"/>
                          </w:rPr>
                          <w:t>Business climate has got comparatively worse in Romania, Russia, Bulgaria and Ukraine since 2007</w:t>
                        </w:r>
                      </w:p>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lang w:val="en-GB"/>
                          </w:rPr>
                        </w:pPr>
                        <w:r w:rsidRPr="001368E0">
                          <w:rPr>
                            <w:rFonts w:eastAsia="Times New Roman"/>
                            <w:color w:val="000000"/>
                            <w:sz w:val="22"/>
                            <w:szCs w:val="22"/>
                            <w:lang w:val="en-GB"/>
                          </w:rPr>
                          <w:t xml:space="preserve">Armenia and Moldova rely heavily on their agricultural sectors </w:t>
                        </w:r>
                      </w:p>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lang w:val="en-GB"/>
                          </w:rPr>
                        </w:pPr>
                        <w:r w:rsidRPr="001368E0">
                          <w:rPr>
                            <w:rFonts w:eastAsia="Times New Roman"/>
                            <w:color w:val="000000"/>
                            <w:sz w:val="22"/>
                            <w:szCs w:val="22"/>
                            <w:lang w:val="en-GB"/>
                          </w:rPr>
                          <w:t>Low value added ‘heavy’ industry (especially Ukraine)</w:t>
                        </w:r>
                      </w:p>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lang w:val="en-GB"/>
                          </w:rPr>
                        </w:pPr>
                        <w:r w:rsidRPr="001368E0">
                          <w:rPr>
                            <w:rFonts w:eastAsia="Times New Roman"/>
                            <w:color w:val="000000"/>
                            <w:sz w:val="22"/>
                            <w:szCs w:val="22"/>
                            <w:lang w:val="en-GB"/>
                          </w:rPr>
                          <w:t>Energy exporters (Russia and Azerbaijan) face the challenge of diversifying their economies</w:t>
                        </w:r>
                      </w:p>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lang w:val="en-GB"/>
                          </w:rPr>
                        </w:pPr>
                        <w:r w:rsidRPr="001368E0">
                          <w:rPr>
                            <w:rFonts w:eastAsia="Times New Roman"/>
                            <w:color w:val="000000"/>
                            <w:sz w:val="22"/>
                            <w:szCs w:val="22"/>
                            <w:lang w:val="en-GB"/>
                          </w:rPr>
                          <w:t>Low ac</w:t>
                        </w:r>
                        <w:r w:rsidR="00BF79A5" w:rsidRPr="001368E0">
                          <w:rPr>
                            <w:rFonts w:eastAsia="Times New Roman"/>
                            <w:color w:val="000000"/>
                            <w:sz w:val="22"/>
                            <w:szCs w:val="22"/>
                            <w:lang w:val="en-GB"/>
                          </w:rPr>
                          <w:t>cess to financing, notably</w:t>
                        </w:r>
                        <w:r w:rsidRPr="001368E0">
                          <w:rPr>
                            <w:rFonts w:eastAsia="Times New Roman"/>
                            <w:color w:val="000000"/>
                            <w:sz w:val="22"/>
                            <w:szCs w:val="22"/>
                            <w:lang w:val="en-GB"/>
                          </w:rPr>
                          <w:t xml:space="preserve"> for SMEs</w:t>
                        </w:r>
                      </w:p>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rPr>
                        </w:pPr>
                        <w:r w:rsidRPr="001368E0">
                          <w:rPr>
                            <w:rFonts w:eastAsia="Times New Roman"/>
                            <w:color w:val="000000"/>
                            <w:sz w:val="22"/>
                            <w:szCs w:val="22"/>
                          </w:rPr>
                          <w:t>Administrative burden on small businesses</w:t>
                        </w:r>
                      </w:p>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lang w:val="en-GB"/>
                          </w:rPr>
                        </w:pPr>
                        <w:r w:rsidRPr="001368E0">
                          <w:rPr>
                            <w:rFonts w:eastAsia="Times New Roman"/>
                            <w:color w:val="000000"/>
                            <w:sz w:val="22"/>
                            <w:szCs w:val="22"/>
                            <w:lang w:val="en-GB"/>
                          </w:rPr>
                          <w:t>Great national discrepencies both in terms of the integration of BSB countries into international trade and in terms of trade balance</w:t>
                        </w:r>
                      </w:p>
                      <w:p w:rsidR="00BF6580" w:rsidRPr="001368E0" w:rsidRDefault="00BF6580" w:rsidP="00051D67">
                        <w:pPr>
                          <w:pStyle w:val="ListParagraph"/>
                          <w:framePr w:hSpace="141" w:wrap="around" w:vAnchor="text" w:hAnchor="text" w:y="1"/>
                          <w:numPr>
                            <w:ilvl w:val="0"/>
                            <w:numId w:val="31"/>
                          </w:numPr>
                          <w:spacing w:after="120" w:line="20" w:lineRule="atLeast"/>
                          <w:suppressOverlap/>
                          <w:rPr>
                            <w:rFonts w:eastAsia="Times New Roman"/>
                            <w:color w:val="000000"/>
                            <w:sz w:val="22"/>
                            <w:szCs w:val="22"/>
                            <w:lang w:val="en-GB"/>
                          </w:rPr>
                        </w:pPr>
                        <w:r w:rsidRPr="001368E0">
                          <w:rPr>
                            <w:rFonts w:eastAsia="Times New Roman"/>
                            <w:color w:val="000000"/>
                            <w:sz w:val="22"/>
                            <w:szCs w:val="22"/>
                            <w:lang w:val="en-GB"/>
                          </w:rPr>
                          <w:t>Low capacity for innovation, high technology exports remain limited overall</w:t>
                        </w:r>
                      </w:p>
                      <w:p w:rsidR="00BF6580" w:rsidRPr="001368E0" w:rsidRDefault="00BF6580" w:rsidP="009D178D">
                        <w:pPr>
                          <w:pStyle w:val="ListParagraph"/>
                          <w:framePr w:hSpace="141" w:wrap="around" w:vAnchor="text" w:hAnchor="text" w:y="1"/>
                          <w:numPr>
                            <w:ilvl w:val="0"/>
                            <w:numId w:val="31"/>
                          </w:numPr>
                          <w:spacing w:after="0" w:line="20" w:lineRule="atLeast"/>
                          <w:ind w:left="714" w:hanging="357"/>
                          <w:suppressOverlap/>
                          <w:rPr>
                            <w:rFonts w:eastAsia="Times New Roman"/>
                            <w:color w:val="000000"/>
                            <w:sz w:val="22"/>
                            <w:szCs w:val="22"/>
                            <w:lang w:val="en-GB"/>
                          </w:rPr>
                        </w:pPr>
                        <w:r w:rsidRPr="001368E0">
                          <w:rPr>
                            <w:rFonts w:eastAsia="Times New Roman"/>
                            <w:color w:val="000000"/>
                            <w:sz w:val="22"/>
                            <w:szCs w:val="22"/>
                            <w:lang w:val="en-GB"/>
                          </w:rPr>
                          <w:t>Organic farmi</w:t>
                        </w:r>
                        <w:r w:rsidR="009D178D" w:rsidRPr="001368E0">
                          <w:rPr>
                            <w:rFonts w:eastAsia="Times New Roman"/>
                            <w:color w:val="000000"/>
                            <w:sz w:val="22"/>
                            <w:szCs w:val="22"/>
                            <w:lang w:val="en-GB"/>
                          </w:rPr>
                          <w:t xml:space="preserve">ng is still little developed in </w:t>
                        </w:r>
                        <w:r w:rsidRPr="001368E0">
                          <w:rPr>
                            <w:rFonts w:eastAsia="Times New Roman"/>
                            <w:color w:val="000000"/>
                            <w:sz w:val="22"/>
                            <w:szCs w:val="22"/>
                            <w:lang w:val="en-GB"/>
                          </w:rPr>
                          <w:t>BSB region</w:t>
                        </w:r>
                      </w:p>
                    </w:tc>
                  </w:tr>
                </w:tbl>
                <w:p w:rsidR="00BF6580" w:rsidRPr="001368E0" w:rsidRDefault="00BF6580" w:rsidP="00051D67">
                  <w:pPr>
                    <w:framePr w:hSpace="141" w:wrap="around" w:vAnchor="text" w:hAnchor="text" w:y="1"/>
                    <w:spacing w:line="20" w:lineRule="atLeast"/>
                    <w:suppressOverlap/>
                    <w:rPr>
                      <w:lang w:val="en-GB"/>
                    </w:rPr>
                  </w:pPr>
                </w:p>
              </w:tc>
            </w:tr>
          </w:tbl>
          <w:p w:rsidR="00E26AF0" w:rsidRPr="001368E0" w:rsidRDefault="00E26AF0" w:rsidP="001368E0">
            <w:pPr>
              <w:spacing w:after="0" w:line="20" w:lineRule="atLeast"/>
              <w:rPr>
                <w:color w:val="000000"/>
                <w:lang w:val="en-GB"/>
              </w:rPr>
            </w:pPr>
          </w:p>
        </w:tc>
      </w:tr>
      <w:tr w:rsidR="002F1780" w:rsidRPr="001368E0" w:rsidTr="001368E0">
        <w:trPr>
          <w:trHeight w:val="280"/>
        </w:trPr>
        <w:tc>
          <w:tcPr>
            <w:tcW w:w="5778" w:type="dxa"/>
            <w:tcBorders>
              <w:left w:val="single" w:sz="4" w:space="0" w:color="983620"/>
              <w:right w:val="single" w:sz="4" w:space="0" w:color="983620"/>
            </w:tcBorders>
            <w:shd w:val="clear" w:color="auto" w:fill="A6A6A6"/>
            <w:noWrap/>
            <w:hideMark/>
          </w:tcPr>
          <w:p w:rsidR="00E26AF0" w:rsidRPr="001368E0" w:rsidRDefault="00E26AF0" w:rsidP="001368E0">
            <w:pPr>
              <w:spacing w:after="0" w:line="240" w:lineRule="auto"/>
              <w:jc w:val="center"/>
              <w:rPr>
                <w:b/>
                <w:bCs/>
                <w:color w:val="000000"/>
              </w:rPr>
            </w:pPr>
            <w:r w:rsidRPr="001368E0">
              <w:rPr>
                <w:b/>
                <w:bCs/>
                <w:color w:val="000000"/>
              </w:rPr>
              <w:t>OPPORTUNITIES</w:t>
            </w:r>
          </w:p>
        </w:tc>
        <w:tc>
          <w:tcPr>
            <w:tcW w:w="5245" w:type="dxa"/>
            <w:tcBorders>
              <w:left w:val="single" w:sz="4" w:space="0" w:color="983620"/>
              <w:right w:val="single" w:sz="4" w:space="0" w:color="983620"/>
            </w:tcBorders>
            <w:shd w:val="clear" w:color="auto" w:fill="A6A6A6"/>
            <w:hideMark/>
          </w:tcPr>
          <w:p w:rsidR="00E26AF0" w:rsidRPr="001368E0" w:rsidRDefault="00E26AF0" w:rsidP="001368E0">
            <w:pPr>
              <w:spacing w:after="0" w:line="240" w:lineRule="auto"/>
              <w:jc w:val="center"/>
              <w:rPr>
                <w:b/>
                <w:color w:val="000000"/>
              </w:rPr>
            </w:pPr>
            <w:r w:rsidRPr="001368E0">
              <w:rPr>
                <w:b/>
                <w:color w:val="000000"/>
              </w:rPr>
              <w:t>THREATS</w:t>
            </w:r>
          </w:p>
        </w:tc>
      </w:tr>
      <w:tr w:rsidR="002F1780" w:rsidRPr="001368E0" w:rsidTr="001368E0">
        <w:trPr>
          <w:trHeight w:val="430"/>
        </w:trPr>
        <w:tc>
          <w:tcPr>
            <w:tcW w:w="5778" w:type="dxa"/>
            <w:tcBorders>
              <w:left w:val="single" w:sz="4" w:space="0" w:color="983620"/>
              <w:bottom w:val="single" w:sz="4" w:space="0" w:color="983620"/>
              <w:right w:val="single" w:sz="4" w:space="0" w:color="983620"/>
            </w:tcBorders>
            <w:shd w:val="clear" w:color="auto" w:fill="E6E6E6"/>
            <w:hideMark/>
          </w:tcPr>
          <w:tbl>
            <w:tblPr>
              <w:tblW w:w="5529" w:type="dxa"/>
              <w:tblLayout w:type="fixed"/>
              <w:tblCellMar>
                <w:left w:w="70" w:type="dxa"/>
                <w:right w:w="70" w:type="dxa"/>
              </w:tblCellMar>
              <w:tblLook w:val="04A0"/>
            </w:tblPr>
            <w:tblGrid>
              <w:gridCol w:w="5529"/>
            </w:tblGrid>
            <w:tr w:rsidR="009B76D2" w:rsidRPr="001368E0" w:rsidTr="00797AFA">
              <w:trPr>
                <w:trHeight w:val="572"/>
              </w:trPr>
              <w:tc>
                <w:tcPr>
                  <w:tcW w:w="5529" w:type="dxa"/>
                  <w:tcBorders>
                    <w:top w:val="nil"/>
                    <w:left w:val="nil"/>
                  </w:tcBorders>
                  <w:shd w:val="clear" w:color="auto" w:fill="auto"/>
                  <w:vAlign w:val="center"/>
                  <w:hideMark/>
                </w:tcPr>
                <w:p w:rsidR="009B76D2" w:rsidRPr="001368E0"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olor w:val="000000"/>
                      <w:sz w:val="22"/>
                      <w:szCs w:val="22"/>
                    </w:rPr>
                  </w:pPr>
                  <w:r w:rsidRPr="001368E0">
                    <w:rPr>
                      <w:rFonts w:eastAsia="Times New Roman"/>
                      <w:color w:val="000000"/>
                      <w:sz w:val="22"/>
                      <w:szCs w:val="22"/>
                    </w:rPr>
                    <w:t>Outmigration reducing pressure on unemployment</w:t>
                  </w:r>
                </w:p>
                <w:p w:rsidR="009B76D2" w:rsidRPr="001368E0"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olor w:val="000000"/>
                      <w:sz w:val="22"/>
                      <w:szCs w:val="22"/>
                      <w:lang w:val="en-GB"/>
                    </w:rPr>
                  </w:pPr>
                  <w:r w:rsidRPr="001368E0">
                    <w:rPr>
                      <w:rFonts w:eastAsia="Times New Roman"/>
                      <w:color w:val="000000"/>
                      <w:sz w:val="22"/>
                      <w:szCs w:val="22"/>
                      <w:lang w:val="en-GB"/>
                    </w:rPr>
                    <w:t>Flows of remittances play an increasing role in regional economic development, and plays an important role in offsetting the balance of trade deficit</w:t>
                  </w:r>
                </w:p>
                <w:p w:rsidR="009B76D2" w:rsidRPr="001368E0"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olor w:val="000000"/>
                      <w:sz w:val="22"/>
                      <w:szCs w:val="22"/>
                      <w:lang w:val="en-GB"/>
                    </w:rPr>
                  </w:pPr>
                  <w:r w:rsidRPr="001368E0">
                    <w:rPr>
                      <w:rFonts w:eastAsia="Times New Roman"/>
                      <w:color w:val="000000"/>
                      <w:sz w:val="22"/>
                      <w:szCs w:val="22"/>
                      <w:lang w:val="en-GB"/>
                    </w:rPr>
                    <w:t>Number of international visitors to the BSB area has expanded rapidly</w:t>
                  </w:r>
                </w:p>
                <w:p w:rsidR="009B76D2" w:rsidRPr="001368E0" w:rsidRDefault="00E26712" w:rsidP="00C51C92">
                  <w:pPr>
                    <w:pStyle w:val="ListParagraph"/>
                    <w:framePr w:hSpace="141" w:wrap="around" w:vAnchor="text" w:hAnchor="text" w:y="1"/>
                    <w:numPr>
                      <w:ilvl w:val="0"/>
                      <w:numId w:val="32"/>
                    </w:numPr>
                    <w:spacing w:after="120" w:line="240" w:lineRule="auto"/>
                    <w:ind w:left="714" w:hanging="357"/>
                    <w:suppressOverlap/>
                    <w:rPr>
                      <w:rFonts w:eastAsia="Times New Roman"/>
                      <w:color w:val="000000"/>
                      <w:sz w:val="22"/>
                      <w:szCs w:val="22"/>
                      <w:lang w:val="en-GB"/>
                    </w:rPr>
                  </w:pPr>
                  <w:r w:rsidRPr="001368E0">
                    <w:rPr>
                      <w:rFonts w:eastAsia="Times New Roman"/>
                      <w:color w:val="000000"/>
                      <w:sz w:val="22"/>
                      <w:szCs w:val="22"/>
                      <w:lang w:val="en-GB"/>
                    </w:rPr>
                    <w:t>Continued expansion &amp;</w:t>
                  </w:r>
                  <w:r w:rsidR="009B76D2" w:rsidRPr="001368E0">
                    <w:rPr>
                      <w:rFonts w:eastAsia="Times New Roman"/>
                      <w:color w:val="000000"/>
                      <w:sz w:val="22"/>
                      <w:szCs w:val="22"/>
                      <w:lang w:val="en-GB"/>
                    </w:rPr>
                    <w:t xml:space="preserve"> diversification of tourism</w:t>
                  </w:r>
                  <w:r w:rsidRPr="001368E0">
                    <w:rPr>
                      <w:rFonts w:eastAsia="Times New Roman"/>
                      <w:color w:val="000000"/>
                      <w:sz w:val="22"/>
                      <w:szCs w:val="22"/>
                      <w:lang w:val="en-GB"/>
                    </w:rPr>
                    <w:t>,</w:t>
                  </w:r>
                  <w:r w:rsidR="009B76D2" w:rsidRPr="001368E0">
                    <w:rPr>
                      <w:rFonts w:eastAsia="Times New Roman"/>
                      <w:color w:val="000000"/>
                      <w:sz w:val="22"/>
                      <w:szCs w:val="22"/>
                      <w:lang w:val="en-GB"/>
                    </w:rPr>
                    <w:t xml:space="preserve"> fastest-growing economic sectors in the world</w:t>
                  </w:r>
                </w:p>
                <w:p w:rsidR="009B76D2" w:rsidRPr="001368E0"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olor w:val="000000"/>
                      <w:lang w:val="en-GB"/>
                    </w:rPr>
                  </w:pPr>
                  <w:r w:rsidRPr="001368E0">
                    <w:rPr>
                      <w:rFonts w:eastAsia="Times New Roman"/>
                      <w:color w:val="000000"/>
                      <w:sz w:val="22"/>
                      <w:szCs w:val="22"/>
                      <w:lang w:val="en-GB"/>
                    </w:rPr>
                    <w:t>High growth rate in organic agriculture</w:t>
                  </w:r>
                  <w:r w:rsidR="009D178D" w:rsidRPr="001368E0">
                    <w:rPr>
                      <w:rFonts w:eastAsia="Times New Roman"/>
                      <w:color w:val="000000"/>
                      <w:sz w:val="22"/>
                      <w:szCs w:val="22"/>
                      <w:lang w:val="en-GB"/>
                    </w:rPr>
                    <w:t xml:space="preserve"> </w:t>
                  </w:r>
                  <w:r w:rsidRPr="001368E0">
                    <w:rPr>
                      <w:rFonts w:eastAsia="Times New Roman"/>
                      <w:color w:val="000000"/>
                      <w:sz w:val="22"/>
                      <w:szCs w:val="22"/>
                      <w:lang w:val="en-GB"/>
                    </w:rPr>
                    <w:t>worldwide</w:t>
                  </w:r>
                </w:p>
              </w:tc>
            </w:tr>
          </w:tbl>
          <w:p w:rsidR="00E26AF0" w:rsidRPr="001368E0" w:rsidRDefault="00E26AF0" w:rsidP="001368E0">
            <w:pPr>
              <w:spacing w:after="0" w:line="240" w:lineRule="auto"/>
              <w:rPr>
                <w:b/>
                <w:bCs/>
                <w:color w:val="000000"/>
                <w:lang w:val="en-GB"/>
              </w:rPr>
            </w:pPr>
          </w:p>
        </w:tc>
        <w:tc>
          <w:tcPr>
            <w:tcW w:w="5245" w:type="dxa"/>
            <w:tcBorders>
              <w:left w:val="single" w:sz="4" w:space="0" w:color="983620"/>
              <w:bottom w:val="single" w:sz="4" w:space="0" w:color="983620"/>
              <w:right w:val="single" w:sz="4" w:space="0" w:color="983620"/>
            </w:tcBorders>
            <w:shd w:val="clear" w:color="auto" w:fill="E6E6E6"/>
            <w:hideMark/>
          </w:tcPr>
          <w:tbl>
            <w:tblPr>
              <w:tblW w:w="4464" w:type="dxa"/>
              <w:tblLayout w:type="fixed"/>
              <w:tblCellMar>
                <w:left w:w="70" w:type="dxa"/>
                <w:right w:w="70" w:type="dxa"/>
              </w:tblCellMar>
              <w:tblLook w:val="04A0"/>
            </w:tblPr>
            <w:tblGrid>
              <w:gridCol w:w="4464"/>
            </w:tblGrid>
            <w:tr w:rsidR="009B76D2" w:rsidRPr="001368E0" w:rsidTr="000C49D0">
              <w:trPr>
                <w:trHeight w:val="1960"/>
              </w:trPr>
              <w:tc>
                <w:tcPr>
                  <w:tcW w:w="4464" w:type="dxa"/>
                  <w:tcBorders>
                    <w:top w:val="nil"/>
                    <w:right w:val="nil"/>
                  </w:tcBorders>
                  <w:shd w:val="clear" w:color="auto" w:fill="auto"/>
                  <w:vAlign w:val="center"/>
                  <w:hideMark/>
                </w:tcPr>
                <w:p w:rsidR="009B76D2" w:rsidRPr="001368E0"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olor w:val="000000"/>
                      <w:sz w:val="22"/>
                      <w:szCs w:val="22"/>
                      <w:lang w:val="en-GB"/>
                    </w:rPr>
                  </w:pPr>
                  <w:r w:rsidRPr="001368E0">
                    <w:rPr>
                      <w:rFonts w:eastAsia="Times New Roman"/>
                      <w:color w:val="000000"/>
                      <w:sz w:val="22"/>
                      <w:szCs w:val="22"/>
                      <w:lang w:val="en-GB"/>
                    </w:rPr>
                    <w:t>EU recession and continuing problems emanating from the debt crisis limit further economic recovery in BSB region</w:t>
                  </w:r>
                </w:p>
                <w:p w:rsidR="00C51C92" w:rsidRPr="001368E0" w:rsidRDefault="009B76D2" w:rsidP="00797AFA">
                  <w:pPr>
                    <w:pStyle w:val="ListParagraph"/>
                    <w:framePr w:hSpace="141" w:wrap="around" w:vAnchor="text" w:hAnchor="text" w:y="1"/>
                    <w:numPr>
                      <w:ilvl w:val="0"/>
                      <w:numId w:val="32"/>
                    </w:numPr>
                    <w:spacing w:after="120" w:line="240" w:lineRule="auto"/>
                    <w:ind w:left="714" w:hanging="357"/>
                    <w:suppressOverlap/>
                    <w:rPr>
                      <w:rFonts w:eastAsia="Times New Roman"/>
                      <w:color w:val="000000"/>
                      <w:lang w:val="en-GB"/>
                    </w:rPr>
                  </w:pPr>
                  <w:r w:rsidRPr="001368E0">
                    <w:rPr>
                      <w:rFonts w:eastAsia="Times New Roman"/>
                      <w:color w:val="000000"/>
                      <w:sz w:val="22"/>
                      <w:szCs w:val="22"/>
                      <w:lang w:val="en-GB"/>
                    </w:rPr>
                    <w:t>Foreign Direct Investments: BSB region still suffers from broader risk aversion following the crisis</w:t>
                  </w:r>
                </w:p>
              </w:tc>
            </w:tr>
          </w:tbl>
          <w:p w:rsidR="00E26AF0" w:rsidRPr="001368E0" w:rsidRDefault="00E26AF0" w:rsidP="001368E0">
            <w:pPr>
              <w:spacing w:after="0" w:line="240" w:lineRule="auto"/>
              <w:rPr>
                <w:color w:val="000000"/>
                <w:lang w:val="en-GB"/>
              </w:rPr>
            </w:pPr>
          </w:p>
        </w:tc>
      </w:tr>
    </w:tbl>
    <w:p w:rsidR="00D16147" w:rsidRPr="006E3288" w:rsidRDefault="00D16147" w:rsidP="006E3288">
      <w:pPr>
        <w:pStyle w:val="Heading3"/>
        <w:rPr>
          <w:b/>
          <w:sz w:val="28"/>
          <w:szCs w:val="28"/>
          <w:lang w:val="en-GB"/>
        </w:rPr>
      </w:pPr>
      <w:bookmarkStart w:id="33" w:name="_Toc246127428"/>
      <w:bookmarkStart w:id="34" w:name="_Toc288133435"/>
      <w:r w:rsidRPr="006E3288">
        <w:rPr>
          <w:b/>
          <w:sz w:val="28"/>
          <w:szCs w:val="28"/>
          <w:lang w:val="en-GB"/>
        </w:rPr>
        <w:t>Education and employment, R&amp;D, research</w:t>
      </w:r>
      <w:bookmarkEnd w:id="33"/>
      <w:bookmarkEnd w:id="34"/>
      <w:r w:rsidRPr="006E3288">
        <w:rPr>
          <w:b/>
          <w:sz w:val="28"/>
          <w:szCs w:val="28"/>
          <w:lang w:val="en-GB"/>
        </w:rPr>
        <w:t xml:space="preserve"> </w:t>
      </w:r>
    </w:p>
    <w:p w:rsidR="00D16147" w:rsidRPr="00002063" w:rsidRDefault="00D16147" w:rsidP="00002063">
      <w:pPr>
        <w:spacing w:before="180" w:after="180" w:line="264" w:lineRule="auto"/>
        <w:rPr>
          <w:b/>
          <w:bCs/>
          <w:lang w:val="en-GB"/>
        </w:rPr>
      </w:pPr>
      <w:bookmarkStart w:id="35" w:name="_Toc246127429"/>
      <w:r w:rsidRPr="00002063">
        <w:rPr>
          <w:b/>
          <w:bCs/>
          <w:lang w:val="en-GB"/>
        </w:rPr>
        <w:t>Population level of education</w:t>
      </w:r>
      <w:bookmarkEnd w:id="35"/>
    </w:p>
    <w:p w:rsidR="00D16147" w:rsidRDefault="006102F6" w:rsidP="00D16147">
      <w:pPr>
        <w:spacing w:before="120" w:after="0" w:line="252" w:lineRule="auto"/>
        <w:jc w:val="both"/>
      </w:pPr>
      <w:r>
        <w:rPr>
          <w:noProof/>
          <w:lang w:val="ro-RO" w:eastAsia="ro-RO"/>
        </w:rPr>
        <w:drawing>
          <wp:inline distT="0" distB="0" distL="0" distR="0">
            <wp:extent cx="6162675" cy="2152650"/>
            <wp:effectExtent l="19050" t="0" r="9525"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srcRect/>
                    <a:stretch>
                      <a:fillRect/>
                    </a:stretch>
                  </pic:blipFill>
                  <pic:spPr bwMode="auto">
                    <a:xfrm>
                      <a:off x="0" y="0"/>
                      <a:ext cx="6162675" cy="2152650"/>
                    </a:xfrm>
                    <a:prstGeom prst="rect">
                      <a:avLst/>
                    </a:prstGeom>
                    <a:noFill/>
                    <a:ln w="9525">
                      <a:noFill/>
                      <a:miter lim="800000"/>
                      <a:headEnd/>
                      <a:tailEnd/>
                    </a:ln>
                  </pic:spPr>
                </pic:pic>
              </a:graphicData>
            </a:graphic>
          </wp:inline>
        </w:drawing>
      </w:r>
    </w:p>
    <w:p w:rsidR="00D16147" w:rsidRPr="004B58D3"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957F9B">
        <w:rPr>
          <w:sz w:val="22"/>
          <w:szCs w:val="22"/>
          <w:lang w:val="en-GB"/>
        </w:rPr>
        <w:t>12</w:t>
      </w:r>
      <w:r w:rsidRPr="004B58D3">
        <w:rPr>
          <w:sz w:val="22"/>
          <w:szCs w:val="22"/>
          <w:lang w:val="en-GB"/>
        </w:rPr>
        <w:t>. School enrollment in tertiary</w:t>
      </w:r>
      <w:r>
        <w:rPr>
          <w:rStyle w:val="FootnoteReference"/>
          <w:sz w:val="22"/>
          <w:szCs w:val="22"/>
        </w:rPr>
        <w:footnoteReference w:id="34"/>
      </w:r>
      <w:r w:rsidRPr="004B58D3">
        <w:rPr>
          <w:sz w:val="22"/>
          <w:szCs w:val="22"/>
          <w:lang w:val="en-GB"/>
        </w:rPr>
        <w:t xml:space="preserve"> education (as a % of relevant age class), 2007</w:t>
      </w:r>
      <w:r>
        <w:rPr>
          <w:rStyle w:val="EndnoteReference"/>
          <w:sz w:val="22"/>
          <w:szCs w:val="22"/>
        </w:rPr>
        <w:endnoteReference w:id="50"/>
      </w:r>
    </w:p>
    <w:p w:rsidR="00D16147" w:rsidRPr="004B58D3" w:rsidRDefault="00D16147" w:rsidP="00D16147">
      <w:pPr>
        <w:spacing w:before="120" w:after="0" w:line="252" w:lineRule="auto"/>
        <w:jc w:val="both"/>
        <w:rPr>
          <w:sz w:val="22"/>
          <w:szCs w:val="22"/>
          <w:lang w:val="en-GB"/>
        </w:rPr>
      </w:pPr>
      <w:r w:rsidRPr="004B58D3">
        <w:rPr>
          <w:sz w:val="22"/>
          <w:szCs w:val="22"/>
          <w:lang w:val="en-GB"/>
        </w:rPr>
        <w:t>The Black Sea Basin is characterized by the high level of education of its wor</w:t>
      </w:r>
      <w:r>
        <w:rPr>
          <w:sz w:val="22"/>
          <w:szCs w:val="22"/>
          <w:lang w:val="en-GB"/>
        </w:rPr>
        <w:t>k</w:t>
      </w:r>
      <w:r w:rsidR="00850624">
        <w:rPr>
          <w:sz w:val="22"/>
          <w:szCs w:val="22"/>
          <w:lang w:val="en-GB"/>
        </w:rPr>
        <w:t>force overall (</w:t>
      </w:r>
      <w:r w:rsidRPr="004B58D3">
        <w:rPr>
          <w:sz w:val="22"/>
          <w:szCs w:val="22"/>
          <w:lang w:val="en-GB"/>
        </w:rPr>
        <w:t>although there are great regional disparities</w:t>
      </w:r>
      <w:r w:rsidRPr="004D189B">
        <w:rPr>
          <w:rStyle w:val="FootnoteReference"/>
          <w:sz w:val="22"/>
          <w:szCs w:val="22"/>
        </w:rPr>
        <w:footnoteReference w:id="35"/>
      </w:r>
      <w:r w:rsidR="00850624">
        <w:rPr>
          <w:sz w:val="22"/>
          <w:szCs w:val="22"/>
          <w:lang w:val="en-GB"/>
        </w:rPr>
        <w:t>)</w:t>
      </w:r>
      <w:r w:rsidRPr="004B58D3">
        <w:rPr>
          <w:sz w:val="22"/>
          <w:szCs w:val="22"/>
          <w:lang w:val="en-GB"/>
        </w:rPr>
        <w:t xml:space="preserve"> and increasing youth enrolment in higher education on average, ranging from 19% in Azerbaijan to 89% in Greece (see figure 12 above).</w:t>
      </w:r>
    </w:p>
    <w:p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Human capital therefore appears as a strong asset in the region, though education systems often face the challenge of adapting their training to match the changing needs of the economy in order to provide </w:t>
      </w:r>
      <w:r>
        <w:rPr>
          <w:sz w:val="22"/>
          <w:szCs w:val="22"/>
          <w:lang w:val="en-GB"/>
        </w:rPr>
        <w:t xml:space="preserve">an </w:t>
      </w:r>
      <w:r w:rsidRPr="004B58D3">
        <w:rPr>
          <w:sz w:val="22"/>
          <w:szCs w:val="22"/>
          <w:lang w:val="en-GB"/>
        </w:rPr>
        <w:t>appropriate skilled worforce</w:t>
      </w:r>
      <w:r w:rsidRPr="00E70CD2">
        <w:rPr>
          <w:rStyle w:val="EndnoteReference"/>
          <w:sz w:val="22"/>
          <w:szCs w:val="22"/>
        </w:rPr>
        <w:endnoteReference w:id="51"/>
      </w:r>
      <w:r w:rsidRPr="004B58D3">
        <w:rPr>
          <w:sz w:val="22"/>
          <w:szCs w:val="22"/>
          <w:lang w:val="en-GB"/>
        </w:rPr>
        <w:t>. According to an EBRD/World Bank 2009 survey</w:t>
      </w:r>
      <w:r w:rsidRPr="00E70CD2">
        <w:rPr>
          <w:rStyle w:val="EndnoteReference"/>
          <w:sz w:val="22"/>
          <w:szCs w:val="22"/>
        </w:rPr>
        <w:endnoteReference w:id="52"/>
      </w:r>
      <w:r w:rsidRPr="004B58D3">
        <w:rPr>
          <w:sz w:val="22"/>
          <w:szCs w:val="22"/>
          <w:lang w:val="en-GB"/>
        </w:rPr>
        <w:t xml:space="preserve">, </w:t>
      </w:r>
      <w:r>
        <w:rPr>
          <w:sz w:val="22"/>
          <w:szCs w:val="22"/>
          <w:lang w:val="en-GB"/>
        </w:rPr>
        <w:t>for example,</w:t>
      </w:r>
      <w:r w:rsidRPr="004B58D3">
        <w:rPr>
          <w:sz w:val="22"/>
          <w:szCs w:val="22"/>
          <w:lang w:val="en-GB"/>
        </w:rPr>
        <w:t xml:space="preserve"> 43% of enterprises in Ukraine and Moldova consider the lack of skills as a problem for the performance and development of their enterprises</w:t>
      </w:r>
      <w:r>
        <w:rPr>
          <w:sz w:val="22"/>
          <w:szCs w:val="22"/>
          <w:lang w:val="en-GB"/>
        </w:rPr>
        <w:t>.</w:t>
      </w:r>
      <w:r w:rsidRPr="004B58D3">
        <w:rPr>
          <w:sz w:val="22"/>
          <w:szCs w:val="22"/>
          <w:lang w:val="en-GB"/>
        </w:rPr>
        <w:t xml:space="preserve"> </w:t>
      </w:r>
      <w:r>
        <w:rPr>
          <w:sz w:val="22"/>
          <w:szCs w:val="22"/>
          <w:lang w:val="en-GB"/>
        </w:rPr>
        <w:t>T</w:t>
      </w:r>
      <w:r w:rsidRPr="004B58D3">
        <w:rPr>
          <w:sz w:val="22"/>
          <w:szCs w:val="22"/>
          <w:lang w:val="en-GB"/>
        </w:rPr>
        <w:t>he percentages are lower, but still significant, for Georgia (27%) and Armenia (24%). Thus vocational education and training also has an important role to play, both to improve technology absorption and diffusion</w:t>
      </w:r>
      <w:r>
        <w:rPr>
          <w:sz w:val="22"/>
          <w:szCs w:val="22"/>
          <w:lang w:val="en-GB"/>
        </w:rPr>
        <w:t xml:space="preserve"> in the countries</w:t>
      </w:r>
      <w:r w:rsidRPr="004B58D3">
        <w:rPr>
          <w:sz w:val="22"/>
          <w:szCs w:val="22"/>
          <w:lang w:val="en-GB"/>
        </w:rPr>
        <w:t xml:space="preserve"> </w:t>
      </w:r>
      <w:r>
        <w:rPr>
          <w:sz w:val="22"/>
          <w:szCs w:val="22"/>
          <w:lang w:val="en-GB"/>
        </w:rPr>
        <w:t xml:space="preserve">and </w:t>
      </w:r>
      <w:r w:rsidRPr="004B58D3">
        <w:rPr>
          <w:sz w:val="22"/>
          <w:szCs w:val="22"/>
          <w:lang w:val="en-GB"/>
        </w:rPr>
        <w:t>to enhance individual employability</w:t>
      </w:r>
      <w:r w:rsidRPr="00E70CD2">
        <w:rPr>
          <w:rStyle w:val="EndnoteReference"/>
          <w:sz w:val="22"/>
          <w:szCs w:val="22"/>
        </w:rPr>
        <w:endnoteReference w:id="53"/>
      </w:r>
      <w:r w:rsidRPr="004B58D3">
        <w:rPr>
          <w:sz w:val="22"/>
          <w:szCs w:val="22"/>
          <w:lang w:val="en-GB"/>
        </w:rPr>
        <w:t>.</w:t>
      </w:r>
    </w:p>
    <w:p w:rsidR="00D16147" w:rsidRPr="00002063" w:rsidRDefault="00D16147" w:rsidP="00002063">
      <w:pPr>
        <w:spacing w:before="180" w:after="180" w:line="264" w:lineRule="auto"/>
        <w:rPr>
          <w:b/>
          <w:bCs/>
          <w:lang w:val="en-GB"/>
        </w:rPr>
      </w:pPr>
      <w:bookmarkStart w:id="36" w:name="_Toc246127430"/>
      <w:r w:rsidRPr="00002063">
        <w:rPr>
          <w:b/>
          <w:bCs/>
          <w:lang w:val="en-GB"/>
        </w:rPr>
        <w:t>Employment distribution and unemployment challenges</w:t>
      </w:r>
      <w:bookmarkEnd w:id="36"/>
      <w:r w:rsidRPr="00002063">
        <w:rPr>
          <w:b/>
          <w:bCs/>
          <w:lang w:val="en-GB"/>
        </w:rPr>
        <w:t xml:space="preserve"> </w:t>
      </w:r>
    </w:p>
    <w:p w:rsidR="00D16147" w:rsidRPr="004B58D3" w:rsidRDefault="00D16147" w:rsidP="00D16147">
      <w:pPr>
        <w:spacing w:before="120" w:after="0" w:line="252" w:lineRule="auto"/>
        <w:jc w:val="both"/>
        <w:rPr>
          <w:sz w:val="22"/>
          <w:szCs w:val="22"/>
          <w:lang w:val="en-GB"/>
        </w:rPr>
      </w:pPr>
      <w:r w:rsidRPr="004B58D3">
        <w:rPr>
          <w:sz w:val="22"/>
          <w:szCs w:val="22"/>
          <w:lang w:val="en-GB"/>
        </w:rPr>
        <w:t>The strong structural hetereogeneity of Black Sea Basin economies (share of traditional industries, weight of the agricultural sector) and the pace of economic development and restructuring (growth of services, tourism and the oil industry in particular) is reflected in employment distribution and unempl</w:t>
      </w:r>
      <w:r w:rsidR="001305E0">
        <w:rPr>
          <w:sz w:val="22"/>
          <w:szCs w:val="22"/>
          <w:lang w:val="en-GB"/>
        </w:rPr>
        <w:t>oyment challenges (see figure 13</w:t>
      </w:r>
      <w:r w:rsidRPr="004B58D3">
        <w:rPr>
          <w:sz w:val="22"/>
          <w:szCs w:val="22"/>
          <w:lang w:val="en-GB"/>
        </w:rPr>
        <w:t xml:space="preserve"> and table</w:t>
      </w:r>
      <w:r>
        <w:rPr>
          <w:sz w:val="22"/>
          <w:szCs w:val="22"/>
          <w:lang w:val="en-GB"/>
        </w:rPr>
        <w:t xml:space="preserve"> 4</w:t>
      </w:r>
      <w:r w:rsidRPr="004B58D3">
        <w:rPr>
          <w:sz w:val="22"/>
          <w:szCs w:val="22"/>
          <w:lang w:val="en-GB"/>
        </w:rPr>
        <w:t xml:space="preserve"> below).</w:t>
      </w:r>
    </w:p>
    <w:p w:rsidR="00D16147" w:rsidRPr="004B58D3" w:rsidRDefault="006102F6" w:rsidP="005A12B9">
      <w:pPr>
        <w:spacing w:after="0" w:line="252" w:lineRule="auto"/>
        <w:jc w:val="both"/>
        <w:rPr>
          <w:i/>
          <w:lang w:val="en-GB"/>
        </w:rPr>
      </w:pPr>
      <w:r>
        <w:rPr>
          <w:noProof/>
          <w:lang w:val="ro-RO" w:eastAsia="ro-RO"/>
        </w:rPr>
        <w:drawing>
          <wp:inline distT="0" distB="0" distL="0" distR="0">
            <wp:extent cx="6696075" cy="2266950"/>
            <wp:effectExtent l="19050" t="0" r="9525" b="0"/>
            <wp:docPr id="1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25"/>
                    <a:srcRect/>
                    <a:stretch>
                      <a:fillRect/>
                    </a:stretch>
                  </pic:blipFill>
                  <pic:spPr bwMode="auto">
                    <a:xfrm>
                      <a:off x="0" y="0"/>
                      <a:ext cx="6696075" cy="2266950"/>
                    </a:xfrm>
                    <a:prstGeom prst="rect">
                      <a:avLst/>
                    </a:prstGeom>
                    <a:noFill/>
                    <a:ln w="9525">
                      <a:noFill/>
                      <a:miter lim="800000"/>
                      <a:headEnd/>
                      <a:tailEnd/>
                    </a:ln>
                  </pic:spPr>
                </pic:pic>
              </a:graphicData>
            </a:graphic>
          </wp:inline>
        </w:drawing>
      </w:r>
      <w:r w:rsidR="00D16147" w:rsidRPr="004B58D3">
        <w:rPr>
          <w:i/>
          <w:sz w:val="22"/>
          <w:szCs w:val="22"/>
          <w:lang w:val="en-GB"/>
        </w:rPr>
        <w:t xml:space="preserve">Figure </w:t>
      </w:r>
      <w:r w:rsidR="00957F9B">
        <w:rPr>
          <w:i/>
          <w:sz w:val="22"/>
          <w:szCs w:val="22"/>
          <w:lang w:val="en-GB"/>
        </w:rPr>
        <w:t>13</w:t>
      </w:r>
      <w:r w:rsidR="00D16147" w:rsidRPr="004B58D3">
        <w:rPr>
          <w:i/>
          <w:sz w:val="22"/>
          <w:szCs w:val="22"/>
          <w:lang w:val="en-GB"/>
        </w:rPr>
        <w:t>. Employment distribution, 2007</w:t>
      </w:r>
      <w:r w:rsidR="00D16147" w:rsidRPr="005D2CDE">
        <w:rPr>
          <w:rStyle w:val="EndnoteReference"/>
          <w:i/>
          <w:sz w:val="22"/>
          <w:szCs w:val="22"/>
        </w:rPr>
        <w:endnoteReference w:id="54"/>
      </w:r>
    </w:p>
    <w:p w:rsidR="00D16147" w:rsidRPr="000D3441" w:rsidRDefault="00D16147" w:rsidP="00D16147">
      <w:pPr>
        <w:spacing w:before="120" w:after="0" w:line="252" w:lineRule="auto"/>
        <w:jc w:val="both"/>
        <w:rPr>
          <w:sz w:val="22"/>
          <w:szCs w:val="22"/>
          <w:lang w:val="en-GB"/>
        </w:rPr>
      </w:pPr>
      <w:r w:rsidRPr="004B58D3">
        <w:rPr>
          <w:sz w:val="22"/>
          <w:szCs w:val="22"/>
          <w:lang w:val="en-GB"/>
        </w:rPr>
        <w:t>The gap in average wages among the Black Sea Basin areas has considerably reduced since 2006</w:t>
      </w:r>
      <w:r w:rsidRPr="00E70CD2">
        <w:rPr>
          <w:rStyle w:val="EndnoteReference"/>
          <w:sz w:val="22"/>
          <w:szCs w:val="22"/>
        </w:rPr>
        <w:endnoteReference w:id="55"/>
      </w:r>
      <w:r w:rsidRPr="004B58D3">
        <w:rPr>
          <w:sz w:val="22"/>
          <w:szCs w:val="22"/>
          <w:lang w:val="en-GB"/>
        </w:rPr>
        <w:t>, going from a 1 to 10 ratio to a 1 to 4 ratio (between Moldova and Greece) in 2012. Following the harsh recession</w:t>
      </w:r>
      <w:r>
        <w:rPr>
          <w:sz w:val="22"/>
          <w:szCs w:val="22"/>
          <w:lang w:val="en-GB"/>
        </w:rPr>
        <w:t>,</w:t>
      </w:r>
      <w:r w:rsidRPr="004B58D3">
        <w:rPr>
          <w:sz w:val="22"/>
          <w:szCs w:val="22"/>
          <w:lang w:val="en-GB"/>
        </w:rPr>
        <w:t xml:space="preserve"> since 2008 salaries in Greece have dropped while wages in all other regions/countries have considerably increased, multiplying by more </w:t>
      </w:r>
      <w:r w:rsidRPr="000D3441">
        <w:rPr>
          <w:sz w:val="22"/>
          <w:szCs w:val="22"/>
          <w:lang w:val="en-GB"/>
        </w:rPr>
        <w:t xml:space="preserve">than three in Azerbaijan and Georgia and </w:t>
      </w:r>
      <w:r w:rsidR="00AD57B0">
        <w:rPr>
          <w:sz w:val="22"/>
          <w:szCs w:val="22"/>
          <w:lang w:val="en-GB"/>
        </w:rPr>
        <w:t>by four in Bulgaria (see table 4</w:t>
      </w:r>
      <w:r w:rsidRPr="000D3441">
        <w:rPr>
          <w:sz w:val="22"/>
          <w:szCs w:val="22"/>
          <w:lang w:val="en-GB"/>
        </w:rPr>
        <w:t xml:space="preserve"> below). On average, wages within the Black Sea Basin remain four times lower than the EU average</w:t>
      </w:r>
      <w:r w:rsidRPr="000D3441">
        <w:rPr>
          <w:rStyle w:val="EndnoteReference"/>
          <w:sz w:val="22"/>
          <w:szCs w:val="22"/>
          <w:lang w:val="en-GB"/>
        </w:rPr>
        <w:endnoteReference w:id="56"/>
      </w:r>
      <w:r w:rsidRPr="000D3441">
        <w:rPr>
          <w:sz w:val="22"/>
          <w:szCs w:val="22"/>
          <w:lang w:val="en-GB"/>
        </w:rPr>
        <w:t xml:space="preserve">.  </w:t>
      </w:r>
    </w:p>
    <w:p w:rsidR="00D16147" w:rsidRPr="004B58D3" w:rsidRDefault="00D16147" w:rsidP="00D16147">
      <w:pPr>
        <w:spacing w:before="120" w:after="0" w:line="252" w:lineRule="auto"/>
        <w:jc w:val="both"/>
        <w:rPr>
          <w:sz w:val="22"/>
          <w:szCs w:val="22"/>
          <w:lang w:val="en-GB"/>
        </w:rPr>
      </w:pPr>
      <w:r w:rsidRPr="000D3441">
        <w:rPr>
          <w:sz w:val="22"/>
          <w:szCs w:val="22"/>
          <w:lang w:val="en-GB"/>
        </w:rPr>
        <w:t>However, wage and salaried earners represent only around 40% of all workers in Georgia and Azerbaijan and about</w:t>
      </w:r>
      <w:r w:rsidRPr="004B58D3">
        <w:rPr>
          <w:sz w:val="22"/>
          <w:szCs w:val="22"/>
          <w:lang w:val="en-GB"/>
        </w:rPr>
        <w:t xml:space="preserve"> 65% in Romania, Turkey, Moldova and Greece – in sharp contrast to Bulgaria, Ukraine and Russia, or the EU average (&gt;82%)</w:t>
      </w:r>
      <w:r w:rsidRPr="00E70CD2">
        <w:rPr>
          <w:rStyle w:val="EndnoteReference"/>
          <w:sz w:val="22"/>
          <w:szCs w:val="22"/>
        </w:rPr>
        <w:endnoteReference w:id="57"/>
      </w:r>
      <w:r w:rsidRPr="004B58D3">
        <w:rPr>
          <w:sz w:val="22"/>
          <w:szCs w:val="22"/>
          <w:lang w:val="en-GB"/>
        </w:rPr>
        <w:t xml:space="preserve">. The majority of workers in Georgia and Azerbaijan </w:t>
      </w:r>
      <w:r>
        <w:rPr>
          <w:sz w:val="22"/>
          <w:szCs w:val="22"/>
          <w:lang w:val="en-GB"/>
        </w:rPr>
        <w:t>are s</w:t>
      </w:r>
      <w:r w:rsidRPr="004B58D3">
        <w:rPr>
          <w:sz w:val="22"/>
          <w:szCs w:val="22"/>
          <w:lang w:val="en-GB"/>
        </w:rPr>
        <w:t>elf-employed</w:t>
      </w:r>
      <w:r>
        <w:rPr>
          <w:sz w:val="22"/>
          <w:szCs w:val="22"/>
          <w:lang w:val="en-GB"/>
        </w:rPr>
        <w:t>,</w:t>
      </w:r>
      <w:r w:rsidRPr="004B58D3">
        <w:rPr>
          <w:sz w:val="22"/>
          <w:szCs w:val="22"/>
          <w:lang w:val="en-GB"/>
        </w:rPr>
        <w:t xml:space="preserve"> mostly in low-productive agriculture of a subsistence nature or small-scale informal activities</w:t>
      </w:r>
      <w:r w:rsidRPr="00E70CD2">
        <w:rPr>
          <w:rStyle w:val="EndnoteReference"/>
          <w:sz w:val="22"/>
          <w:szCs w:val="22"/>
        </w:rPr>
        <w:endnoteReference w:id="58"/>
      </w:r>
      <w:r w:rsidRPr="004B58D3">
        <w:rPr>
          <w:sz w:val="22"/>
          <w:szCs w:val="22"/>
          <w:lang w:val="en-GB"/>
        </w:rPr>
        <w:t>. The challenge to integrate these workers into higher-productivity sectors, enhancing their skills and creating more jobs in the formal economy therefore remains high</w:t>
      </w:r>
      <w:r w:rsidRPr="00E70CD2">
        <w:rPr>
          <w:rStyle w:val="EndnoteReference"/>
          <w:sz w:val="22"/>
          <w:szCs w:val="22"/>
        </w:rPr>
        <w:endnoteReference w:id="59"/>
      </w:r>
      <w:r w:rsidRPr="004B58D3">
        <w:rPr>
          <w:sz w:val="22"/>
          <w:szCs w:val="22"/>
          <w:lang w:val="en-GB"/>
        </w:rPr>
        <w:t>.</w:t>
      </w:r>
    </w:p>
    <w:p w:rsidR="00D16147" w:rsidRPr="004B58D3" w:rsidRDefault="00D16147" w:rsidP="00D16147">
      <w:pPr>
        <w:spacing w:before="120" w:after="0" w:line="252" w:lineRule="auto"/>
        <w:jc w:val="both"/>
        <w:rPr>
          <w:sz w:val="22"/>
          <w:szCs w:val="22"/>
          <w:lang w:val="en-GB"/>
        </w:rPr>
      </w:pPr>
    </w:p>
    <w:tbl>
      <w:tblPr>
        <w:tblW w:w="10500" w:type="dxa"/>
        <w:tblInd w:w="55" w:type="dxa"/>
        <w:tblCellMar>
          <w:left w:w="70" w:type="dxa"/>
          <w:right w:w="70" w:type="dxa"/>
        </w:tblCellMar>
        <w:tblLook w:val="04A0"/>
      </w:tblPr>
      <w:tblGrid>
        <w:gridCol w:w="1300"/>
        <w:gridCol w:w="2520"/>
        <w:gridCol w:w="1420"/>
        <w:gridCol w:w="1820"/>
        <w:gridCol w:w="1820"/>
        <w:gridCol w:w="1620"/>
      </w:tblGrid>
      <w:tr w:rsidR="00D16147" w:rsidRPr="001368E0" w:rsidTr="00A34868">
        <w:trPr>
          <w:trHeight w:val="840"/>
          <w:tblHeader/>
        </w:trPr>
        <w:tc>
          <w:tcPr>
            <w:tcW w:w="1300" w:type="dxa"/>
            <w:tcBorders>
              <w:top w:val="single" w:sz="4" w:space="0" w:color="auto"/>
              <w:left w:val="single" w:sz="4" w:space="0" w:color="auto"/>
              <w:bottom w:val="single" w:sz="4" w:space="0" w:color="auto"/>
              <w:right w:val="single" w:sz="4" w:space="0" w:color="auto"/>
            </w:tcBorders>
            <w:shd w:val="clear" w:color="4F81BD" w:fill="4F81BD"/>
            <w:noWrap/>
            <w:hideMark/>
          </w:tcPr>
          <w:p w:rsidR="00D16147" w:rsidRPr="00C076B6" w:rsidRDefault="00D16147" w:rsidP="00A34868">
            <w:pPr>
              <w:spacing w:after="0" w:line="252" w:lineRule="auto"/>
              <w:rPr>
                <w:rFonts w:ascii="Calibri" w:eastAsia="Times New Roman" w:hAnsi="Calibri"/>
                <w:b/>
                <w:bCs/>
                <w:color w:val="FFFFFF"/>
                <w:sz w:val="20"/>
                <w:szCs w:val="20"/>
              </w:rPr>
            </w:pPr>
            <w:r w:rsidRPr="00C076B6">
              <w:rPr>
                <w:rFonts w:ascii="Calibri" w:eastAsia="Times New Roman" w:hAnsi="Calibri"/>
                <w:b/>
                <w:bCs/>
                <w:color w:val="FFFFFF"/>
                <w:sz w:val="20"/>
                <w:szCs w:val="20"/>
              </w:rPr>
              <w:t>COUNTRY</w:t>
            </w:r>
          </w:p>
        </w:tc>
        <w:tc>
          <w:tcPr>
            <w:tcW w:w="2520" w:type="dxa"/>
            <w:tcBorders>
              <w:top w:val="single" w:sz="4" w:space="0" w:color="auto"/>
              <w:left w:val="single" w:sz="4" w:space="0" w:color="auto"/>
              <w:bottom w:val="single" w:sz="4" w:space="0" w:color="auto"/>
              <w:right w:val="single" w:sz="4" w:space="0" w:color="auto"/>
            </w:tcBorders>
            <w:shd w:val="clear" w:color="4F81BD" w:fill="4F81BD"/>
            <w:noWrap/>
            <w:hideMark/>
          </w:tcPr>
          <w:p w:rsidR="00D16147" w:rsidRPr="00C076B6" w:rsidRDefault="00D16147" w:rsidP="00A34868">
            <w:pPr>
              <w:spacing w:after="0" w:line="252" w:lineRule="auto"/>
              <w:rPr>
                <w:rFonts w:ascii="Calibri" w:eastAsia="Times New Roman" w:hAnsi="Calibri"/>
                <w:b/>
                <w:bCs/>
                <w:color w:val="FFFFFF"/>
                <w:sz w:val="20"/>
                <w:szCs w:val="20"/>
              </w:rPr>
            </w:pPr>
            <w:r w:rsidRPr="00C076B6">
              <w:rPr>
                <w:rFonts w:ascii="Calibri" w:eastAsia="Times New Roman" w:hAnsi="Calibri"/>
                <w:b/>
                <w:bCs/>
                <w:color w:val="FFFFFF"/>
                <w:sz w:val="20"/>
                <w:szCs w:val="20"/>
              </w:rPr>
              <w:t>ELIGIBLE REGIONS</w:t>
            </w:r>
          </w:p>
        </w:tc>
        <w:tc>
          <w:tcPr>
            <w:tcW w:w="1420" w:type="dxa"/>
            <w:tcBorders>
              <w:top w:val="single" w:sz="4" w:space="0" w:color="auto"/>
              <w:left w:val="single" w:sz="4" w:space="0" w:color="auto"/>
              <w:bottom w:val="single" w:sz="4" w:space="0" w:color="auto"/>
              <w:right w:val="single" w:sz="4" w:space="0" w:color="auto"/>
            </w:tcBorders>
            <w:shd w:val="clear" w:color="4F81BD" w:fill="4F81BD"/>
            <w:hideMark/>
          </w:tcPr>
          <w:p w:rsidR="00D16147" w:rsidRPr="00E25421" w:rsidRDefault="00D16147" w:rsidP="00A34868">
            <w:pPr>
              <w:spacing w:after="0" w:line="252" w:lineRule="auto"/>
              <w:jc w:val="center"/>
              <w:rPr>
                <w:rFonts w:ascii="Calibri" w:eastAsia="Times New Roman" w:hAnsi="Calibri"/>
                <w:b/>
                <w:bCs/>
                <w:color w:val="FFFFFF"/>
                <w:sz w:val="20"/>
                <w:szCs w:val="20"/>
                <w:lang w:val="en-GB"/>
              </w:rPr>
            </w:pPr>
            <w:r w:rsidRPr="00E25421">
              <w:rPr>
                <w:rFonts w:ascii="Calibri" w:eastAsia="Times New Roman" w:hAnsi="Calibri"/>
                <w:b/>
                <w:bCs/>
                <w:color w:val="FFFFFF"/>
                <w:sz w:val="20"/>
                <w:szCs w:val="20"/>
                <w:lang w:val="en-GB"/>
              </w:rPr>
              <w:t>WAGES</w:t>
            </w:r>
            <w:r w:rsidRPr="00E25421">
              <w:rPr>
                <w:rFonts w:ascii="Calibri" w:eastAsia="Times New Roman" w:hAnsi="Calibri"/>
                <w:b/>
                <w:bCs/>
                <w:color w:val="FFFFFF"/>
                <w:sz w:val="20"/>
                <w:szCs w:val="20"/>
                <w:lang w:val="en-GB"/>
              </w:rPr>
              <w:br/>
            </w:r>
            <w:r w:rsidRPr="00E25421">
              <w:rPr>
                <w:rFonts w:ascii="Calibri" w:eastAsia="Times New Roman" w:hAnsi="Calibri"/>
                <w:color w:val="FFFFFF"/>
                <w:sz w:val="20"/>
                <w:szCs w:val="20"/>
                <w:lang w:val="en-GB"/>
              </w:rPr>
              <w:t>(€, monthly)</w:t>
            </w:r>
          </w:p>
        </w:tc>
        <w:tc>
          <w:tcPr>
            <w:tcW w:w="1820" w:type="dxa"/>
            <w:tcBorders>
              <w:top w:val="single" w:sz="4" w:space="0" w:color="auto"/>
              <w:left w:val="single" w:sz="4" w:space="0" w:color="auto"/>
              <w:bottom w:val="single" w:sz="4" w:space="0" w:color="auto"/>
              <w:right w:val="single" w:sz="4" w:space="0" w:color="auto"/>
            </w:tcBorders>
            <w:shd w:val="clear" w:color="4F81BD" w:fill="4F81BD"/>
            <w:hideMark/>
          </w:tcPr>
          <w:p w:rsidR="00D16147" w:rsidRPr="00E25421" w:rsidRDefault="00D16147" w:rsidP="00A34868">
            <w:pPr>
              <w:spacing w:after="0" w:line="252" w:lineRule="auto"/>
              <w:jc w:val="center"/>
              <w:rPr>
                <w:rFonts w:ascii="Calibri" w:eastAsia="Times New Roman" w:hAnsi="Calibri"/>
                <w:b/>
                <w:bCs/>
                <w:color w:val="FFFFFF"/>
                <w:sz w:val="20"/>
                <w:szCs w:val="20"/>
                <w:lang w:val="en-GB"/>
              </w:rPr>
            </w:pPr>
            <w:r>
              <w:rPr>
                <w:rFonts w:ascii="Calibri" w:eastAsia="Times New Roman" w:hAnsi="Calibri"/>
                <w:b/>
                <w:bCs/>
                <w:color w:val="FFFFFF"/>
                <w:sz w:val="20"/>
                <w:szCs w:val="20"/>
                <w:lang w:val="en-GB"/>
              </w:rPr>
              <w:t xml:space="preserve">MALE </w:t>
            </w:r>
            <w:r w:rsidRPr="00E25421">
              <w:rPr>
                <w:rFonts w:ascii="Calibri" w:eastAsia="Times New Roman" w:hAnsi="Calibri"/>
                <w:b/>
                <w:bCs/>
                <w:color w:val="FFFFFF"/>
                <w:sz w:val="20"/>
                <w:szCs w:val="20"/>
                <w:lang w:val="en-GB"/>
              </w:rPr>
              <w:t xml:space="preserve">UNEMPLOYMENT RATE </w:t>
            </w:r>
            <w:r w:rsidRPr="00E25421">
              <w:rPr>
                <w:rFonts w:ascii="Calibri" w:eastAsia="Times New Roman" w:hAnsi="Calibri"/>
                <w:color w:val="FFFFFF"/>
                <w:sz w:val="20"/>
                <w:szCs w:val="20"/>
                <w:lang w:val="en-GB"/>
              </w:rPr>
              <w:t>(%)</w:t>
            </w:r>
          </w:p>
        </w:tc>
        <w:tc>
          <w:tcPr>
            <w:tcW w:w="1820" w:type="dxa"/>
            <w:tcBorders>
              <w:top w:val="single" w:sz="4" w:space="0" w:color="auto"/>
              <w:left w:val="single" w:sz="4" w:space="0" w:color="auto"/>
              <w:bottom w:val="single" w:sz="4" w:space="0" w:color="auto"/>
              <w:right w:val="single" w:sz="4" w:space="0" w:color="auto"/>
            </w:tcBorders>
            <w:shd w:val="clear" w:color="4F81BD" w:fill="4F81BD"/>
            <w:hideMark/>
          </w:tcPr>
          <w:p w:rsidR="00D16147" w:rsidRPr="00E25421" w:rsidRDefault="00D16147" w:rsidP="00A34868">
            <w:pPr>
              <w:spacing w:after="0" w:line="252" w:lineRule="auto"/>
              <w:jc w:val="center"/>
              <w:rPr>
                <w:rFonts w:ascii="Calibri" w:eastAsia="Times New Roman" w:hAnsi="Calibri"/>
                <w:b/>
                <w:bCs/>
                <w:color w:val="FFFFFF"/>
                <w:sz w:val="20"/>
                <w:szCs w:val="20"/>
                <w:lang w:val="en-GB"/>
              </w:rPr>
            </w:pPr>
            <w:r>
              <w:rPr>
                <w:rFonts w:ascii="Calibri" w:eastAsia="Times New Roman" w:hAnsi="Calibri"/>
                <w:b/>
                <w:bCs/>
                <w:color w:val="FFFFFF"/>
                <w:sz w:val="20"/>
                <w:szCs w:val="20"/>
                <w:lang w:val="en-GB"/>
              </w:rPr>
              <w:t>FEMALE</w:t>
            </w:r>
            <w:r w:rsidRPr="00E25421">
              <w:rPr>
                <w:rFonts w:ascii="Calibri" w:eastAsia="Times New Roman" w:hAnsi="Calibri"/>
                <w:b/>
                <w:bCs/>
                <w:color w:val="FFFFFF"/>
                <w:sz w:val="20"/>
                <w:szCs w:val="20"/>
                <w:lang w:val="en-GB"/>
              </w:rPr>
              <w:t xml:space="preserve"> UNEMPLOYMENT RATE (%)</w:t>
            </w:r>
          </w:p>
        </w:tc>
        <w:tc>
          <w:tcPr>
            <w:tcW w:w="1620" w:type="dxa"/>
            <w:tcBorders>
              <w:top w:val="single" w:sz="4" w:space="0" w:color="auto"/>
              <w:left w:val="single" w:sz="4" w:space="0" w:color="auto"/>
              <w:bottom w:val="single" w:sz="4" w:space="0" w:color="auto"/>
              <w:right w:val="single" w:sz="4" w:space="0" w:color="auto"/>
            </w:tcBorders>
            <w:shd w:val="clear" w:color="4F81BD" w:fill="4F81BD"/>
            <w:hideMark/>
          </w:tcPr>
          <w:p w:rsidR="00D16147" w:rsidRPr="00E25421" w:rsidRDefault="00D16147" w:rsidP="00A34868">
            <w:pPr>
              <w:spacing w:after="0" w:line="252" w:lineRule="auto"/>
              <w:jc w:val="center"/>
              <w:rPr>
                <w:rFonts w:ascii="Calibri" w:eastAsia="Times New Roman" w:hAnsi="Calibri"/>
                <w:b/>
                <w:bCs/>
                <w:color w:val="FFFFFF"/>
                <w:sz w:val="20"/>
                <w:szCs w:val="20"/>
                <w:lang w:val="en-GB"/>
              </w:rPr>
            </w:pPr>
            <w:r w:rsidRPr="00E25421">
              <w:rPr>
                <w:rFonts w:ascii="Calibri" w:eastAsia="Times New Roman" w:hAnsi="Calibri"/>
                <w:b/>
                <w:bCs/>
                <w:color w:val="FFFFFF"/>
                <w:sz w:val="20"/>
                <w:szCs w:val="20"/>
                <w:lang w:val="en-GB"/>
              </w:rPr>
              <w:t>YOUTH UNEMPLOYMENT RATE (%)</w:t>
            </w:r>
          </w:p>
        </w:tc>
      </w:tr>
      <w:tr w:rsidR="00D16147" w:rsidRPr="001368E0" w:rsidTr="008242B5">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rsidR="00D16147" w:rsidRPr="00E25421" w:rsidRDefault="00D16147" w:rsidP="008242B5">
            <w:pPr>
              <w:spacing w:before="120" w:after="0" w:line="252" w:lineRule="auto"/>
              <w:rPr>
                <w:rFonts w:ascii="Calibri" w:eastAsia="Times New Roman" w:hAnsi="Calibri"/>
                <w:b/>
                <w:bCs/>
                <w:color w:val="000000"/>
                <w:sz w:val="20"/>
                <w:szCs w:val="20"/>
                <w:lang w:val="en-GB"/>
              </w:rPr>
            </w:pPr>
            <w:r w:rsidRPr="00E25421">
              <w:rPr>
                <w:rFonts w:ascii="Calibri" w:eastAsia="Times New Roman" w:hAnsi="Calibri"/>
                <w:b/>
                <w:bCs/>
                <w:color w:val="000000"/>
                <w:sz w:val="20"/>
                <w:szCs w:val="20"/>
                <w:lang w:val="en-GB"/>
              </w:rPr>
              <w:t xml:space="preserve">ARMENIA </w:t>
            </w:r>
          </w:p>
        </w:tc>
        <w:tc>
          <w:tcPr>
            <w:tcW w:w="2520" w:type="dxa"/>
            <w:tcBorders>
              <w:top w:val="single" w:sz="4" w:space="0" w:color="auto"/>
              <w:left w:val="single" w:sz="4" w:space="0" w:color="auto"/>
              <w:bottom w:val="single" w:sz="4" w:space="0" w:color="auto"/>
              <w:right w:val="nil"/>
            </w:tcBorders>
            <w:shd w:val="clear" w:color="DCE6F1" w:fill="DCE6F1"/>
            <w:noWrap/>
            <w:vAlign w:val="bottom"/>
            <w:hideMark/>
          </w:tcPr>
          <w:p w:rsidR="00D16147" w:rsidRPr="00E25421" w:rsidRDefault="00D16147" w:rsidP="008242B5">
            <w:pPr>
              <w:spacing w:before="120" w:after="0" w:line="252" w:lineRule="auto"/>
              <w:rPr>
                <w:rFonts w:ascii="Calibri" w:eastAsia="Times New Roman" w:hAnsi="Calibri"/>
                <w:color w:val="000000"/>
                <w:sz w:val="20"/>
                <w:szCs w:val="20"/>
                <w:lang w:val="en-GB"/>
              </w:rPr>
            </w:pPr>
            <w:r w:rsidRPr="00E25421">
              <w:rPr>
                <w:rFonts w:ascii="Calibri" w:eastAsia="Times New Roman" w:hAnsi="Calibri"/>
                <w:color w:val="000000"/>
                <w:sz w:val="20"/>
                <w:szCs w:val="20"/>
                <w:lang w:val="en-GB"/>
              </w:rPr>
              <w:t>(whole country)</w:t>
            </w:r>
          </w:p>
        </w:tc>
        <w:tc>
          <w:tcPr>
            <w:tcW w:w="1420" w:type="dxa"/>
            <w:tcBorders>
              <w:top w:val="single" w:sz="4" w:space="0" w:color="auto"/>
              <w:left w:val="single" w:sz="4" w:space="0" w:color="auto"/>
              <w:bottom w:val="single" w:sz="4" w:space="0" w:color="auto"/>
              <w:right w:val="nil"/>
            </w:tcBorders>
            <w:shd w:val="clear" w:color="DCE6F1" w:fill="DCE6F1"/>
            <w:noWrap/>
            <w:vAlign w:val="bottom"/>
            <w:hideMark/>
          </w:tcPr>
          <w:p w:rsidR="00D16147" w:rsidRPr="00E25421" w:rsidRDefault="00D16147" w:rsidP="008242B5">
            <w:pPr>
              <w:spacing w:before="120" w:after="0" w:line="252" w:lineRule="auto"/>
              <w:jc w:val="right"/>
              <w:rPr>
                <w:rFonts w:ascii="Calibri" w:eastAsia="Times New Roman" w:hAnsi="Calibri"/>
                <w:color w:val="000000"/>
                <w:sz w:val="20"/>
                <w:szCs w:val="20"/>
                <w:lang w:val="en-GB"/>
              </w:rPr>
            </w:pPr>
            <w:r w:rsidRPr="00E25421">
              <w:rPr>
                <w:rFonts w:ascii="Calibri" w:eastAsia="Times New Roman" w:hAnsi="Calibri"/>
                <w:color w:val="000000"/>
                <w:sz w:val="20"/>
                <w:szCs w:val="20"/>
                <w:lang w:val="en-GB"/>
              </w:rPr>
              <w:t>n.a.</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16147" w:rsidRPr="00E25421" w:rsidRDefault="00D16147" w:rsidP="008242B5">
            <w:pPr>
              <w:spacing w:before="120" w:after="0" w:line="252" w:lineRule="auto"/>
              <w:jc w:val="right"/>
              <w:rPr>
                <w:rFonts w:ascii="Calibri" w:eastAsia="Times New Roman" w:hAnsi="Calibri"/>
                <w:i/>
                <w:iCs/>
                <w:color w:val="000000"/>
                <w:sz w:val="20"/>
                <w:szCs w:val="20"/>
                <w:lang w:val="en-GB"/>
              </w:rPr>
            </w:pPr>
            <w:r w:rsidRPr="00E25421">
              <w:rPr>
                <w:rFonts w:ascii="Calibri" w:eastAsia="Times New Roman" w:hAnsi="Calibri"/>
                <w:i/>
                <w:iCs/>
                <w:color w:val="000000"/>
                <w:sz w:val="20"/>
                <w:szCs w:val="20"/>
                <w:lang w:val="en-GB"/>
              </w:rPr>
              <w:t>22.0%</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i/>
                <w:iCs/>
                <w:color w:val="000000"/>
                <w:sz w:val="20"/>
                <w:szCs w:val="20"/>
              </w:rPr>
            </w:pPr>
            <w:r>
              <w:rPr>
                <w:rFonts w:ascii="Calibri" w:eastAsia="Times New Roman" w:hAnsi="Calibri"/>
                <w:i/>
                <w:iCs/>
                <w:color w:val="000000"/>
                <w:sz w:val="20"/>
                <w:szCs w:val="20"/>
              </w:rPr>
              <w:t>35.</w:t>
            </w:r>
            <w:r w:rsidRPr="00C076B6">
              <w:rPr>
                <w:rFonts w:ascii="Calibri" w:eastAsia="Times New Roman" w:hAnsi="Calibri"/>
                <w:i/>
                <w:iCs/>
                <w:color w:val="000000"/>
                <w:sz w:val="20"/>
                <w:szCs w:val="20"/>
              </w:rPr>
              <w:t>0%</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i/>
                <w:iCs/>
                <w:color w:val="000000"/>
                <w:sz w:val="20"/>
                <w:szCs w:val="20"/>
              </w:rPr>
            </w:pPr>
            <w:r>
              <w:rPr>
                <w:rFonts w:ascii="Calibri" w:eastAsia="Times New Roman" w:hAnsi="Calibri"/>
                <w:i/>
                <w:iCs/>
                <w:color w:val="000000"/>
                <w:sz w:val="20"/>
                <w:szCs w:val="20"/>
              </w:rPr>
              <w:t>58.</w:t>
            </w:r>
            <w:r w:rsidRPr="00C076B6">
              <w:rPr>
                <w:rFonts w:ascii="Calibri" w:eastAsia="Times New Roman" w:hAnsi="Calibri"/>
                <w:i/>
                <w:iCs/>
                <w:color w:val="000000"/>
                <w:sz w:val="20"/>
                <w:szCs w:val="20"/>
              </w:rPr>
              <w:t>0%</w:t>
            </w:r>
          </w:p>
        </w:tc>
      </w:tr>
      <w:tr w:rsidR="00D16147" w:rsidRPr="001368E0" w:rsidTr="008242B5">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r w:rsidRPr="00C076B6">
              <w:rPr>
                <w:rFonts w:ascii="Calibri" w:eastAsia="Times New Roman" w:hAnsi="Calibri"/>
                <w:b/>
                <w:bCs/>
                <w:color w:val="000000"/>
                <w:sz w:val="20"/>
                <w:szCs w:val="20"/>
              </w:rPr>
              <w:t>AZERBAIJAN</w:t>
            </w:r>
          </w:p>
        </w:tc>
        <w:tc>
          <w:tcPr>
            <w:tcW w:w="2520" w:type="dxa"/>
            <w:tcBorders>
              <w:top w:val="single" w:sz="4" w:space="0" w:color="95B3D7"/>
              <w:left w:val="single" w:sz="4" w:space="0" w:color="auto"/>
              <w:bottom w:val="single" w:sz="4" w:space="0" w:color="auto"/>
              <w:right w:val="nil"/>
            </w:tcBorders>
            <w:shd w:val="clear" w:color="auto" w:fill="auto"/>
            <w:noWrap/>
            <w:vAlign w:val="bottom"/>
            <w:hideMark/>
          </w:tcPr>
          <w:p w:rsidR="00D16147" w:rsidRPr="00C076B6" w:rsidRDefault="00D16147" w:rsidP="008242B5">
            <w:pPr>
              <w:spacing w:before="120" w:after="0" w:line="252" w:lineRule="auto"/>
              <w:rPr>
                <w:rFonts w:ascii="Calibri" w:eastAsia="Times New Roman" w:hAnsi="Calibri"/>
                <w:color w:val="000000"/>
                <w:sz w:val="20"/>
                <w:szCs w:val="20"/>
              </w:rPr>
            </w:pPr>
            <w:r w:rsidRPr="00C076B6">
              <w:rPr>
                <w:rFonts w:ascii="Calibri" w:eastAsia="Times New Roman" w:hAnsi="Calibri"/>
                <w:color w:val="000000"/>
                <w:sz w:val="20"/>
                <w:szCs w:val="20"/>
              </w:rPr>
              <w:t>(whole country)</w:t>
            </w:r>
          </w:p>
        </w:tc>
        <w:tc>
          <w:tcPr>
            <w:tcW w:w="1420" w:type="dxa"/>
            <w:tcBorders>
              <w:top w:val="single" w:sz="4" w:space="0" w:color="95B3D7"/>
              <w:left w:val="single" w:sz="4" w:space="0" w:color="auto"/>
              <w:bottom w:val="single" w:sz="4" w:space="0" w:color="auto"/>
              <w:right w:val="nil"/>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380</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4.</w:t>
            </w:r>
            <w:r w:rsidRPr="00C076B6">
              <w:rPr>
                <w:rFonts w:ascii="Calibri" w:eastAsia="Times New Roman" w:hAnsi="Calibri"/>
                <w:color w:val="000000"/>
                <w:sz w:val="20"/>
                <w:szCs w:val="20"/>
              </w:rPr>
              <w:t>3%</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6.</w:t>
            </w:r>
            <w:r w:rsidRPr="00C076B6">
              <w:rPr>
                <w:rFonts w:ascii="Calibri" w:eastAsia="Times New Roman" w:hAnsi="Calibri"/>
                <w:color w:val="000000"/>
                <w:sz w:val="20"/>
                <w:szCs w:val="20"/>
              </w:rPr>
              <w:t>1%</w:t>
            </w:r>
          </w:p>
        </w:tc>
        <w:tc>
          <w:tcPr>
            <w:tcW w:w="16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14.</w:t>
            </w:r>
            <w:r w:rsidRPr="00C076B6">
              <w:rPr>
                <w:rFonts w:ascii="Calibri" w:eastAsia="Times New Roman" w:hAnsi="Calibri"/>
                <w:color w:val="000000"/>
                <w:sz w:val="20"/>
                <w:szCs w:val="20"/>
              </w:rPr>
              <w:t>2%</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r w:rsidRPr="00C076B6">
              <w:rPr>
                <w:rFonts w:ascii="Calibri" w:eastAsia="Times New Roman" w:hAnsi="Calibri"/>
                <w:b/>
                <w:bCs/>
                <w:color w:val="000000"/>
                <w:sz w:val="20"/>
                <w:szCs w:val="20"/>
              </w:rPr>
              <w:t>BULGARIA</w:t>
            </w: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Severoiztochen</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678</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19.</w:t>
            </w:r>
            <w:r w:rsidRPr="00C076B6">
              <w:rPr>
                <w:rFonts w:ascii="Calibri" w:eastAsia="Times New Roman" w:hAnsi="Calibri"/>
                <w:color w:val="000000"/>
                <w:sz w:val="20"/>
                <w:szCs w:val="20"/>
              </w:rPr>
              <w:t>1%</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17.</w:t>
            </w:r>
            <w:r w:rsidRPr="00C076B6">
              <w:rPr>
                <w:rFonts w:ascii="Calibri" w:eastAsia="Times New Roman" w:hAnsi="Calibri"/>
                <w:color w:val="000000"/>
                <w:sz w:val="20"/>
                <w:szCs w:val="20"/>
              </w:rPr>
              <w:t>2%</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36.</w:t>
            </w:r>
            <w:r w:rsidRPr="00C076B6">
              <w:rPr>
                <w:rFonts w:ascii="Calibri" w:eastAsia="Times New Roman" w:hAnsi="Calibri"/>
                <w:color w:val="000000"/>
                <w:sz w:val="20"/>
                <w:szCs w:val="20"/>
              </w:rPr>
              <w:t>1%</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auto"/>
              <w:right w:val="nil"/>
            </w:tcBorders>
            <w:shd w:val="clear" w:color="auto" w:fill="auto"/>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Yugoiztochen</w:t>
            </w:r>
          </w:p>
        </w:tc>
        <w:tc>
          <w:tcPr>
            <w:tcW w:w="1420" w:type="dxa"/>
            <w:tcBorders>
              <w:top w:val="single" w:sz="4" w:space="0" w:color="95B3D7"/>
              <w:left w:val="single" w:sz="4" w:space="0" w:color="auto"/>
              <w:bottom w:val="single" w:sz="4" w:space="0" w:color="auto"/>
              <w:right w:val="nil"/>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688</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12.</w:t>
            </w:r>
            <w:r w:rsidRPr="00C076B6">
              <w:rPr>
                <w:rFonts w:ascii="Calibri" w:eastAsia="Times New Roman" w:hAnsi="Calibri"/>
                <w:color w:val="000000"/>
                <w:sz w:val="20"/>
                <w:szCs w:val="20"/>
              </w:rPr>
              <w:t>6%</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11.</w:t>
            </w:r>
            <w:r w:rsidRPr="00C076B6">
              <w:rPr>
                <w:rFonts w:ascii="Calibri" w:eastAsia="Times New Roman" w:hAnsi="Calibri"/>
                <w:color w:val="000000"/>
                <w:sz w:val="20"/>
                <w:szCs w:val="20"/>
              </w:rPr>
              <w:t>2%</w:t>
            </w:r>
          </w:p>
        </w:tc>
        <w:tc>
          <w:tcPr>
            <w:tcW w:w="16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33.</w:t>
            </w:r>
            <w:r w:rsidRPr="00C076B6">
              <w:rPr>
                <w:rFonts w:ascii="Calibri" w:eastAsia="Times New Roman" w:hAnsi="Calibri"/>
                <w:color w:val="000000"/>
                <w:sz w:val="20"/>
                <w:szCs w:val="20"/>
              </w:rPr>
              <w:t>4%</w:t>
            </w:r>
          </w:p>
        </w:tc>
      </w:tr>
      <w:tr w:rsidR="00D16147" w:rsidRPr="001368E0" w:rsidTr="008242B5">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r w:rsidRPr="00C076B6">
              <w:rPr>
                <w:rFonts w:ascii="Calibri" w:eastAsia="Times New Roman" w:hAnsi="Calibri"/>
                <w:b/>
                <w:bCs/>
                <w:color w:val="000000"/>
                <w:sz w:val="20"/>
                <w:szCs w:val="20"/>
              </w:rPr>
              <w:t>GEORGIA</w:t>
            </w:r>
          </w:p>
        </w:tc>
        <w:tc>
          <w:tcPr>
            <w:tcW w:w="2520" w:type="dxa"/>
            <w:tcBorders>
              <w:top w:val="single" w:sz="4" w:space="0" w:color="auto"/>
              <w:left w:val="single" w:sz="4" w:space="0" w:color="auto"/>
              <w:bottom w:val="single" w:sz="4" w:space="0" w:color="auto"/>
              <w:right w:val="nil"/>
            </w:tcBorders>
            <w:shd w:val="clear" w:color="DCE6F1" w:fill="DCE6F1"/>
            <w:noWrap/>
            <w:vAlign w:val="bottom"/>
            <w:hideMark/>
          </w:tcPr>
          <w:p w:rsidR="00D16147" w:rsidRPr="00C076B6" w:rsidRDefault="00D16147" w:rsidP="008242B5">
            <w:pPr>
              <w:spacing w:before="120" w:after="0" w:line="252" w:lineRule="auto"/>
              <w:rPr>
                <w:rFonts w:ascii="Calibri" w:eastAsia="Times New Roman" w:hAnsi="Calibri"/>
                <w:color w:val="000000"/>
                <w:sz w:val="20"/>
                <w:szCs w:val="20"/>
              </w:rPr>
            </w:pPr>
            <w:r w:rsidRPr="00C076B6">
              <w:rPr>
                <w:rFonts w:ascii="Calibri" w:eastAsia="Times New Roman" w:hAnsi="Calibri"/>
                <w:color w:val="000000"/>
                <w:sz w:val="20"/>
                <w:szCs w:val="20"/>
              </w:rPr>
              <w:t>(whole country)</w:t>
            </w:r>
          </w:p>
        </w:tc>
        <w:tc>
          <w:tcPr>
            <w:tcW w:w="1420" w:type="dxa"/>
            <w:tcBorders>
              <w:top w:val="single" w:sz="4" w:space="0" w:color="auto"/>
              <w:left w:val="single" w:sz="4" w:space="0" w:color="auto"/>
              <w:bottom w:val="single" w:sz="4" w:space="0" w:color="auto"/>
              <w:right w:val="nil"/>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350</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16.</w:t>
            </w:r>
            <w:r w:rsidRPr="00C076B6">
              <w:rPr>
                <w:rFonts w:ascii="Calibri" w:eastAsia="Times New Roman" w:hAnsi="Calibri"/>
                <w:color w:val="000000"/>
                <w:sz w:val="20"/>
                <w:szCs w:val="20"/>
              </w:rPr>
              <w:t>1%</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13.</w:t>
            </w:r>
            <w:r w:rsidRPr="00C076B6">
              <w:rPr>
                <w:rFonts w:ascii="Calibri" w:eastAsia="Times New Roman" w:hAnsi="Calibri"/>
                <w:color w:val="000000"/>
                <w:sz w:val="20"/>
                <w:szCs w:val="20"/>
              </w:rPr>
              <w:t>8%</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33.</w:t>
            </w:r>
            <w:r w:rsidRPr="00C076B6">
              <w:rPr>
                <w:rFonts w:ascii="Calibri" w:eastAsia="Times New Roman" w:hAnsi="Calibri"/>
                <w:color w:val="000000"/>
                <w:sz w:val="20"/>
                <w:szCs w:val="20"/>
              </w:rPr>
              <w:t>3%</w:t>
            </w:r>
          </w:p>
        </w:tc>
      </w:tr>
      <w:tr w:rsidR="00D16147" w:rsidRPr="001368E0" w:rsidTr="008242B5">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r w:rsidRPr="00C076B6">
              <w:rPr>
                <w:rFonts w:ascii="Calibri" w:eastAsia="Times New Roman" w:hAnsi="Calibri"/>
                <w:b/>
                <w:bCs/>
                <w:color w:val="000000"/>
                <w:sz w:val="20"/>
                <w:szCs w:val="20"/>
              </w:rPr>
              <w:t>GREECE</w:t>
            </w: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Kentriki Makedonia</w:t>
            </w:r>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885</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25.</w:t>
            </w:r>
            <w:r w:rsidRPr="00C076B6">
              <w:rPr>
                <w:rFonts w:ascii="Calibri" w:eastAsia="Times New Roman" w:hAnsi="Calibri"/>
                <w:color w:val="000000"/>
                <w:sz w:val="20"/>
                <w:szCs w:val="20"/>
              </w:rPr>
              <w:t>5%</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27.</w:t>
            </w:r>
            <w:r w:rsidRPr="00C076B6">
              <w:rPr>
                <w:rFonts w:ascii="Calibri" w:eastAsia="Times New Roman" w:hAnsi="Calibri"/>
                <w:color w:val="000000"/>
                <w:sz w:val="20"/>
                <w:szCs w:val="20"/>
              </w:rPr>
              <w:t>5%</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62.</w:t>
            </w:r>
            <w:r w:rsidRPr="00C076B6">
              <w:rPr>
                <w:rFonts w:ascii="Calibri" w:eastAsia="Times New Roman" w:hAnsi="Calibri"/>
                <w:color w:val="000000"/>
                <w:sz w:val="20"/>
                <w:szCs w:val="20"/>
              </w:rPr>
              <w:t>0%</w:t>
            </w:r>
          </w:p>
        </w:tc>
      </w:tr>
      <w:tr w:rsidR="00D16147" w:rsidRPr="001368E0" w:rsidTr="008242B5">
        <w:trPr>
          <w:trHeight w:val="311"/>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 xml:space="preserve">Anatoliki Makedonia – Thraki </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854</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26.</w:t>
            </w:r>
            <w:r w:rsidRPr="00C076B6">
              <w:rPr>
                <w:rFonts w:ascii="Calibri" w:eastAsia="Times New Roman" w:hAnsi="Calibri"/>
                <w:color w:val="000000"/>
                <w:sz w:val="20"/>
                <w:szCs w:val="20"/>
              </w:rPr>
              <w:t>3%</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33.</w:t>
            </w:r>
            <w:r w:rsidRPr="00C076B6">
              <w:rPr>
                <w:rFonts w:ascii="Calibri" w:eastAsia="Times New Roman" w:hAnsi="Calibri"/>
                <w:color w:val="000000"/>
                <w:sz w:val="20"/>
                <w:szCs w:val="20"/>
              </w:rPr>
              <w:t>8%</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66.</w:t>
            </w:r>
            <w:r w:rsidRPr="00C076B6">
              <w:rPr>
                <w:rFonts w:ascii="Calibri" w:eastAsia="Times New Roman" w:hAnsi="Calibri"/>
                <w:color w:val="000000"/>
                <w:sz w:val="20"/>
                <w:szCs w:val="20"/>
              </w:rPr>
              <w:t>0%</w:t>
            </w:r>
          </w:p>
        </w:tc>
      </w:tr>
      <w:tr w:rsidR="00D16147" w:rsidRPr="001368E0" w:rsidTr="008242B5">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r w:rsidRPr="00C076B6">
              <w:rPr>
                <w:rFonts w:ascii="Calibri" w:eastAsia="Times New Roman" w:hAnsi="Calibri"/>
                <w:b/>
                <w:bCs/>
                <w:color w:val="000000"/>
                <w:sz w:val="20"/>
                <w:szCs w:val="20"/>
              </w:rPr>
              <w:t>MOLDOVA</w:t>
            </w:r>
          </w:p>
        </w:tc>
        <w:tc>
          <w:tcPr>
            <w:tcW w:w="2520" w:type="dxa"/>
            <w:tcBorders>
              <w:top w:val="single" w:sz="4" w:space="0" w:color="auto"/>
              <w:left w:val="single" w:sz="4" w:space="0" w:color="auto"/>
              <w:bottom w:val="single" w:sz="4" w:space="0" w:color="auto"/>
              <w:right w:val="nil"/>
            </w:tcBorders>
            <w:shd w:val="clear" w:color="DCE6F1" w:fill="DCE6F1"/>
            <w:noWrap/>
            <w:vAlign w:val="bottom"/>
            <w:hideMark/>
          </w:tcPr>
          <w:p w:rsidR="00D16147" w:rsidRPr="00C076B6" w:rsidRDefault="00D16147" w:rsidP="008242B5">
            <w:pPr>
              <w:spacing w:before="120" w:after="0" w:line="252" w:lineRule="auto"/>
              <w:rPr>
                <w:rFonts w:ascii="Calibri" w:eastAsia="Times New Roman" w:hAnsi="Calibri"/>
                <w:color w:val="000000"/>
                <w:sz w:val="20"/>
                <w:szCs w:val="20"/>
              </w:rPr>
            </w:pPr>
            <w:r w:rsidRPr="00C076B6">
              <w:rPr>
                <w:rFonts w:ascii="Calibri" w:eastAsia="Times New Roman" w:hAnsi="Calibri"/>
                <w:color w:val="000000"/>
                <w:sz w:val="20"/>
                <w:szCs w:val="20"/>
              </w:rPr>
              <w:t>(whole country)</w:t>
            </w:r>
          </w:p>
        </w:tc>
        <w:tc>
          <w:tcPr>
            <w:tcW w:w="1420" w:type="dxa"/>
            <w:tcBorders>
              <w:top w:val="single" w:sz="4" w:space="0" w:color="auto"/>
              <w:left w:val="single" w:sz="4" w:space="0" w:color="auto"/>
              <w:bottom w:val="single" w:sz="4" w:space="0" w:color="auto"/>
              <w:right w:val="nil"/>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223</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6.</w:t>
            </w:r>
            <w:r w:rsidRPr="00C076B6">
              <w:rPr>
                <w:rFonts w:ascii="Calibri" w:eastAsia="Times New Roman" w:hAnsi="Calibri"/>
                <w:color w:val="000000"/>
                <w:sz w:val="20"/>
                <w:szCs w:val="20"/>
              </w:rPr>
              <w:t>8%</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4.</w:t>
            </w:r>
            <w:r w:rsidRPr="00C076B6">
              <w:rPr>
                <w:rFonts w:ascii="Calibri" w:eastAsia="Times New Roman" w:hAnsi="Calibri"/>
                <w:color w:val="000000"/>
                <w:sz w:val="20"/>
                <w:szCs w:val="20"/>
              </w:rPr>
              <w:t>3%</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13.</w:t>
            </w:r>
            <w:r w:rsidRPr="00C076B6">
              <w:rPr>
                <w:rFonts w:ascii="Calibri" w:eastAsia="Times New Roman" w:hAnsi="Calibri"/>
                <w:color w:val="000000"/>
                <w:sz w:val="20"/>
                <w:szCs w:val="20"/>
              </w:rPr>
              <w:t>1%</w:t>
            </w:r>
          </w:p>
        </w:tc>
      </w:tr>
      <w:tr w:rsidR="00D16147" w:rsidRPr="001368E0" w:rsidTr="008242B5">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r w:rsidRPr="00C076B6">
              <w:rPr>
                <w:rFonts w:ascii="Calibri" w:eastAsia="Times New Roman" w:hAnsi="Calibri"/>
                <w:b/>
                <w:bCs/>
                <w:color w:val="000000"/>
                <w:sz w:val="20"/>
                <w:szCs w:val="20"/>
              </w:rPr>
              <w:t xml:space="preserve">ROMANIA         </w:t>
            </w:r>
          </w:p>
        </w:tc>
        <w:tc>
          <w:tcPr>
            <w:tcW w:w="2520" w:type="dxa"/>
            <w:tcBorders>
              <w:top w:val="nil"/>
              <w:left w:val="single" w:sz="4" w:space="0" w:color="auto"/>
              <w:bottom w:val="single" w:sz="4" w:space="0" w:color="auto"/>
              <w:right w:val="nil"/>
            </w:tcBorders>
            <w:shd w:val="clear" w:color="auto" w:fill="auto"/>
            <w:noWrap/>
            <w:vAlign w:val="bottom"/>
            <w:hideMark/>
          </w:tcPr>
          <w:p w:rsidR="00D16147" w:rsidRPr="00C076B6" w:rsidRDefault="00D16147" w:rsidP="008242B5">
            <w:pPr>
              <w:spacing w:before="120" w:after="0" w:line="252" w:lineRule="auto"/>
              <w:rPr>
                <w:rFonts w:ascii="Calibri" w:eastAsia="Times New Roman" w:hAnsi="Calibri"/>
                <w:color w:val="000000"/>
                <w:sz w:val="20"/>
                <w:szCs w:val="20"/>
              </w:rPr>
            </w:pPr>
            <w:r w:rsidRPr="00C076B6">
              <w:rPr>
                <w:rFonts w:ascii="Calibri" w:eastAsia="Times New Roman" w:hAnsi="Calibri"/>
                <w:color w:val="000000"/>
                <w:sz w:val="20"/>
                <w:szCs w:val="20"/>
              </w:rPr>
              <w:t>South-East</w:t>
            </w:r>
          </w:p>
        </w:tc>
        <w:tc>
          <w:tcPr>
            <w:tcW w:w="1420" w:type="dxa"/>
            <w:tcBorders>
              <w:top w:val="nil"/>
              <w:left w:val="single" w:sz="4" w:space="0" w:color="auto"/>
              <w:bottom w:val="single" w:sz="4" w:space="0" w:color="auto"/>
              <w:right w:val="nil"/>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413</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7.</w:t>
            </w:r>
            <w:r w:rsidRPr="00C076B6">
              <w:rPr>
                <w:rFonts w:ascii="Calibri" w:eastAsia="Times New Roman" w:hAnsi="Calibri"/>
                <w:color w:val="000000"/>
                <w:sz w:val="20"/>
                <w:szCs w:val="20"/>
              </w:rPr>
              <w:t>1%</w:t>
            </w:r>
          </w:p>
        </w:tc>
        <w:tc>
          <w:tcPr>
            <w:tcW w:w="1820" w:type="dxa"/>
            <w:tcBorders>
              <w:top w:val="nil"/>
              <w:left w:val="nil"/>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6.</w:t>
            </w:r>
            <w:r w:rsidRPr="00C076B6">
              <w:rPr>
                <w:rFonts w:ascii="Calibri" w:eastAsia="Times New Roman" w:hAnsi="Calibri"/>
                <w:color w:val="000000"/>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31.</w:t>
            </w:r>
            <w:r w:rsidRPr="00C076B6">
              <w:rPr>
                <w:rFonts w:ascii="Calibri" w:eastAsia="Times New Roman" w:hAnsi="Calibri"/>
                <w:color w:val="000000"/>
                <w:sz w:val="20"/>
                <w:szCs w:val="20"/>
              </w:rPr>
              <w:t>3%</w:t>
            </w:r>
          </w:p>
        </w:tc>
      </w:tr>
      <w:tr w:rsidR="00D16147" w:rsidRPr="001368E0" w:rsidTr="008242B5">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r w:rsidRPr="00C076B6">
              <w:rPr>
                <w:rFonts w:ascii="Calibri" w:eastAsia="Times New Roman" w:hAnsi="Calibri"/>
                <w:b/>
                <w:bCs/>
                <w:color w:val="000000"/>
                <w:sz w:val="20"/>
                <w:szCs w:val="20"/>
              </w:rPr>
              <w:t>RUSSIA</w:t>
            </w: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Rostov Oblast</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n.a.</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i/>
                <w:iCs/>
                <w:color w:val="000000"/>
                <w:sz w:val="20"/>
                <w:szCs w:val="20"/>
              </w:rPr>
            </w:pPr>
            <w:r>
              <w:rPr>
                <w:rFonts w:ascii="Calibri" w:eastAsia="Times New Roman" w:hAnsi="Calibri"/>
                <w:i/>
                <w:iCs/>
                <w:color w:val="000000"/>
                <w:sz w:val="20"/>
                <w:szCs w:val="20"/>
              </w:rPr>
              <w:t>7.</w:t>
            </w:r>
            <w:r w:rsidRPr="00C076B6">
              <w:rPr>
                <w:rFonts w:ascii="Calibri" w:eastAsia="Times New Roman" w:hAnsi="Calibri"/>
                <w:i/>
                <w:iCs/>
                <w:color w:val="000000"/>
                <w:sz w:val="20"/>
                <w:szCs w:val="20"/>
              </w:rPr>
              <w:t>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i/>
                <w:iCs/>
                <w:color w:val="000000"/>
                <w:sz w:val="20"/>
                <w:szCs w:val="20"/>
              </w:rPr>
            </w:pPr>
            <w:r>
              <w:rPr>
                <w:rFonts w:ascii="Calibri" w:eastAsia="Times New Roman" w:hAnsi="Calibri"/>
                <w:i/>
                <w:iCs/>
                <w:color w:val="000000"/>
                <w:sz w:val="20"/>
                <w:szCs w:val="20"/>
              </w:rPr>
              <w:t>6.</w:t>
            </w:r>
            <w:r w:rsidRPr="00C076B6">
              <w:rPr>
                <w:rFonts w:ascii="Calibri" w:eastAsia="Times New Roman" w:hAnsi="Calibri"/>
                <w:i/>
                <w:iCs/>
                <w:color w:val="000000"/>
                <w:sz w:val="20"/>
                <w:szCs w:val="20"/>
              </w:rPr>
              <w:t>0%</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i/>
                <w:iCs/>
                <w:color w:val="000000"/>
                <w:sz w:val="20"/>
                <w:szCs w:val="20"/>
              </w:rPr>
            </w:pPr>
            <w:r>
              <w:rPr>
                <w:rFonts w:ascii="Calibri" w:eastAsia="Times New Roman" w:hAnsi="Calibri"/>
                <w:i/>
                <w:iCs/>
                <w:color w:val="000000"/>
                <w:sz w:val="20"/>
                <w:szCs w:val="20"/>
              </w:rPr>
              <w:t>16.</w:t>
            </w:r>
            <w:r w:rsidRPr="00C076B6">
              <w:rPr>
                <w:rFonts w:ascii="Calibri" w:eastAsia="Times New Roman" w:hAnsi="Calibri"/>
                <w:i/>
                <w:iCs/>
                <w:color w:val="000000"/>
                <w:sz w:val="20"/>
                <w:szCs w:val="20"/>
              </w:rPr>
              <w:t>0%</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Krasnodar Krai</w:t>
            </w:r>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n.a.</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i/>
                <w:iCs/>
                <w:color w:val="000000"/>
                <w:sz w:val="20"/>
                <w:szCs w:val="20"/>
              </w:rPr>
            </w:pPr>
            <w:r w:rsidRPr="00C076B6">
              <w:rPr>
                <w:rFonts w:ascii="Calibri" w:eastAsia="Times New Roman" w:hAnsi="Calibri"/>
                <w:i/>
                <w:iCs/>
                <w:color w:val="000000"/>
                <w:sz w:val="20"/>
                <w:szCs w:val="20"/>
              </w:rPr>
              <w:t>7</w:t>
            </w:r>
            <w:r>
              <w:rPr>
                <w:rFonts w:ascii="Calibri" w:eastAsia="Times New Roman" w:hAnsi="Calibri"/>
                <w:i/>
                <w:iCs/>
                <w:color w:val="000000"/>
                <w:sz w:val="20"/>
                <w:szCs w:val="20"/>
              </w:rPr>
              <w:t>.</w:t>
            </w:r>
            <w:r w:rsidRPr="00C076B6">
              <w:rPr>
                <w:rFonts w:ascii="Calibri" w:eastAsia="Times New Roman" w:hAnsi="Calibri"/>
                <w:i/>
                <w:iCs/>
                <w:color w:val="000000"/>
                <w:sz w:val="20"/>
                <w:szCs w:val="20"/>
              </w:rPr>
              <w:t>0%</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i/>
                <w:iCs/>
                <w:color w:val="000000"/>
                <w:sz w:val="20"/>
                <w:szCs w:val="20"/>
              </w:rPr>
            </w:pPr>
            <w:r>
              <w:rPr>
                <w:rFonts w:ascii="Calibri" w:eastAsia="Times New Roman" w:hAnsi="Calibri"/>
                <w:i/>
                <w:iCs/>
                <w:color w:val="000000"/>
                <w:sz w:val="20"/>
                <w:szCs w:val="20"/>
              </w:rPr>
              <w:t>6.</w:t>
            </w:r>
            <w:r w:rsidRPr="00C076B6">
              <w:rPr>
                <w:rFonts w:ascii="Calibri" w:eastAsia="Times New Roman" w:hAnsi="Calibri"/>
                <w:i/>
                <w:iCs/>
                <w:color w:val="000000"/>
                <w:sz w:val="20"/>
                <w:szCs w:val="20"/>
              </w:rPr>
              <w:t>0%</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i/>
                <w:iCs/>
                <w:color w:val="000000"/>
                <w:sz w:val="20"/>
                <w:szCs w:val="20"/>
              </w:rPr>
            </w:pPr>
            <w:r>
              <w:rPr>
                <w:rFonts w:ascii="Calibri" w:eastAsia="Times New Roman" w:hAnsi="Calibri"/>
                <w:i/>
                <w:iCs/>
                <w:color w:val="000000"/>
                <w:sz w:val="20"/>
                <w:szCs w:val="20"/>
              </w:rPr>
              <w:t>16.</w:t>
            </w:r>
            <w:r w:rsidRPr="00C076B6">
              <w:rPr>
                <w:rFonts w:ascii="Calibri" w:eastAsia="Times New Roman" w:hAnsi="Calibri"/>
                <w:i/>
                <w:iCs/>
                <w:color w:val="000000"/>
                <w:sz w:val="20"/>
                <w:szCs w:val="20"/>
              </w:rPr>
              <w:t>0%</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auto"/>
              <w:right w:val="nil"/>
            </w:tcBorders>
            <w:shd w:val="clear" w:color="DCE6F1" w:fill="DCE6F1"/>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Adygea Republic</w:t>
            </w:r>
          </w:p>
        </w:tc>
        <w:tc>
          <w:tcPr>
            <w:tcW w:w="1420" w:type="dxa"/>
            <w:tcBorders>
              <w:top w:val="single" w:sz="4" w:space="0" w:color="95B3D7"/>
              <w:left w:val="single" w:sz="4" w:space="0" w:color="auto"/>
              <w:bottom w:val="single" w:sz="4" w:space="0" w:color="auto"/>
              <w:right w:val="nil"/>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n.a.</w:t>
            </w:r>
          </w:p>
        </w:tc>
        <w:tc>
          <w:tcPr>
            <w:tcW w:w="1820"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i/>
                <w:iCs/>
                <w:color w:val="000000"/>
                <w:sz w:val="20"/>
                <w:szCs w:val="20"/>
              </w:rPr>
            </w:pPr>
            <w:r>
              <w:rPr>
                <w:rFonts w:ascii="Calibri" w:eastAsia="Times New Roman" w:hAnsi="Calibri"/>
                <w:i/>
                <w:iCs/>
                <w:color w:val="000000"/>
                <w:sz w:val="20"/>
                <w:szCs w:val="20"/>
              </w:rPr>
              <w:t>7.</w:t>
            </w:r>
            <w:r w:rsidRPr="00C076B6">
              <w:rPr>
                <w:rFonts w:ascii="Calibri" w:eastAsia="Times New Roman" w:hAnsi="Calibri"/>
                <w:i/>
                <w:iCs/>
                <w:color w:val="000000"/>
                <w:sz w:val="20"/>
                <w:szCs w:val="20"/>
              </w:rPr>
              <w:t>0%</w:t>
            </w:r>
          </w:p>
        </w:tc>
        <w:tc>
          <w:tcPr>
            <w:tcW w:w="1820"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i/>
                <w:iCs/>
                <w:color w:val="000000"/>
                <w:sz w:val="20"/>
                <w:szCs w:val="20"/>
              </w:rPr>
            </w:pPr>
            <w:r>
              <w:rPr>
                <w:rFonts w:ascii="Calibri" w:eastAsia="Times New Roman" w:hAnsi="Calibri"/>
                <w:i/>
                <w:iCs/>
                <w:color w:val="000000"/>
                <w:sz w:val="20"/>
                <w:szCs w:val="20"/>
              </w:rPr>
              <w:t>6.</w:t>
            </w:r>
            <w:r w:rsidRPr="00C076B6">
              <w:rPr>
                <w:rFonts w:ascii="Calibri" w:eastAsia="Times New Roman" w:hAnsi="Calibri"/>
                <w:i/>
                <w:iCs/>
                <w:color w:val="000000"/>
                <w:sz w:val="20"/>
                <w:szCs w:val="20"/>
              </w:rPr>
              <w:t>0%</w:t>
            </w:r>
          </w:p>
        </w:tc>
        <w:tc>
          <w:tcPr>
            <w:tcW w:w="1620"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i/>
                <w:iCs/>
                <w:color w:val="000000"/>
                <w:sz w:val="20"/>
                <w:szCs w:val="20"/>
              </w:rPr>
            </w:pPr>
            <w:r>
              <w:rPr>
                <w:rFonts w:ascii="Calibri" w:eastAsia="Times New Roman" w:hAnsi="Calibri"/>
                <w:i/>
                <w:iCs/>
                <w:color w:val="000000"/>
                <w:sz w:val="20"/>
                <w:szCs w:val="20"/>
              </w:rPr>
              <w:t>16.</w:t>
            </w:r>
            <w:r w:rsidRPr="00C076B6">
              <w:rPr>
                <w:rFonts w:ascii="Calibri" w:eastAsia="Times New Roman" w:hAnsi="Calibri"/>
                <w:i/>
                <w:iCs/>
                <w:color w:val="000000"/>
                <w:sz w:val="20"/>
                <w:szCs w:val="20"/>
              </w:rPr>
              <w:t>0%</w:t>
            </w:r>
          </w:p>
        </w:tc>
      </w:tr>
      <w:tr w:rsidR="00D16147" w:rsidRPr="001368E0" w:rsidTr="008242B5">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r w:rsidRPr="00C076B6">
              <w:rPr>
                <w:rFonts w:ascii="Calibri" w:eastAsia="Times New Roman" w:hAnsi="Calibri"/>
                <w:b/>
                <w:bCs/>
                <w:color w:val="000000"/>
                <w:sz w:val="20"/>
                <w:szCs w:val="20"/>
              </w:rPr>
              <w:t>TURKEY</w:t>
            </w: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327FE0" w:rsidRDefault="00112DE1" w:rsidP="008242B5">
            <w:pPr>
              <w:spacing w:before="120" w:after="0" w:line="252" w:lineRule="auto"/>
              <w:jc w:val="both"/>
              <w:rPr>
                <w:rFonts w:ascii="Calibri" w:eastAsia="Times New Roman" w:hAnsi="Calibri"/>
                <w:color w:val="000000"/>
                <w:sz w:val="20"/>
                <w:szCs w:val="20"/>
              </w:rPr>
            </w:pPr>
            <w:r w:rsidRPr="000174E4">
              <w:rPr>
                <w:rFonts w:ascii="Calibri" w:eastAsia="Times New Roman" w:hAnsi="Calibri"/>
                <w:color w:val="000000"/>
                <w:sz w:val="20"/>
                <w:szCs w:val="20"/>
              </w:rPr>
              <w:t>İstanbul</w:t>
            </w:r>
            <w:r w:rsidRPr="00327FE0">
              <w:rPr>
                <w:rFonts w:ascii="Calibri" w:eastAsia="Times New Roman" w:hAnsi="Calibri"/>
                <w:color w:val="000000"/>
                <w:sz w:val="20"/>
                <w:szCs w:val="20"/>
              </w:rPr>
              <w:t xml:space="preserve"> </w:t>
            </w:r>
            <w:r w:rsidR="00D16147" w:rsidRPr="00327FE0">
              <w:rPr>
                <w:rFonts w:ascii="Calibri" w:eastAsia="Times New Roman" w:hAnsi="Calibri"/>
                <w:color w:val="000000"/>
                <w:sz w:val="20"/>
                <w:szCs w:val="20"/>
              </w:rPr>
              <w:t>(TR10)</w:t>
            </w:r>
          </w:p>
        </w:tc>
        <w:tc>
          <w:tcPr>
            <w:tcW w:w="14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760</w:t>
            </w:r>
            <w:r>
              <w:rPr>
                <w:rStyle w:val="FootnoteReference"/>
                <w:rFonts w:ascii="Calibri" w:eastAsia="Times New Roman" w:hAnsi="Calibri"/>
                <w:color w:val="000000"/>
                <w:sz w:val="20"/>
                <w:szCs w:val="20"/>
              </w:rPr>
              <w:footnoteReference w:id="36"/>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10.</w:t>
            </w:r>
            <w:r w:rsidRPr="00C076B6">
              <w:rPr>
                <w:rFonts w:ascii="Calibri" w:eastAsia="Times New Roman" w:hAnsi="Calibri"/>
                <w:color w:val="000000"/>
                <w:sz w:val="20"/>
                <w:szCs w:val="20"/>
              </w:rPr>
              <w:t>1%</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14.</w:t>
            </w:r>
            <w:r w:rsidRPr="00C076B6">
              <w:rPr>
                <w:rFonts w:ascii="Calibri" w:eastAsia="Times New Roman" w:hAnsi="Calibri"/>
                <w:color w:val="000000"/>
                <w:sz w:val="20"/>
                <w:szCs w:val="20"/>
              </w:rPr>
              <w:t>4%</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20.</w:t>
            </w:r>
            <w:r w:rsidRPr="00C076B6">
              <w:rPr>
                <w:rFonts w:ascii="Calibri" w:eastAsia="Times New Roman" w:hAnsi="Calibri"/>
                <w:color w:val="000000"/>
                <w:sz w:val="20"/>
                <w:szCs w:val="20"/>
              </w:rPr>
              <w:t>0%</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327FE0" w:rsidRDefault="00253676" w:rsidP="008242B5">
            <w:pPr>
              <w:spacing w:before="120" w:after="0" w:line="252" w:lineRule="auto"/>
              <w:jc w:val="both"/>
              <w:rPr>
                <w:rFonts w:ascii="Calibri" w:eastAsia="Times New Roman" w:hAnsi="Calibri"/>
                <w:color w:val="000000"/>
                <w:sz w:val="20"/>
                <w:szCs w:val="20"/>
              </w:rPr>
            </w:pPr>
            <w:r w:rsidRPr="00253676">
              <w:rPr>
                <w:rFonts w:ascii="Calibri" w:eastAsia="Times New Roman" w:hAnsi="Calibri"/>
                <w:color w:val="000000"/>
                <w:sz w:val="20"/>
                <w:szCs w:val="20"/>
              </w:rPr>
              <w:t>Tekirdağ, Edirne, Kırklareli</w:t>
            </w:r>
            <w:r w:rsidR="00D16147" w:rsidRPr="00327FE0">
              <w:rPr>
                <w:rFonts w:ascii="Calibri" w:eastAsia="Times New Roman" w:hAnsi="Calibri"/>
                <w:color w:val="000000"/>
                <w:sz w:val="20"/>
                <w:szCs w:val="20"/>
              </w:rPr>
              <w:t xml:space="preserve"> (TR21)</w:t>
            </w:r>
          </w:p>
        </w:tc>
        <w:tc>
          <w:tcPr>
            <w:tcW w:w="14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5.</w:t>
            </w:r>
            <w:r w:rsidRPr="00C076B6">
              <w:rPr>
                <w:rFonts w:ascii="Calibri" w:eastAsia="Times New Roman" w:hAnsi="Calibri"/>
                <w:color w:val="000000"/>
                <w:sz w:val="20"/>
                <w:szCs w:val="20"/>
              </w:rPr>
              <w:t>5%</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11.</w:t>
            </w:r>
            <w:r w:rsidRPr="00C076B6">
              <w:rPr>
                <w:rFonts w:ascii="Calibri" w:eastAsia="Times New Roman" w:hAnsi="Calibri"/>
                <w:color w:val="000000"/>
                <w:sz w:val="20"/>
                <w:szCs w:val="20"/>
              </w:rPr>
              <w:t>7%</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17.</w:t>
            </w:r>
            <w:r w:rsidRPr="00C076B6">
              <w:rPr>
                <w:rFonts w:ascii="Calibri" w:eastAsia="Times New Roman" w:hAnsi="Calibri"/>
                <w:color w:val="000000"/>
                <w:sz w:val="20"/>
                <w:szCs w:val="20"/>
              </w:rPr>
              <w:t>2%</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253676" w:rsidP="00253676">
            <w:pPr>
              <w:spacing w:before="120" w:after="0" w:line="252" w:lineRule="auto"/>
              <w:jc w:val="both"/>
              <w:rPr>
                <w:rFonts w:ascii="Calibri" w:eastAsia="Times New Roman" w:hAnsi="Calibri"/>
                <w:color w:val="000000"/>
                <w:sz w:val="20"/>
                <w:szCs w:val="20"/>
              </w:rPr>
            </w:pPr>
            <w:r w:rsidRPr="00253676">
              <w:rPr>
                <w:rFonts w:ascii="Calibri" w:eastAsia="Times New Roman" w:hAnsi="Calibri"/>
                <w:color w:val="000000"/>
                <w:sz w:val="20"/>
                <w:szCs w:val="20"/>
              </w:rPr>
              <w:t>Kocaeli, Sakarya, Düzce, Bolu, Yalova</w:t>
            </w:r>
            <w:r w:rsidR="00D16147" w:rsidRPr="00C076B6">
              <w:rPr>
                <w:rFonts w:ascii="Calibri" w:eastAsia="Times New Roman" w:hAnsi="Calibri"/>
                <w:color w:val="000000"/>
                <w:sz w:val="20"/>
                <w:szCs w:val="20"/>
              </w:rPr>
              <w:t xml:space="preserve"> (TR42)</w:t>
            </w:r>
          </w:p>
        </w:tc>
        <w:tc>
          <w:tcPr>
            <w:tcW w:w="14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8.</w:t>
            </w:r>
            <w:r w:rsidRPr="00C076B6">
              <w:rPr>
                <w:rFonts w:ascii="Calibri" w:eastAsia="Times New Roman" w:hAnsi="Calibri"/>
                <w:color w:val="000000"/>
                <w:sz w:val="20"/>
                <w:szCs w:val="20"/>
              </w:rPr>
              <w:t>9%</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14.</w:t>
            </w:r>
            <w:r w:rsidRPr="00C076B6">
              <w:rPr>
                <w:rFonts w:ascii="Calibri" w:eastAsia="Times New Roman" w:hAnsi="Calibri"/>
                <w:color w:val="000000"/>
                <w:sz w:val="20"/>
                <w:szCs w:val="20"/>
              </w:rPr>
              <w:t>0%</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20.</w:t>
            </w:r>
            <w:r w:rsidRPr="00C076B6">
              <w:rPr>
                <w:rFonts w:ascii="Calibri" w:eastAsia="Times New Roman" w:hAnsi="Calibri"/>
                <w:color w:val="000000"/>
                <w:sz w:val="20"/>
                <w:szCs w:val="20"/>
              </w:rPr>
              <w:t>1%</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253676" w:rsidP="00253676">
            <w:pPr>
              <w:spacing w:before="120" w:after="0" w:line="252" w:lineRule="auto"/>
              <w:jc w:val="both"/>
              <w:rPr>
                <w:rFonts w:ascii="Calibri" w:eastAsia="Times New Roman" w:hAnsi="Calibri"/>
                <w:color w:val="000000"/>
                <w:sz w:val="20"/>
                <w:szCs w:val="20"/>
              </w:rPr>
            </w:pPr>
            <w:r w:rsidRPr="00253676">
              <w:rPr>
                <w:rFonts w:ascii="Calibri" w:eastAsia="Times New Roman" w:hAnsi="Calibri"/>
                <w:color w:val="000000"/>
                <w:sz w:val="20"/>
                <w:szCs w:val="20"/>
              </w:rPr>
              <w:t>Zonguldak, Karabük, Bartın</w:t>
            </w:r>
            <w:r w:rsidR="00D16147" w:rsidRPr="00C076B6">
              <w:rPr>
                <w:rFonts w:ascii="Calibri" w:eastAsia="Times New Roman" w:hAnsi="Calibri"/>
                <w:color w:val="000000"/>
                <w:sz w:val="20"/>
                <w:szCs w:val="20"/>
              </w:rPr>
              <w:t xml:space="preserve"> (TR81)</w:t>
            </w:r>
          </w:p>
        </w:tc>
        <w:tc>
          <w:tcPr>
            <w:tcW w:w="14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6.</w:t>
            </w:r>
            <w:r w:rsidRPr="00C076B6">
              <w:rPr>
                <w:rFonts w:ascii="Calibri" w:eastAsia="Times New Roman" w:hAnsi="Calibri"/>
                <w:color w:val="000000"/>
                <w:sz w:val="20"/>
                <w:szCs w:val="20"/>
              </w:rPr>
              <w:t>5%</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8.</w:t>
            </w:r>
            <w:r w:rsidRPr="00C076B6">
              <w:rPr>
                <w:rFonts w:ascii="Calibri" w:eastAsia="Times New Roman" w:hAnsi="Calibri"/>
                <w:color w:val="000000"/>
                <w:sz w:val="20"/>
                <w:szCs w:val="20"/>
              </w:rPr>
              <w:t>6%</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17.</w:t>
            </w:r>
            <w:r w:rsidRPr="00C076B6">
              <w:rPr>
                <w:rFonts w:ascii="Calibri" w:eastAsia="Times New Roman" w:hAnsi="Calibri"/>
                <w:color w:val="000000"/>
                <w:sz w:val="20"/>
                <w:szCs w:val="20"/>
              </w:rPr>
              <w:t>9%</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253676" w:rsidP="008242B5">
            <w:pPr>
              <w:spacing w:before="120" w:after="0" w:line="252" w:lineRule="auto"/>
              <w:jc w:val="both"/>
              <w:rPr>
                <w:rFonts w:ascii="Calibri" w:eastAsia="Times New Roman" w:hAnsi="Calibri"/>
                <w:color w:val="000000"/>
                <w:sz w:val="20"/>
                <w:szCs w:val="20"/>
              </w:rPr>
            </w:pPr>
            <w:r w:rsidRPr="00253676">
              <w:rPr>
                <w:rFonts w:ascii="Calibri" w:eastAsia="Times New Roman" w:hAnsi="Calibri"/>
                <w:color w:val="000000"/>
                <w:sz w:val="20"/>
                <w:szCs w:val="20"/>
              </w:rPr>
              <w:t>Kastamonu, Çankırı, Sinop</w:t>
            </w:r>
            <w:r w:rsidR="00D16147" w:rsidRPr="00C076B6">
              <w:rPr>
                <w:rFonts w:ascii="Calibri" w:eastAsia="Times New Roman" w:hAnsi="Calibri"/>
                <w:color w:val="000000"/>
                <w:sz w:val="20"/>
                <w:szCs w:val="20"/>
              </w:rPr>
              <w:t xml:space="preserve"> (TR82)</w:t>
            </w:r>
          </w:p>
        </w:tc>
        <w:tc>
          <w:tcPr>
            <w:tcW w:w="14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5.</w:t>
            </w:r>
            <w:r w:rsidRPr="00C076B6">
              <w:rPr>
                <w:rFonts w:ascii="Calibri" w:eastAsia="Times New Roman" w:hAnsi="Calibri"/>
                <w:color w:val="000000"/>
                <w:sz w:val="20"/>
                <w:szCs w:val="20"/>
              </w:rPr>
              <w:t>1%</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6.</w:t>
            </w:r>
            <w:r w:rsidRPr="00C076B6">
              <w:rPr>
                <w:rFonts w:ascii="Calibri" w:eastAsia="Times New Roman" w:hAnsi="Calibri"/>
                <w:color w:val="000000"/>
                <w:sz w:val="20"/>
                <w:szCs w:val="20"/>
              </w:rPr>
              <w:t>4%</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11</w:t>
            </w:r>
            <w:r>
              <w:rPr>
                <w:rFonts w:ascii="Calibri" w:eastAsia="Times New Roman" w:hAnsi="Calibri"/>
                <w:color w:val="000000"/>
                <w:sz w:val="20"/>
                <w:szCs w:val="20"/>
              </w:rPr>
              <w:t>.</w:t>
            </w:r>
            <w:r w:rsidRPr="00C076B6">
              <w:rPr>
                <w:rFonts w:ascii="Calibri" w:eastAsia="Times New Roman" w:hAnsi="Calibri"/>
                <w:color w:val="000000"/>
                <w:sz w:val="20"/>
                <w:szCs w:val="20"/>
              </w:rPr>
              <w:t>6%</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682784" w:rsidRDefault="00253676" w:rsidP="008242B5">
            <w:pPr>
              <w:spacing w:before="120" w:after="0" w:line="252" w:lineRule="auto"/>
              <w:jc w:val="both"/>
              <w:rPr>
                <w:rFonts w:ascii="Calibri" w:eastAsia="Times New Roman" w:hAnsi="Calibri"/>
                <w:color w:val="000000"/>
                <w:sz w:val="20"/>
                <w:szCs w:val="20"/>
                <w:lang w:val="en-GB"/>
              </w:rPr>
            </w:pPr>
            <w:r w:rsidRPr="00682784">
              <w:rPr>
                <w:rFonts w:ascii="Calibri" w:eastAsia="Times New Roman" w:hAnsi="Calibri"/>
                <w:color w:val="000000"/>
                <w:sz w:val="20"/>
                <w:szCs w:val="20"/>
                <w:lang w:val="en-GB"/>
              </w:rPr>
              <w:t>Samsun, Tokat, Çorum, Amasya</w:t>
            </w:r>
            <w:r w:rsidR="00D16147" w:rsidRPr="00682784">
              <w:rPr>
                <w:rFonts w:ascii="Calibri" w:eastAsia="Times New Roman" w:hAnsi="Calibri"/>
                <w:color w:val="000000"/>
                <w:sz w:val="20"/>
                <w:szCs w:val="20"/>
                <w:lang w:val="en-GB"/>
              </w:rPr>
              <w:t xml:space="preserve"> (TR83)</w:t>
            </w:r>
          </w:p>
        </w:tc>
        <w:tc>
          <w:tcPr>
            <w:tcW w:w="14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5.</w:t>
            </w:r>
            <w:r w:rsidRPr="00C076B6">
              <w:rPr>
                <w:rFonts w:ascii="Calibri" w:eastAsia="Times New Roman" w:hAnsi="Calibri"/>
                <w:color w:val="000000"/>
                <w:sz w:val="20"/>
                <w:szCs w:val="20"/>
              </w:rPr>
              <w:t>2%</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6.</w:t>
            </w:r>
            <w:r w:rsidRPr="00C076B6">
              <w:rPr>
                <w:rFonts w:ascii="Calibri" w:eastAsia="Times New Roman" w:hAnsi="Calibri"/>
                <w:color w:val="000000"/>
                <w:sz w:val="20"/>
                <w:szCs w:val="20"/>
              </w:rPr>
              <w:t>8%</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10.</w:t>
            </w:r>
            <w:r w:rsidRPr="00C076B6">
              <w:rPr>
                <w:rFonts w:ascii="Calibri" w:eastAsia="Times New Roman" w:hAnsi="Calibri"/>
                <w:color w:val="000000"/>
                <w:sz w:val="20"/>
                <w:szCs w:val="20"/>
              </w:rPr>
              <w:t>5%</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auto"/>
              <w:right w:val="nil"/>
            </w:tcBorders>
            <w:shd w:val="clear" w:color="auto" w:fill="auto"/>
            <w:noWrap/>
            <w:vAlign w:val="center"/>
            <w:hideMark/>
          </w:tcPr>
          <w:p w:rsidR="00D16147" w:rsidRPr="00C076B6" w:rsidRDefault="00253676" w:rsidP="008242B5">
            <w:pPr>
              <w:spacing w:before="120" w:after="0" w:line="252" w:lineRule="auto"/>
              <w:jc w:val="both"/>
              <w:rPr>
                <w:rFonts w:ascii="Calibri" w:eastAsia="Times New Roman" w:hAnsi="Calibri"/>
                <w:color w:val="000000"/>
                <w:sz w:val="20"/>
                <w:szCs w:val="20"/>
              </w:rPr>
            </w:pPr>
            <w:r w:rsidRPr="00253676">
              <w:rPr>
                <w:rFonts w:ascii="Calibri" w:eastAsia="Times New Roman" w:hAnsi="Calibri"/>
                <w:color w:val="000000"/>
                <w:sz w:val="20"/>
                <w:szCs w:val="20"/>
              </w:rPr>
              <w:t>Trabzon, Ordu, Giresun, Rize, Artvin, Gümüşhane</w:t>
            </w:r>
            <w:r w:rsidR="00D16147" w:rsidRPr="00C076B6">
              <w:rPr>
                <w:rFonts w:ascii="Calibri" w:eastAsia="Times New Roman" w:hAnsi="Calibri"/>
                <w:color w:val="000000"/>
                <w:sz w:val="20"/>
                <w:szCs w:val="20"/>
              </w:rPr>
              <w:t xml:space="preserve"> (TR90)</w:t>
            </w:r>
          </w:p>
        </w:tc>
        <w:tc>
          <w:tcPr>
            <w:tcW w:w="14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760</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7.</w:t>
            </w:r>
            <w:r w:rsidRPr="00C076B6">
              <w:rPr>
                <w:rFonts w:ascii="Calibri" w:eastAsia="Times New Roman" w:hAnsi="Calibri"/>
                <w:color w:val="000000"/>
                <w:sz w:val="20"/>
                <w:szCs w:val="20"/>
              </w:rPr>
              <w:t>8%</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4.</w:t>
            </w:r>
            <w:r w:rsidRPr="00C076B6">
              <w:rPr>
                <w:rFonts w:ascii="Calibri" w:eastAsia="Times New Roman" w:hAnsi="Calibri"/>
                <w:color w:val="000000"/>
                <w:sz w:val="20"/>
                <w:szCs w:val="20"/>
              </w:rPr>
              <w:t>0%</w:t>
            </w:r>
          </w:p>
        </w:tc>
        <w:tc>
          <w:tcPr>
            <w:tcW w:w="16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22.</w:t>
            </w:r>
            <w:r w:rsidRPr="00C076B6">
              <w:rPr>
                <w:rFonts w:ascii="Calibri" w:eastAsia="Times New Roman" w:hAnsi="Calibri"/>
                <w:color w:val="000000"/>
                <w:sz w:val="20"/>
                <w:szCs w:val="20"/>
              </w:rPr>
              <w:t>0%</w:t>
            </w:r>
          </w:p>
        </w:tc>
      </w:tr>
      <w:tr w:rsidR="00D16147" w:rsidRPr="001368E0" w:rsidTr="008242B5">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r w:rsidRPr="00C076B6">
              <w:rPr>
                <w:rFonts w:ascii="Calibri" w:eastAsia="Times New Roman" w:hAnsi="Calibri"/>
                <w:b/>
                <w:bCs/>
                <w:color w:val="000000"/>
                <w:sz w:val="20"/>
                <w:szCs w:val="20"/>
              </w:rPr>
              <w:t>UKRAINE</w:t>
            </w: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Odeska</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338</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8.</w:t>
            </w:r>
            <w:r w:rsidRPr="00C076B6">
              <w:rPr>
                <w:rFonts w:ascii="Calibri" w:eastAsia="Times New Roman" w:hAnsi="Calibri"/>
                <w:color w:val="000000"/>
                <w:sz w:val="20"/>
                <w:szCs w:val="20"/>
              </w:rPr>
              <w:t>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3.</w:t>
            </w:r>
            <w:r w:rsidRPr="00C076B6">
              <w:rPr>
                <w:rFonts w:ascii="Calibri" w:eastAsia="Times New Roman" w:hAnsi="Calibri"/>
                <w:color w:val="000000"/>
                <w:sz w:val="20"/>
                <w:szCs w:val="20"/>
              </w:rPr>
              <w:t>1%</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10.</w:t>
            </w:r>
            <w:r w:rsidRPr="00C076B6">
              <w:rPr>
                <w:rFonts w:ascii="Calibri" w:eastAsia="Times New Roman" w:hAnsi="Calibri"/>
                <w:color w:val="000000"/>
                <w:sz w:val="20"/>
                <w:szCs w:val="20"/>
              </w:rPr>
              <w:t>7%</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Mykolaiv</w:t>
            </w:r>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353</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9.</w:t>
            </w:r>
            <w:r w:rsidRPr="00C076B6">
              <w:rPr>
                <w:rFonts w:ascii="Calibri" w:eastAsia="Times New Roman" w:hAnsi="Calibri"/>
                <w:color w:val="000000"/>
                <w:sz w:val="20"/>
                <w:szCs w:val="20"/>
              </w:rPr>
              <w:t>2%</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6.</w:t>
            </w:r>
            <w:r w:rsidRPr="00C076B6">
              <w:rPr>
                <w:rFonts w:ascii="Calibri" w:eastAsia="Times New Roman" w:hAnsi="Calibri"/>
                <w:color w:val="000000"/>
                <w:sz w:val="20"/>
                <w:szCs w:val="20"/>
              </w:rPr>
              <w:t>5%</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19.</w:t>
            </w:r>
            <w:r w:rsidRPr="00C076B6">
              <w:rPr>
                <w:rFonts w:ascii="Calibri" w:eastAsia="Times New Roman" w:hAnsi="Calibri"/>
                <w:color w:val="000000"/>
                <w:sz w:val="20"/>
                <w:szCs w:val="20"/>
              </w:rPr>
              <w:t>6%</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Kherson</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284</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9.</w:t>
            </w:r>
            <w:r w:rsidRPr="00C076B6">
              <w:rPr>
                <w:rFonts w:ascii="Calibri" w:eastAsia="Times New Roman" w:hAnsi="Calibri"/>
                <w:color w:val="000000"/>
                <w:sz w:val="20"/>
                <w:szCs w:val="20"/>
              </w:rPr>
              <w:t>2%</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8.</w:t>
            </w:r>
            <w:r w:rsidRPr="00C076B6">
              <w:rPr>
                <w:rFonts w:ascii="Calibri" w:eastAsia="Times New Roman" w:hAnsi="Calibri"/>
                <w:color w:val="000000"/>
                <w:sz w:val="20"/>
                <w:szCs w:val="20"/>
              </w:rPr>
              <w:t>2%</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20.</w:t>
            </w:r>
            <w:r w:rsidRPr="00C076B6">
              <w:rPr>
                <w:rFonts w:ascii="Calibri" w:eastAsia="Times New Roman" w:hAnsi="Calibri"/>
                <w:color w:val="000000"/>
                <w:sz w:val="20"/>
                <w:szCs w:val="20"/>
              </w:rPr>
              <w:t>9%</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Zaporosh'ye Oblast</w:t>
            </w:r>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366</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8.</w:t>
            </w:r>
            <w:r w:rsidRPr="00C076B6">
              <w:rPr>
                <w:rFonts w:ascii="Calibri" w:eastAsia="Times New Roman" w:hAnsi="Calibri"/>
                <w:color w:val="000000"/>
                <w:sz w:val="20"/>
                <w:szCs w:val="20"/>
              </w:rPr>
              <w:t>1%</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5.</w:t>
            </w:r>
            <w:r w:rsidRPr="00C076B6">
              <w:rPr>
                <w:rFonts w:ascii="Calibri" w:eastAsia="Times New Roman" w:hAnsi="Calibri"/>
                <w:color w:val="000000"/>
                <w:sz w:val="20"/>
                <w:szCs w:val="20"/>
              </w:rPr>
              <w:t>7%</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11.</w:t>
            </w:r>
            <w:r w:rsidRPr="00C076B6">
              <w:rPr>
                <w:rFonts w:ascii="Calibri" w:eastAsia="Times New Roman" w:hAnsi="Calibri"/>
                <w:color w:val="000000"/>
                <w:sz w:val="20"/>
                <w:szCs w:val="20"/>
              </w:rPr>
              <w:t>3%</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Donetsk Oblast</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437</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8.</w:t>
            </w:r>
            <w:r w:rsidRPr="00C076B6">
              <w:rPr>
                <w:rFonts w:ascii="Calibri" w:eastAsia="Times New Roman" w:hAnsi="Calibri"/>
                <w:color w:val="000000"/>
                <w:sz w:val="20"/>
                <w:szCs w:val="20"/>
              </w:rPr>
              <w:t>6%</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7.</w:t>
            </w:r>
            <w:r w:rsidRPr="00C076B6">
              <w:rPr>
                <w:rFonts w:ascii="Calibri" w:eastAsia="Times New Roman" w:hAnsi="Calibri"/>
                <w:color w:val="000000"/>
                <w:sz w:val="20"/>
                <w:szCs w:val="20"/>
              </w:rPr>
              <w:t>3%</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19.</w:t>
            </w:r>
            <w:r w:rsidRPr="00C076B6">
              <w:rPr>
                <w:rFonts w:ascii="Calibri" w:eastAsia="Times New Roman" w:hAnsi="Calibri"/>
                <w:color w:val="000000"/>
                <w:sz w:val="20"/>
                <w:szCs w:val="20"/>
              </w:rPr>
              <w:t>0%</w:t>
            </w:r>
          </w:p>
        </w:tc>
      </w:tr>
      <w:tr w:rsidR="00D16147" w:rsidRPr="001368E0"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Crimea Republic</w:t>
            </w:r>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332</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5.</w:t>
            </w:r>
            <w:r w:rsidRPr="00C076B6">
              <w:rPr>
                <w:rFonts w:ascii="Calibri" w:eastAsia="Times New Roman" w:hAnsi="Calibri"/>
                <w:color w:val="000000"/>
                <w:sz w:val="20"/>
                <w:szCs w:val="20"/>
              </w:rPr>
              <w:t>2%</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6.</w:t>
            </w:r>
            <w:r w:rsidRPr="00C076B6">
              <w:rPr>
                <w:rFonts w:ascii="Calibri" w:eastAsia="Times New Roman" w:hAnsi="Calibri"/>
                <w:color w:val="000000"/>
                <w:sz w:val="20"/>
                <w:szCs w:val="20"/>
              </w:rPr>
              <w:t>5%</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12.</w:t>
            </w:r>
            <w:r w:rsidRPr="00C076B6">
              <w:rPr>
                <w:rFonts w:ascii="Calibri" w:eastAsia="Times New Roman" w:hAnsi="Calibri"/>
                <w:color w:val="000000"/>
                <w:sz w:val="20"/>
                <w:szCs w:val="20"/>
              </w:rPr>
              <w:t>2%</w:t>
            </w:r>
          </w:p>
        </w:tc>
      </w:tr>
      <w:tr w:rsidR="00D16147" w:rsidRPr="001368E0" w:rsidTr="008242B5">
        <w:trPr>
          <w:trHeight w:val="280"/>
        </w:trPr>
        <w:tc>
          <w:tcPr>
            <w:tcW w:w="1300" w:type="dxa"/>
            <w:tcBorders>
              <w:top w:val="single" w:sz="4" w:space="0" w:color="95B3D7"/>
              <w:left w:val="single" w:sz="4" w:space="0" w:color="auto"/>
              <w:bottom w:val="single" w:sz="4" w:space="0" w:color="auto"/>
              <w:right w:val="nil"/>
            </w:tcBorders>
            <w:shd w:val="clear" w:color="DCE6F1" w:fill="DCE6F1"/>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r w:rsidRPr="00C076B6">
              <w:rPr>
                <w:rFonts w:ascii="Calibri" w:eastAsia="Times New Roman" w:hAnsi="Calibri"/>
                <w:b/>
                <w:bCs/>
                <w:color w:val="000000"/>
                <w:sz w:val="20"/>
                <w:szCs w:val="20"/>
              </w:rPr>
              <w:t> </w:t>
            </w:r>
          </w:p>
        </w:tc>
        <w:tc>
          <w:tcPr>
            <w:tcW w:w="2520" w:type="dxa"/>
            <w:tcBorders>
              <w:top w:val="single" w:sz="4" w:space="0" w:color="95B3D7"/>
              <w:left w:val="single" w:sz="4" w:space="0" w:color="auto"/>
              <w:bottom w:val="single" w:sz="4" w:space="0" w:color="auto"/>
              <w:right w:val="nil"/>
            </w:tcBorders>
            <w:shd w:val="clear" w:color="DCE6F1" w:fill="DCE6F1"/>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Sevastopol</w:t>
            </w:r>
          </w:p>
        </w:tc>
        <w:tc>
          <w:tcPr>
            <w:tcW w:w="1420" w:type="dxa"/>
            <w:tcBorders>
              <w:top w:val="single" w:sz="4" w:space="0" w:color="95B3D7"/>
              <w:left w:val="single" w:sz="4" w:space="0" w:color="auto"/>
              <w:bottom w:val="single" w:sz="4" w:space="0" w:color="auto"/>
              <w:right w:val="nil"/>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sidRPr="00C076B6">
              <w:rPr>
                <w:rFonts w:ascii="Calibri" w:eastAsia="Times New Roman" w:hAnsi="Calibri"/>
                <w:color w:val="000000"/>
                <w:sz w:val="20"/>
                <w:szCs w:val="20"/>
              </w:rPr>
              <w:t>362</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7.</w:t>
            </w:r>
            <w:r w:rsidRPr="00C076B6">
              <w:rPr>
                <w:rFonts w:ascii="Calibri" w:eastAsia="Times New Roman" w:hAnsi="Calibri"/>
                <w:color w:val="000000"/>
                <w:sz w:val="20"/>
                <w:szCs w:val="20"/>
              </w:rPr>
              <w:t>1%</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4.</w:t>
            </w:r>
            <w:r w:rsidRPr="00C076B6">
              <w:rPr>
                <w:rFonts w:ascii="Calibri" w:eastAsia="Times New Roman" w:hAnsi="Calibri"/>
                <w:color w:val="000000"/>
                <w:sz w:val="20"/>
                <w:szCs w:val="20"/>
              </w:rPr>
              <w:t>8%</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rsidR="00D16147" w:rsidRPr="00C076B6" w:rsidRDefault="00D16147" w:rsidP="008242B5">
            <w:pPr>
              <w:spacing w:before="120" w:after="0" w:line="252" w:lineRule="auto"/>
              <w:jc w:val="right"/>
              <w:rPr>
                <w:rFonts w:ascii="Calibri" w:eastAsia="Times New Roman" w:hAnsi="Calibri"/>
                <w:color w:val="000000"/>
                <w:sz w:val="20"/>
                <w:szCs w:val="20"/>
              </w:rPr>
            </w:pPr>
            <w:r>
              <w:rPr>
                <w:rFonts w:ascii="Calibri" w:eastAsia="Times New Roman" w:hAnsi="Calibri"/>
                <w:color w:val="000000"/>
                <w:sz w:val="20"/>
                <w:szCs w:val="20"/>
              </w:rPr>
              <w:t>18.</w:t>
            </w:r>
            <w:r w:rsidRPr="00C076B6">
              <w:rPr>
                <w:rFonts w:ascii="Calibri" w:eastAsia="Times New Roman" w:hAnsi="Calibri"/>
                <w:color w:val="000000"/>
                <w:sz w:val="20"/>
                <w:szCs w:val="20"/>
              </w:rPr>
              <w:t>0%</w:t>
            </w:r>
          </w:p>
        </w:tc>
      </w:tr>
      <w:tr w:rsidR="00D16147" w:rsidRPr="001368E0" w:rsidTr="008242B5">
        <w:trPr>
          <w:trHeight w:val="300"/>
        </w:trPr>
        <w:tc>
          <w:tcPr>
            <w:tcW w:w="1300" w:type="dxa"/>
            <w:tcBorders>
              <w:top w:val="single" w:sz="4" w:space="0" w:color="95B3D7"/>
              <w:left w:val="single" w:sz="4" w:space="0" w:color="auto"/>
              <w:bottom w:val="single" w:sz="4" w:space="0" w:color="auto"/>
              <w:right w:val="single" w:sz="4" w:space="0" w:color="auto"/>
            </w:tcBorders>
            <w:shd w:val="clear" w:color="auto" w:fill="auto"/>
            <w:noWrap/>
            <w:vAlign w:val="center"/>
            <w:hideMark/>
          </w:tcPr>
          <w:p w:rsidR="00D16147" w:rsidRPr="00C076B6" w:rsidRDefault="00D16147" w:rsidP="008242B5">
            <w:pPr>
              <w:spacing w:before="120" w:after="0" w:line="252" w:lineRule="auto"/>
              <w:rPr>
                <w:rFonts w:ascii="Calibri" w:eastAsia="Times New Roman" w:hAnsi="Calibri"/>
                <w:b/>
                <w:bCs/>
                <w:color w:val="000000"/>
                <w:sz w:val="20"/>
                <w:szCs w:val="20"/>
              </w:rPr>
            </w:pPr>
            <w:r w:rsidRPr="00C076B6">
              <w:rPr>
                <w:rFonts w:ascii="Calibri" w:eastAsia="Times New Roman" w:hAnsi="Calibri"/>
                <w:b/>
                <w:bCs/>
                <w:color w:val="000000"/>
                <w:sz w:val="20"/>
                <w:szCs w:val="20"/>
              </w:rPr>
              <w:t>AVERAGE</w:t>
            </w:r>
          </w:p>
        </w:tc>
        <w:tc>
          <w:tcPr>
            <w:tcW w:w="2520" w:type="dxa"/>
            <w:tcBorders>
              <w:top w:val="single" w:sz="4" w:space="0" w:color="95B3D7"/>
              <w:left w:val="single" w:sz="4" w:space="0" w:color="auto"/>
              <w:bottom w:val="single" w:sz="4" w:space="0" w:color="auto"/>
              <w:right w:val="nil"/>
            </w:tcBorders>
            <w:shd w:val="clear" w:color="auto" w:fill="auto"/>
            <w:noWrap/>
            <w:vAlign w:val="center"/>
            <w:hideMark/>
          </w:tcPr>
          <w:p w:rsidR="00D16147" w:rsidRPr="00C076B6" w:rsidRDefault="00D16147" w:rsidP="008242B5">
            <w:pPr>
              <w:spacing w:before="120" w:after="0" w:line="252" w:lineRule="auto"/>
              <w:jc w:val="both"/>
              <w:rPr>
                <w:rFonts w:ascii="Calibri" w:eastAsia="Times New Roman" w:hAnsi="Calibri"/>
                <w:color w:val="000000"/>
                <w:sz w:val="20"/>
                <w:szCs w:val="20"/>
              </w:rPr>
            </w:pPr>
            <w:r w:rsidRPr="00C076B6">
              <w:rPr>
                <w:rFonts w:ascii="Calibri" w:eastAsia="Times New Roman" w:hAnsi="Calibri"/>
                <w:color w:val="000000"/>
                <w:sz w:val="20"/>
                <w:szCs w:val="20"/>
              </w:rPr>
              <w:t> </w:t>
            </w:r>
          </w:p>
        </w:tc>
        <w:tc>
          <w:tcPr>
            <w:tcW w:w="1420" w:type="dxa"/>
            <w:tcBorders>
              <w:top w:val="single" w:sz="4" w:space="0" w:color="95B3D7"/>
              <w:left w:val="single" w:sz="4" w:space="0" w:color="auto"/>
              <w:bottom w:val="single" w:sz="4" w:space="0" w:color="auto"/>
              <w:right w:val="nil"/>
            </w:tcBorders>
            <w:shd w:val="clear" w:color="auto" w:fill="auto"/>
            <w:noWrap/>
            <w:vAlign w:val="center"/>
            <w:hideMark/>
          </w:tcPr>
          <w:p w:rsidR="00D16147" w:rsidRPr="00C076B6" w:rsidRDefault="00D16147" w:rsidP="008242B5">
            <w:pPr>
              <w:spacing w:before="120" w:after="0" w:line="252" w:lineRule="auto"/>
              <w:jc w:val="right"/>
              <w:rPr>
                <w:rFonts w:ascii="Calibri" w:eastAsia="Times New Roman" w:hAnsi="Calibri"/>
                <w:b/>
                <w:bCs/>
                <w:color w:val="000000"/>
                <w:sz w:val="20"/>
                <w:szCs w:val="20"/>
              </w:rPr>
            </w:pPr>
            <w:r>
              <w:rPr>
                <w:rFonts w:ascii="Calibri" w:eastAsia="Times New Roman" w:hAnsi="Calibri"/>
                <w:b/>
                <w:bCs/>
                <w:color w:val="000000"/>
                <w:sz w:val="20"/>
                <w:szCs w:val="20"/>
              </w:rPr>
              <w:t>557</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b/>
                <w:bCs/>
                <w:color w:val="000000"/>
                <w:sz w:val="20"/>
                <w:szCs w:val="20"/>
              </w:rPr>
            </w:pPr>
            <w:r>
              <w:rPr>
                <w:rFonts w:ascii="Calibri" w:eastAsia="Times New Roman" w:hAnsi="Calibri"/>
                <w:b/>
                <w:bCs/>
                <w:color w:val="000000"/>
                <w:sz w:val="20"/>
                <w:szCs w:val="20"/>
              </w:rPr>
              <w:t>9.</w:t>
            </w:r>
            <w:r w:rsidRPr="00C076B6">
              <w:rPr>
                <w:rFonts w:ascii="Calibri" w:eastAsia="Times New Roman" w:hAnsi="Calibri"/>
                <w:b/>
                <w:bCs/>
                <w:color w:val="000000"/>
                <w:sz w:val="20"/>
                <w:szCs w:val="20"/>
              </w:rPr>
              <w:t>4%</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b/>
                <w:bCs/>
                <w:color w:val="000000"/>
                <w:sz w:val="20"/>
                <w:szCs w:val="20"/>
              </w:rPr>
            </w:pPr>
            <w:r>
              <w:rPr>
                <w:rFonts w:ascii="Calibri" w:eastAsia="Times New Roman" w:hAnsi="Calibri"/>
                <w:b/>
                <w:bCs/>
                <w:color w:val="000000"/>
                <w:sz w:val="20"/>
                <w:szCs w:val="20"/>
              </w:rPr>
              <w:t>10.</w:t>
            </w:r>
            <w:r w:rsidRPr="00C076B6">
              <w:rPr>
                <w:rFonts w:ascii="Calibri" w:eastAsia="Times New Roman" w:hAnsi="Calibri"/>
                <w:b/>
                <w:bCs/>
                <w:color w:val="000000"/>
                <w:sz w:val="20"/>
                <w:szCs w:val="20"/>
              </w:rPr>
              <w:t>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6147" w:rsidRPr="00C076B6" w:rsidRDefault="00D16147" w:rsidP="008242B5">
            <w:pPr>
              <w:spacing w:before="120" w:after="0" w:line="252" w:lineRule="auto"/>
              <w:jc w:val="right"/>
              <w:rPr>
                <w:rFonts w:ascii="Calibri" w:eastAsia="Times New Roman" w:hAnsi="Calibri"/>
                <w:b/>
                <w:bCs/>
                <w:color w:val="000000"/>
                <w:sz w:val="20"/>
                <w:szCs w:val="20"/>
              </w:rPr>
            </w:pPr>
            <w:r>
              <w:rPr>
                <w:rFonts w:ascii="Calibri" w:eastAsia="Times New Roman" w:hAnsi="Calibri"/>
                <w:b/>
                <w:bCs/>
                <w:color w:val="000000"/>
                <w:sz w:val="20"/>
                <w:szCs w:val="20"/>
              </w:rPr>
              <w:t>24.</w:t>
            </w:r>
            <w:r w:rsidRPr="00C076B6">
              <w:rPr>
                <w:rFonts w:ascii="Calibri" w:eastAsia="Times New Roman" w:hAnsi="Calibri"/>
                <w:b/>
                <w:bCs/>
                <w:color w:val="000000"/>
                <w:sz w:val="20"/>
                <w:szCs w:val="20"/>
              </w:rPr>
              <w:t>1%</w:t>
            </w:r>
          </w:p>
        </w:tc>
      </w:tr>
    </w:tbl>
    <w:p w:rsidR="00D16147" w:rsidRPr="004B58D3" w:rsidRDefault="00D16147" w:rsidP="00D16147">
      <w:pPr>
        <w:pStyle w:val="Caption"/>
        <w:spacing w:before="120" w:after="0" w:line="252" w:lineRule="auto"/>
        <w:jc w:val="left"/>
        <w:rPr>
          <w:sz w:val="22"/>
          <w:szCs w:val="22"/>
          <w:lang w:val="en-GB"/>
        </w:rPr>
      </w:pPr>
      <w:r>
        <w:rPr>
          <w:sz w:val="22"/>
          <w:szCs w:val="22"/>
          <w:lang w:val="en-GB"/>
        </w:rPr>
        <w:t>Table 4</w:t>
      </w:r>
      <w:r w:rsidRPr="004B58D3">
        <w:rPr>
          <w:sz w:val="22"/>
          <w:szCs w:val="22"/>
          <w:lang w:val="en-GB"/>
        </w:rPr>
        <w:t>. Overview of wages and unemployment rates in the Black Sea Basin eligible areas</w:t>
      </w:r>
      <w:r>
        <w:rPr>
          <w:rStyle w:val="EndnoteReference"/>
          <w:sz w:val="22"/>
          <w:szCs w:val="22"/>
          <w:lang w:val="en-GB"/>
        </w:rPr>
        <w:endnoteReference w:id="60"/>
      </w:r>
    </w:p>
    <w:p w:rsidR="00D16147" w:rsidRDefault="00D16147" w:rsidP="00D16147">
      <w:pPr>
        <w:spacing w:before="120" w:after="0" w:line="252" w:lineRule="auto"/>
        <w:jc w:val="both"/>
        <w:rPr>
          <w:sz w:val="22"/>
          <w:szCs w:val="22"/>
          <w:lang w:val="en-GB"/>
        </w:rPr>
      </w:pPr>
      <w:r w:rsidRPr="004B58D3">
        <w:rPr>
          <w:sz w:val="22"/>
          <w:szCs w:val="22"/>
          <w:lang w:val="en-GB"/>
        </w:rPr>
        <w:t xml:space="preserve">Statistics reveal that the Black Sea Basin eligible areas have very different unemployment challenges. While Azerbaijan, Moldova, Romania, some Ukrainian regions (Crimea, Sevastopol, Odeska) and Turkish rural regions experience low or moderate levels of unemployment (&lt; 7%), Armenia, Georgia, both Greek regions and the Bulgarian region of Zeveroiztochen have unemployment rates of above 15% (see table </w:t>
      </w:r>
      <w:r>
        <w:rPr>
          <w:sz w:val="22"/>
          <w:szCs w:val="22"/>
          <w:lang w:val="en-GB"/>
        </w:rPr>
        <w:t xml:space="preserve">4 </w:t>
      </w:r>
      <w:r w:rsidRPr="004B58D3">
        <w:rPr>
          <w:sz w:val="22"/>
          <w:szCs w:val="22"/>
          <w:lang w:val="en-GB"/>
        </w:rPr>
        <w:t>above</w:t>
      </w:r>
      <w:r w:rsidRPr="00E70CD2">
        <w:rPr>
          <w:rStyle w:val="FootnoteReference"/>
          <w:sz w:val="22"/>
          <w:szCs w:val="22"/>
        </w:rPr>
        <w:footnoteReference w:id="37"/>
      </w:r>
      <w:r w:rsidRPr="004B58D3">
        <w:rPr>
          <w:sz w:val="22"/>
          <w:szCs w:val="22"/>
          <w:lang w:val="en-GB"/>
        </w:rPr>
        <w:t xml:space="preserve">). </w:t>
      </w:r>
    </w:p>
    <w:p w:rsidR="00D16147" w:rsidRPr="000D3441" w:rsidRDefault="00D16147" w:rsidP="00D16147">
      <w:pPr>
        <w:spacing w:before="120" w:after="0" w:line="252" w:lineRule="auto"/>
        <w:jc w:val="both"/>
        <w:rPr>
          <w:sz w:val="22"/>
          <w:szCs w:val="22"/>
          <w:lang w:val="en-GB"/>
        </w:rPr>
      </w:pPr>
      <w:r w:rsidRPr="000D3441">
        <w:rPr>
          <w:sz w:val="22"/>
          <w:szCs w:val="22"/>
          <w:lang w:val="en-GB"/>
        </w:rPr>
        <w:t>In regard to gender influence and unemployment rates, female u</w:t>
      </w:r>
      <w:r w:rsidR="00691562">
        <w:rPr>
          <w:sz w:val="22"/>
          <w:szCs w:val="22"/>
          <w:lang w:val="en-GB"/>
        </w:rPr>
        <w:t xml:space="preserve">nemployment tends to be higher </w:t>
      </w:r>
      <w:r w:rsidRPr="000D3441">
        <w:rPr>
          <w:sz w:val="22"/>
          <w:szCs w:val="22"/>
          <w:lang w:val="en-GB"/>
        </w:rPr>
        <w:t xml:space="preserve">in Armenia, Azerbaijan, Greece and most Turkish regions (save Trabzon) and lower in the other countries (see table 4 above). </w:t>
      </w:r>
    </w:p>
    <w:p w:rsidR="00D16147" w:rsidRPr="004B58D3" w:rsidRDefault="00D16147" w:rsidP="00D16147">
      <w:pPr>
        <w:spacing w:before="120" w:after="0" w:line="252" w:lineRule="auto"/>
        <w:jc w:val="both"/>
        <w:rPr>
          <w:sz w:val="22"/>
          <w:szCs w:val="22"/>
          <w:lang w:val="en-GB"/>
        </w:rPr>
      </w:pPr>
      <w:r w:rsidRPr="000D3441">
        <w:rPr>
          <w:sz w:val="22"/>
          <w:szCs w:val="22"/>
          <w:lang w:val="en-GB"/>
        </w:rPr>
        <w:t>Youth unemployment is a particularly acute issue, reaching 24% on average in the Black Sea Basin area in 2012</w:t>
      </w:r>
      <w:r w:rsidRPr="000D3441">
        <w:rPr>
          <w:rStyle w:val="EndnoteReference"/>
          <w:sz w:val="22"/>
          <w:szCs w:val="22"/>
        </w:rPr>
        <w:endnoteReference w:id="61"/>
      </w:r>
      <w:r w:rsidRPr="000D3441">
        <w:rPr>
          <w:sz w:val="22"/>
          <w:szCs w:val="22"/>
          <w:lang w:val="en-GB"/>
        </w:rPr>
        <w:t>,</w:t>
      </w:r>
      <w:r w:rsidRPr="004B58D3">
        <w:rPr>
          <w:sz w:val="22"/>
          <w:szCs w:val="22"/>
          <w:lang w:val="en-GB"/>
        </w:rPr>
        <w:t xml:space="preserve"> and </w:t>
      </w:r>
      <w:r>
        <w:rPr>
          <w:sz w:val="22"/>
          <w:szCs w:val="22"/>
          <w:lang w:val="en-GB"/>
        </w:rPr>
        <w:t xml:space="preserve">was </w:t>
      </w:r>
      <w:r w:rsidRPr="004B58D3">
        <w:rPr>
          <w:sz w:val="22"/>
          <w:szCs w:val="22"/>
          <w:lang w:val="en-GB"/>
        </w:rPr>
        <w:t>visibly most affected by the aftermath of the 2008 crisis</w:t>
      </w:r>
      <w:r w:rsidR="002D5853">
        <w:rPr>
          <w:sz w:val="22"/>
          <w:szCs w:val="22"/>
          <w:lang w:val="en-GB"/>
        </w:rPr>
        <w:t xml:space="preserve"> (see figure 14</w:t>
      </w:r>
      <w:r w:rsidRPr="004B58D3">
        <w:rPr>
          <w:sz w:val="22"/>
          <w:szCs w:val="22"/>
          <w:lang w:val="en-GB"/>
        </w:rPr>
        <w:t xml:space="preserve"> below). Common to all the Black Sea Basin regions, youth unemployment varies from 10</w:t>
      </w:r>
      <w:r>
        <w:rPr>
          <w:sz w:val="22"/>
          <w:szCs w:val="22"/>
          <w:lang w:val="en-GB"/>
        </w:rPr>
        <w:t>.</w:t>
      </w:r>
      <w:r w:rsidRPr="004B58D3">
        <w:rPr>
          <w:sz w:val="22"/>
          <w:szCs w:val="22"/>
          <w:lang w:val="en-GB"/>
        </w:rPr>
        <w:t xml:space="preserve">7% in the Odeska region (Ukraine) to 66% in Anatoli Makedonia Thraki (Greece). </w:t>
      </w:r>
    </w:p>
    <w:p w:rsidR="00D16147" w:rsidRDefault="006102F6" w:rsidP="00D16147">
      <w:pPr>
        <w:keepNext/>
        <w:spacing w:before="120" w:after="0" w:line="252" w:lineRule="auto"/>
      </w:pPr>
      <w:r>
        <w:rPr>
          <w:noProof/>
          <w:lang w:val="ro-RO" w:eastAsia="ro-RO"/>
        </w:rPr>
        <w:drawing>
          <wp:inline distT="0" distB="0" distL="0" distR="0">
            <wp:extent cx="6696075" cy="2266950"/>
            <wp:effectExtent l="19050" t="0" r="9525" b="0"/>
            <wp:docPr id="1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6"/>
                    <a:srcRect/>
                    <a:stretch>
                      <a:fillRect/>
                    </a:stretch>
                  </pic:blipFill>
                  <pic:spPr bwMode="auto">
                    <a:xfrm>
                      <a:off x="0" y="0"/>
                      <a:ext cx="6696075" cy="2266950"/>
                    </a:xfrm>
                    <a:prstGeom prst="rect">
                      <a:avLst/>
                    </a:prstGeom>
                    <a:noFill/>
                    <a:ln w="9525">
                      <a:noFill/>
                      <a:miter lim="800000"/>
                      <a:headEnd/>
                      <a:tailEnd/>
                    </a:ln>
                  </pic:spPr>
                </pic:pic>
              </a:graphicData>
            </a:graphic>
          </wp:inline>
        </w:drawing>
      </w:r>
    </w:p>
    <w:p w:rsidR="00D16147" w:rsidRPr="004B58D3" w:rsidRDefault="00957F9B" w:rsidP="005A12B9">
      <w:pPr>
        <w:pStyle w:val="Caption"/>
        <w:spacing w:after="0" w:line="252" w:lineRule="auto"/>
        <w:jc w:val="left"/>
        <w:rPr>
          <w:sz w:val="22"/>
          <w:szCs w:val="22"/>
          <w:lang w:val="en-GB"/>
        </w:rPr>
      </w:pPr>
      <w:r>
        <w:rPr>
          <w:sz w:val="22"/>
          <w:szCs w:val="22"/>
          <w:lang w:val="en-GB"/>
        </w:rPr>
        <w:t>Figure 14</w:t>
      </w:r>
      <w:r w:rsidR="00D16147" w:rsidRPr="000D3441">
        <w:rPr>
          <w:sz w:val="22"/>
          <w:szCs w:val="22"/>
          <w:lang w:val="en-GB"/>
        </w:rPr>
        <w:t>. Unemployment, youth, 2005-2011 (national level as a % of total labor force ages 15-24)</w:t>
      </w:r>
      <w:r w:rsidR="00D16147" w:rsidRPr="000D3441">
        <w:rPr>
          <w:rStyle w:val="EndnoteReference"/>
          <w:sz w:val="22"/>
          <w:szCs w:val="22"/>
        </w:rPr>
        <w:endnoteReference w:id="62"/>
      </w:r>
      <w:r w:rsidR="00D16147" w:rsidRPr="000D3441">
        <w:rPr>
          <w:sz w:val="22"/>
          <w:szCs w:val="22"/>
          <w:lang w:val="en-GB"/>
        </w:rPr>
        <w:t xml:space="preserve"> – impact of 2008 crisis</w:t>
      </w:r>
    </w:p>
    <w:p w:rsidR="00D02D24" w:rsidRPr="00650794" w:rsidRDefault="00D02D24" w:rsidP="00D9190A">
      <w:pPr>
        <w:spacing w:before="360" w:after="0"/>
        <w:rPr>
          <w:rStyle w:val="Strong"/>
          <w:bCs w:val="0"/>
          <w:lang w:val="en-GB"/>
        </w:rPr>
      </w:pPr>
      <w:bookmarkStart w:id="37" w:name="_Toc246127431"/>
      <w:r>
        <w:rPr>
          <w:b/>
          <w:lang w:val="en-GB"/>
        </w:rPr>
        <w:t>Research and development, research</w:t>
      </w:r>
      <w:r w:rsidRPr="000D36B6">
        <w:rPr>
          <w:b/>
          <w:lang w:val="en-GB"/>
        </w:rPr>
        <w:t xml:space="preserve"> </w:t>
      </w:r>
    </w:p>
    <w:p w:rsidR="00D16147" w:rsidRPr="00E70CD2" w:rsidRDefault="006102F6" w:rsidP="00605A25">
      <w:pPr>
        <w:pStyle w:val="Heading3"/>
        <w:spacing w:before="0" w:line="252" w:lineRule="auto"/>
        <w:rPr>
          <w:sz w:val="28"/>
          <w:szCs w:val="28"/>
          <w:lang w:val="en-US"/>
        </w:rPr>
      </w:pPr>
      <w:r>
        <w:rPr>
          <w:noProof/>
          <w:lang w:val="ro-RO" w:eastAsia="ro-RO"/>
        </w:rPr>
        <w:drawing>
          <wp:inline distT="0" distB="0" distL="0" distR="0">
            <wp:extent cx="7077075" cy="2400300"/>
            <wp:effectExtent l="19050" t="0" r="9525" b="0"/>
            <wp:docPr id="1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27"/>
                    <a:srcRect/>
                    <a:stretch>
                      <a:fillRect/>
                    </a:stretch>
                  </pic:blipFill>
                  <pic:spPr bwMode="auto">
                    <a:xfrm>
                      <a:off x="0" y="0"/>
                      <a:ext cx="7077075" cy="2400300"/>
                    </a:xfrm>
                    <a:prstGeom prst="rect">
                      <a:avLst/>
                    </a:prstGeom>
                    <a:noFill/>
                    <a:ln w="9525">
                      <a:noFill/>
                      <a:miter lim="800000"/>
                      <a:headEnd/>
                      <a:tailEnd/>
                    </a:ln>
                  </pic:spPr>
                </pic:pic>
              </a:graphicData>
            </a:graphic>
          </wp:inline>
        </w:drawing>
      </w:r>
      <w:bookmarkEnd w:id="37"/>
    </w:p>
    <w:p w:rsidR="00D16147" w:rsidRPr="004B58D3"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957F9B">
        <w:rPr>
          <w:sz w:val="22"/>
          <w:szCs w:val="22"/>
          <w:lang w:val="en-GB"/>
        </w:rPr>
        <w:t>15</w:t>
      </w:r>
      <w:r w:rsidRPr="004B58D3">
        <w:rPr>
          <w:sz w:val="22"/>
          <w:szCs w:val="22"/>
          <w:lang w:val="en-GB"/>
        </w:rPr>
        <w:t>. Research and Development expenditure (% of GDP), 2005</w:t>
      </w:r>
      <w:r>
        <w:rPr>
          <w:rStyle w:val="EndnoteReference"/>
          <w:sz w:val="22"/>
          <w:szCs w:val="22"/>
        </w:rPr>
        <w:endnoteReference w:id="63"/>
      </w:r>
    </w:p>
    <w:p w:rsidR="00D16147" w:rsidRPr="004B58D3" w:rsidRDefault="00D16147" w:rsidP="00E35FB1">
      <w:pPr>
        <w:spacing w:before="240" w:after="120" w:line="252" w:lineRule="auto"/>
        <w:jc w:val="both"/>
        <w:rPr>
          <w:sz w:val="22"/>
          <w:szCs w:val="22"/>
          <w:lang w:val="en-GB"/>
        </w:rPr>
      </w:pPr>
      <w:r w:rsidRPr="004B58D3">
        <w:rPr>
          <w:sz w:val="22"/>
          <w:szCs w:val="22"/>
          <w:lang w:val="en-GB"/>
        </w:rPr>
        <w:t>The Black Sea Basin area has a rich scientific potential, if considering the large numbers of universities and research centers</w:t>
      </w:r>
      <w:r w:rsidRPr="00E70CD2">
        <w:rPr>
          <w:rStyle w:val="FootnoteReference"/>
          <w:sz w:val="22"/>
          <w:szCs w:val="22"/>
        </w:rPr>
        <w:footnoteReference w:id="38"/>
      </w:r>
      <w:r w:rsidRPr="004B58D3">
        <w:rPr>
          <w:sz w:val="22"/>
          <w:szCs w:val="22"/>
          <w:lang w:val="en-GB"/>
        </w:rPr>
        <w:t xml:space="preserve"> in the area, although it faces difficulties in fostering research and innovation and keeping up with the pace of technological progress as is reflected in the structure of exports and in rather low research and development expenditures (see figure 15 above). Research and Innovation is therefore another potential area for cooperation.</w:t>
      </w:r>
    </w:p>
    <w:p w:rsidR="00D16147" w:rsidRDefault="00D16147" w:rsidP="00D9190A">
      <w:pPr>
        <w:spacing w:before="120" w:after="120" w:line="252" w:lineRule="auto"/>
        <w:jc w:val="both"/>
        <w:rPr>
          <w:sz w:val="22"/>
          <w:szCs w:val="22"/>
          <w:lang w:val="en-GB"/>
        </w:rPr>
      </w:pPr>
      <w:r w:rsidRPr="004B58D3">
        <w:rPr>
          <w:sz w:val="22"/>
          <w:szCs w:val="22"/>
          <w:lang w:val="en-GB"/>
        </w:rPr>
        <w:t xml:space="preserve">Research and networking in science and technology in the Black Sea Basin region among some or all of the countries is supported and active under the EU 7th framework programme and Black Sea Basin ENPI CBC programme, as </w:t>
      </w:r>
      <w:r w:rsidRPr="000D3441">
        <w:rPr>
          <w:sz w:val="22"/>
          <w:szCs w:val="22"/>
          <w:lang w:val="en-GB"/>
        </w:rPr>
        <w:t>well as within a variety of other European and Black Sea initiatives and organisations, sometimes specialising on a specific field. Collaborative work on marine environment notably involves 43 research centres and universities in Black Sea riparian countries within a Black Sea Scientific Network (SCENE), and a strategic research agenda towards integrated marine research strategies and programme has been developed under the SEAS-ERA project. Considering the Black Sea Basin ENI CBC programme eligible area, it seems important to underline that key research centres for this collaborative work are sometimes located in capital cities.</w:t>
      </w:r>
    </w:p>
    <w:p w:rsidR="00EC0F3B" w:rsidRDefault="00EC0F3B" w:rsidP="00D16147">
      <w:pPr>
        <w:spacing w:before="120" w:after="0" w:line="252" w:lineRule="auto"/>
        <w:jc w:val="both"/>
        <w:rPr>
          <w:sz w:val="22"/>
          <w:szCs w:val="22"/>
          <w:lang w:val="en-GB"/>
        </w:rPr>
      </w:pPr>
    </w:p>
    <w:tbl>
      <w:tblPr>
        <w:tblW w:w="0" w:type="auto"/>
        <w:tblBorders>
          <w:top w:val="single" w:sz="18" w:space="0" w:color="983620"/>
          <w:left w:val="single" w:sz="18" w:space="0" w:color="983620"/>
          <w:bottom w:val="single" w:sz="18" w:space="0" w:color="983620"/>
          <w:right w:val="single" w:sz="18" w:space="0" w:color="983620"/>
        </w:tblBorders>
        <w:tblLayout w:type="fixed"/>
        <w:tblLook w:val="04A0"/>
      </w:tblPr>
      <w:tblGrid>
        <w:gridCol w:w="4077"/>
        <w:gridCol w:w="6946"/>
      </w:tblGrid>
      <w:tr w:rsidR="00EC0F3B" w:rsidRPr="001368E0" w:rsidTr="001368E0">
        <w:trPr>
          <w:trHeight w:val="232"/>
        </w:trPr>
        <w:tc>
          <w:tcPr>
            <w:tcW w:w="11023" w:type="dxa"/>
            <w:gridSpan w:val="2"/>
            <w:shd w:val="clear" w:color="auto" w:fill="792A19"/>
            <w:noWrap/>
            <w:hideMark/>
          </w:tcPr>
          <w:p w:rsidR="00EC0F3B" w:rsidRPr="001368E0" w:rsidRDefault="00EC0F3B" w:rsidP="001368E0">
            <w:pPr>
              <w:spacing w:after="0" w:line="240" w:lineRule="auto"/>
              <w:jc w:val="center"/>
              <w:rPr>
                <w:b/>
                <w:bCs/>
                <w:color w:val="FFFFFF"/>
              </w:rPr>
            </w:pPr>
            <w:r w:rsidRPr="001368E0">
              <w:rPr>
                <w:b/>
                <w:bCs/>
                <w:color w:val="FFFFFF"/>
              </w:rPr>
              <w:t>SWOT – EDUCATION, EMPLOYMENT, RESEARCH</w:t>
            </w:r>
          </w:p>
        </w:tc>
      </w:tr>
      <w:tr w:rsidR="003425A9" w:rsidRPr="001368E0" w:rsidTr="001368E0">
        <w:trPr>
          <w:trHeight w:val="280"/>
        </w:trPr>
        <w:tc>
          <w:tcPr>
            <w:tcW w:w="4077" w:type="dxa"/>
            <w:tcBorders>
              <w:right w:val="single" w:sz="4" w:space="0" w:color="983620"/>
            </w:tcBorders>
            <w:shd w:val="clear" w:color="auto" w:fill="A6A6A6"/>
            <w:noWrap/>
            <w:hideMark/>
          </w:tcPr>
          <w:p w:rsidR="00EC0F3B" w:rsidRPr="001368E0" w:rsidRDefault="00EC0F3B" w:rsidP="001368E0">
            <w:pPr>
              <w:spacing w:after="0" w:line="240" w:lineRule="auto"/>
              <w:jc w:val="center"/>
              <w:rPr>
                <w:b/>
                <w:bCs/>
                <w:color w:val="000000"/>
                <w:sz w:val="22"/>
                <w:szCs w:val="22"/>
              </w:rPr>
            </w:pPr>
            <w:r w:rsidRPr="001368E0">
              <w:rPr>
                <w:b/>
                <w:bCs/>
                <w:color w:val="000000"/>
                <w:sz w:val="22"/>
                <w:szCs w:val="22"/>
              </w:rPr>
              <w:t>STRENGTHS</w:t>
            </w:r>
          </w:p>
        </w:tc>
        <w:tc>
          <w:tcPr>
            <w:tcW w:w="6946" w:type="dxa"/>
            <w:tcBorders>
              <w:left w:val="single" w:sz="4" w:space="0" w:color="983620"/>
              <w:right w:val="single" w:sz="18" w:space="0" w:color="983620"/>
            </w:tcBorders>
            <w:shd w:val="clear" w:color="auto" w:fill="A6A6A6"/>
            <w:hideMark/>
          </w:tcPr>
          <w:p w:rsidR="00EC0F3B" w:rsidRPr="001368E0" w:rsidRDefault="00EC0F3B" w:rsidP="001368E0">
            <w:pPr>
              <w:spacing w:after="0" w:line="240" w:lineRule="auto"/>
              <w:jc w:val="center"/>
              <w:rPr>
                <w:b/>
                <w:color w:val="000000"/>
                <w:sz w:val="22"/>
                <w:szCs w:val="22"/>
              </w:rPr>
            </w:pPr>
            <w:r w:rsidRPr="001368E0">
              <w:rPr>
                <w:b/>
                <w:color w:val="000000"/>
                <w:sz w:val="22"/>
                <w:szCs w:val="22"/>
              </w:rPr>
              <w:t>WEAKNESSES</w:t>
            </w:r>
          </w:p>
        </w:tc>
      </w:tr>
      <w:tr w:rsidR="003425A9" w:rsidRPr="001368E0" w:rsidTr="001368E0">
        <w:trPr>
          <w:trHeight w:val="1120"/>
        </w:trPr>
        <w:tc>
          <w:tcPr>
            <w:tcW w:w="4077" w:type="dxa"/>
            <w:tcBorders>
              <w:right w:val="single" w:sz="4" w:space="0" w:color="983620"/>
            </w:tcBorders>
            <w:shd w:val="clear" w:color="auto" w:fill="E6E6E6"/>
            <w:hideMark/>
          </w:tcPr>
          <w:tbl>
            <w:tblPr>
              <w:tblW w:w="3828" w:type="dxa"/>
              <w:tblLayout w:type="fixed"/>
              <w:tblCellMar>
                <w:left w:w="70" w:type="dxa"/>
                <w:right w:w="70" w:type="dxa"/>
              </w:tblCellMar>
              <w:tblLook w:val="04A0"/>
            </w:tblPr>
            <w:tblGrid>
              <w:gridCol w:w="3828"/>
            </w:tblGrid>
            <w:tr w:rsidR="00EC0F3B" w:rsidRPr="001368E0" w:rsidTr="003425A9">
              <w:trPr>
                <w:trHeight w:val="3640"/>
              </w:trPr>
              <w:tc>
                <w:tcPr>
                  <w:tcW w:w="3828" w:type="dxa"/>
                  <w:tcBorders>
                    <w:top w:val="nil"/>
                    <w:left w:val="nil"/>
                    <w:right w:val="nil"/>
                  </w:tcBorders>
                  <w:shd w:val="clear" w:color="auto" w:fill="auto"/>
                  <w:vAlign w:val="center"/>
                  <w:hideMark/>
                </w:tcPr>
                <w:p w:rsidR="00EC0F3B" w:rsidRPr="001368E0" w:rsidRDefault="00EC0F3B" w:rsidP="0028075A">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High level of education of BSB worforce overall</w:t>
                  </w:r>
                </w:p>
                <w:p w:rsidR="00EC0F3B" w:rsidRPr="001368E0" w:rsidRDefault="00EC0F3B" w:rsidP="0028075A">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Gap in average wages among the BSB areas has considerably reduced</w:t>
                  </w:r>
                </w:p>
                <w:p w:rsidR="00EC0F3B" w:rsidRPr="001368E0" w:rsidRDefault="00EC0F3B" w:rsidP="0028075A">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Large numbers of universities and research centers</w:t>
                  </w:r>
                </w:p>
                <w:p w:rsidR="00EC0F3B" w:rsidRPr="001368E0" w:rsidRDefault="00EC0F3B" w:rsidP="0028075A">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 xml:space="preserve">Collaborative work on marine environment notably involves 43 research centres and universities in Black Sea riparian countries </w:t>
                  </w:r>
                </w:p>
              </w:tc>
            </w:tr>
          </w:tbl>
          <w:p w:rsidR="00EC0F3B" w:rsidRPr="001368E0" w:rsidRDefault="00EC0F3B" w:rsidP="001368E0">
            <w:pPr>
              <w:pStyle w:val="ListParagraph"/>
              <w:spacing w:after="0" w:line="240" w:lineRule="auto"/>
              <w:rPr>
                <w:bCs/>
                <w:color w:val="000000"/>
                <w:sz w:val="22"/>
                <w:szCs w:val="22"/>
                <w:lang w:val="en-GB"/>
              </w:rPr>
            </w:pPr>
          </w:p>
        </w:tc>
        <w:tc>
          <w:tcPr>
            <w:tcW w:w="6946" w:type="dxa"/>
            <w:tcBorders>
              <w:left w:val="single" w:sz="4" w:space="0" w:color="983620"/>
            </w:tcBorders>
            <w:shd w:val="clear" w:color="auto" w:fill="E6E6E6"/>
            <w:hideMark/>
          </w:tcPr>
          <w:tbl>
            <w:tblPr>
              <w:tblW w:w="6696" w:type="dxa"/>
              <w:tblLayout w:type="fixed"/>
              <w:tblCellMar>
                <w:left w:w="70" w:type="dxa"/>
                <w:right w:w="70" w:type="dxa"/>
              </w:tblCellMar>
              <w:tblLook w:val="04A0"/>
            </w:tblPr>
            <w:tblGrid>
              <w:gridCol w:w="6696"/>
            </w:tblGrid>
            <w:tr w:rsidR="00EC0F3B" w:rsidRPr="001368E0" w:rsidTr="000C49D0">
              <w:trPr>
                <w:trHeight w:val="4024"/>
              </w:trPr>
              <w:tc>
                <w:tcPr>
                  <w:tcW w:w="6696" w:type="dxa"/>
                  <w:tcBorders>
                    <w:top w:val="nil"/>
                    <w:right w:val="nil"/>
                  </w:tcBorders>
                  <w:shd w:val="clear" w:color="auto" w:fill="auto"/>
                  <w:vAlign w:val="center"/>
                  <w:hideMark/>
                </w:tcPr>
                <w:p w:rsidR="00EC0F3B" w:rsidRPr="001368E0" w:rsidRDefault="00EC0F3B" w:rsidP="0028075A">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 xml:space="preserve">Great regional disparities of levels of education </w:t>
                  </w:r>
                </w:p>
                <w:p w:rsidR="00EC0F3B" w:rsidRPr="001368E0" w:rsidRDefault="00EC0F3B" w:rsidP="0028075A">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 xml:space="preserve">Education systems challenge </w:t>
                  </w:r>
                  <w:r w:rsidR="00E516C4" w:rsidRPr="001368E0">
                    <w:rPr>
                      <w:rFonts w:eastAsia="Times New Roman"/>
                      <w:color w:val="000000"/>
                      <w:sz w:val="22"/>
                      <w:szCs w:val="22"/>
                      <w:lang w:val="en-GB"/>
                    </w:rPr>
                    <w:t>to adapt</w:t>
                  </w:r>
                  <w:r w:rsidRPr="001368E0">
                    <w:rPr>
                      <w:rFonts w:eastAsia="Times New Roman"/>
                      <w:color w:val="000000"/>
                      <w:sz w:val="22"/>
                      <w:szCs w:val="22"/>
                      <w:lang w:val="en-GB"/>
                    </w:rPr>
                    <w:t xml:space="preserve"> their training to match the changing needs of the economy </w:t>
                  </w:r>
                </w:p>
                <w:p w:rsidR="00EC0F3B" w:rsidRPr="001368E0" w:rsidRDefault="00EC0F3B" w:rsidP="0028075A">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Wage and salary earners only represent around 40% of all workers in Georgia and Azerbaijan (majority is self-employed, mostly in low-productive agriculture or small-scale informal activities)</w:t>
                  </w:r>
                </w:p>
                <w:p w:rsidR="00EC0F3B" w:rsidRPr="001368E0" w:rsidRDefault="00EC0F3B" w:rsidP="0028075A">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Armenia, Georgia, both Greek regions and the Bulgarian region of Zeveroiztochen h</w:t>
                  </w:r>
                  <w:r w:rsidR="00052CA2" w:rsidRPr="001368E0">
                    <w:rPr>
                      <w:rFonts w:eastAsia="Times New Roman"/>
                      <w:color w:val="000000"/>
                      <w:sz w:val="22"/>
                      <w:szCs w:val="22"/>
                      <w:lang w:val="en-GB"/>
                    </w:rPr>
                    <w:t xml:space="preserve">ave unemployment rates of above </w:t>
                  </w:r>
                  <w:r w:rsidRPr="001368E0">
                    <w:rPr>
                      <w:rFonts w:eastAsia="Times New Roman"/>
                      <w:color w:val="000000"/>
                      <w:sz w:val="22"/>
                      <w:szCs w:val="22"/>
                      <w:lang w:val="en-GB"/>
                    </w:rPr>
                    <w:t>15%</w:t>
                  </w:r>
                </w:p>
                <w:p w:rsidR="00EC0F3B" w:rsidRPr="001368E0" w:rsidRDefault="00EC0F3B" w:rsidP="0028075A">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Youth unemployment is a particularly acute issue, reaching 24% on average</w:t>
                  </w:r>
                </w:p>
                <w:p w:rsidR="00EC0F3B" w:rsidRPr="001368E0" w:rsidRDefault="00EC0F3B" w:rsidP="0028075A">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Female une</w:t>
                  </w:r>
                  <w:r w:rsidR="00052CA2" w:rsidRPr="001368E0">
                    <w:rPr>
                      <w:rFonts w:eastAsia="Times New Roman"/>
                      <w:color w:val="000000"/>
                      <w:sz w:val="22"/>
                      <w:szCs w:val="22"/>
                      <w:lang w:val="en-GB"/>
                    </w:rPr>
                    <w:t xml:space="preserve">mployment is higher in Armenia, </w:t>
                  </w:r>
                  <w:r w:rsidRPr="001368E0">
                    <w:rPr>
                      <w:rFonts w:eastAsia="Times New Roman"/>
                      <w:color w:val="000000"/>
                      <w:sz w:val="22"/>
                      <w:szCs w:val="22"/>
                      <w:lang w:val="en-GB"/>
                    </w:rPr>
                    <w:t>Azerbaijan, Greece and most Turkish regions</w:t>
                  </w:r>
                </w:p>
                <w:p w:rsidR="00EC0F3B" w:rsidRPr="001368E0" w:rsidRDefault="00EC0F3B" w:rsidP="0028075A">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Rather low research and development expenditures</w:t>
                  </w:r>
                </w:p>
              </w:tc>
            </w:tr>
          </w:tbl>
          <w:p w:rsidR="00EC0F3B" w:rsidRPr="001368E0" w:rsidRDefault="00EC0F3B" w:rsidP="001368E0">
            <w:pPr>
              <w:pStyle w:val="ListParagraph"/>
              <w:spacing w:after="0" w:line="240" w:lineRule="auto"/>
              <w:rPr>
                <w:color w:val="000000"/>
                <w:sz w:val="22"/>
                <w:szCs w:val="22"/>
                <w:lang w:val="en-GB"/>
              </w:rPr>
            </w:pPr>
          </w:p>
        </w:tc>
      </w:tr>
      <w:tr w:rsidR="003425A9" w:rsidRPr="001368E0" w:rsidTr="001368E0">
        <w:trPr>
          <w:trHeight w:val="280"/>
        </w:trPr>
        <w:tc>
          <w:tcPr>
            <w:tcW w:w="4077" w:type="dxa"/>
            <w:tcBorders>
              <w:right w:val="single" w:sz="4" w:space="0" w:color="983620"/>
            </w:tcBorders>
            <w:shd w:val="clear" w:color="auto" w:fill="A6A6A6"/>
            <w:noWrap/>
            <w:hideMark/>
          </w:tcPr>
          <w:p w:rsidR="00EC0F3B" w:rsidRPr="001368E0" w:rsidRDefault="00EC0F3B" w:rsidP="001368E0">
            <w:pPr>
              <w:spacing w:after="0" w:line="240" w:lineRule="auto"/>
              <w:jc w:val="center"/>
              <w:rPr>
                <w:b/>
                <w:bCs/>
                <w:color w:val="000000"/>
                <w:sz w:val="22"/>
                <w:szCs w:val="22"/>
              </w:rPr>
            </w:pPr>
            <w:r w:rsidRPr="001368E0">
              <w:rPr>
                <w:b/>
                <w:bCs/>
                <w:color w:val="000000"/>
                <w:sz w:val="22"/>
                <w:szCs w:val="22"/>
              </w:rPr>
              <w:t>OPPORTUNITIES</w:t>
            </w:r>
          </w:p>
        </w:tc>
        <w:tc>
          <w:tcPr>
            <w:tcW w:w="6946" w:type="dxa"/>
            <w:tcBorders>
              <w:left w:val="single" w:sz="4" w:space="0" w:color="983620"/>
              <w:right w:val="single" w:sz="18" w:space="0" w:color="983620"/>
            </w:tcBorders>
            <w:shd w:val="clear" w:color="auto" w:fill="A6A6A6"/>
            <w:hideMark/>
          </w:tcPr>
          <w:p w:rsidR="00EC0F3B" w:rsidRPr="001368E0" w:rsidRDefault="00EC0F3B" w:rsidP="001368E0">
            <w:pPr>
              <w:spacing w:after="0" w:line="240" w:lineRule="auto"/>
              <w:jc w:val="center"/>
              <w:rPr>
                <w:b/>
                <w:color w:val="000000"/>
                <w:sz w:val="22"/>
                <w:szCs w:val="22"/>
              </w:rPr>
            </w:pPr>
            <w:r w:rsidRPr="001368E0">
              <w:rPr>
                <w:b/>
                <w:color w:val="000000"/>
                <w:sz w:val="22"/>
                <w:szCs w:val="22"/>
              </w:rPr>
              <w:t>THREATS</w:t>
            </w:r>
          </w:p>
        </w:tc>
      </w:tr>
      <w:tr w:rsidR="003425A9" w:rsidRPr="001368E0" w:rsidTr="001368E0">
        <w:trPr>
          <w:trHeight w:val="1076"/>
        </w:trPr>
        <w:tc>
          <w:tcPr>
            <w:tcW w:w="4077" w:type="dxa"/>
            <w:tcBorders>
              <w:right w:val="single" w:sz="4" w:space="0" w:color="983620"/>
            </w:tcBorders>
            <w:shd w:val="clear" w:color="auto" w:fill="E6E6E6"/>
            <w:hideMark/>
          </w:tcPr>
          <w:p w:rsidR="00EC0F3B" w:rsidRPr="001368E0" w:rsidRDefault="00824166" w:rsidP="001368E0">
            <w:pPr>
              <w:pStyle w:val="ListParagraph"/>
              <w:numPr>
                <w:ilvl w:val="0"/>
                <w:numId w:val="34"/>
              </w:numPr>
              <w:spacing w:after="120" w:line="240" w:lineRule="auto"/>
              <w:ind w:left="714" w:hanging="357"/>
              <w:rPr>
                <w:rFonts w:eastAsia="Times New Roman"/>
                <w:bCs/>
                <w:color w:val="000000"/>
                <w:sz w:val="22"/>
                <w:szCs w:val="22"/>
                <w:lang w:val="en-GB"/>
              </w:rPr>
            </w:pPr>
            <w:r w:rsidRPr="001368E0">
              <w:rPr>
                <w:rFonts w:eastAsia="Times New Roman"/>
                <w:bCs/>
                <w:color w:val="000000"/>
                <w:sz w:val="22"/>
                <w:szCs w:val="22"/>
                <w:lang w:val="en-GB"/>
              </w:rPr>
              <w:t>Research and networking in science and technology variety of European and Black Sea initiatives and organisations (especially in maritime, environmental, energy and transport areas)</w:t>
            </w:r>
          </w:p>
        </w:tc>
        <w:tc>
          <w:tcPr>
            <w:tcW w:w="6946" w:type="dxa"/>
            <w:tcBorders>
              <w:left w:val="single" w:sz="4" w:space="0" w:color="983620"/>
            </w:tcBorders>
            <w:shd w:val="clear" w:color="auto" w:fill="E6E6E6"/>
            <w:hideMark/>
          </w:tcPr>
          <w:p w:rsidR="00824166" w:rsidRPr="001368E0" w:rsidRDefault="00824166" w:rsidP="001368E0">
            <w:pPr>
              <w:pStyle w:val="ListParagraph"/>
              <w:numPr>
                <w:ilvl w:val="0"/>
                <w:numId w:val="34"/>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Brain drain from the region (incl. brain waste - highly educated migrants working in low-skill jobs)</w:t>
            </w:r>
          </w:p>
          <w:p w:rsidR="00EC0F3B" w:rsidRPr="001368E0" w:rsidRDefault="00EC0F3B" w:rsidP="001368E0">
            <w:pPr>
              <w:spacing w:after="0" w:line="240" w:lineRule="auto"/>
              <w:rPr>
                <w:color w:val="000000"/>
                <w:sz w:val="22"/>
                <w:szCs w:val="22"/>
                <w:lang w:val="en-GB"/>
              </w:rPr>
            </w:pPr>
          </w:p>
        </w:tc>
      </w:tr>
    </w:tbl>
    <w:p w:rsidR="00EC0F3B" w:rsidRPr="004B58D3" w:rsidRDefault="00EC0F3B" w:rsidP="00D16147">
      <w:pPr>
        <w:spacing w:before="120" w:after="0" w:line="252" w:lineRule="auto"/>
        <w:jc w:val="both"/>
        <w:rPr>
          <w:sz w:val="22"/>
          <w:szCs w:val="22"/>
          <w:lang w:val="en-GB"/>
        </w:rPr>
      </w:pPr>
    </w:p>
    <w:p w:rsidR="00D16147" w:rsidRPr="006E3288" w:rsidRDefault="00D16147" w:rsidP="006E3288">
      <w:pPr>
        <w:pStyle w:val="Heading3"/>
        <w:rPr>
          <w:b/>
          <w:sz w:val="28"/>
          <w:szCs w:val="28"/>
          <w:lang w:val="en-GB"/>
        </w:rPr>
      </w:pPr>
      <w:bookmarkStart w:id="38" w:name="_Toc246127432"/>
      <w:bookmarkStart w:id="39" w:name="_Toc288133436"/>
      <w:r w:rsidRPr="006E3288">
        <w:rPr>
          <w:b/>
          <w:sz w:val="28"/>
          <w:szCs w:val="28"/>
          <w:lang w:val="en-GB"/>
        </w:rPr>
        <w:t>Environment</w:t>
      </w:r>
      <w:bookmarkEnd w:id="38"/>
      <w:bookmarkEnd w:id="39"/>
    </w:p>
    <w:p w:rsidR="00D16147" w:rsidRPr="000D36B6" w:rsidRDefault="00D16147" w:rsidP="000D36B6">
      <w:pPr>
        <w:spacing w:before="240" w:after="120"/>
        <w:rPr>
          <w:b/>
          <w:lang w:val="en-GB"/>
        </w:rPr>
      </w:pPr>
      <w:bookmarkStart w:id="40" w:name="_Toc246127433"/>
      <w:r w:rsidRPr="000D36B6">
        <w:rPr>
          <w:b/>
          <w:lang w:val="en-GB"/>
        </w:rPr>
        <w:t>Overview of Black Sea Basin key environmental challenges</w:t>
      </w:r>
      <w:bookmarkEnd w:id="40"/>
      <w:r w:rsidRPr="000D36B6">
        <w:rPr>
          <w:b/>
          <w:lang w:val="en-GB"/>
        </w:rPr>
        <w:t xml:space="preserve"> </w:t>
      </w:r>
    </w:p>
    <w:p w:rsidR="00D16147" w:rsidRPr="004B58D3" w:rsidRDefault="00D16147" w:rsidP="00D16147">
      <w:pPr>
        <w:spacing w:before="120" w:after="0" w:line="252" w:lineRule="auto"/>
        <w:jc w:val="both"/>
        <w:rPr>
          <w:sz w:val="22"/>
          <w:szCs w:val="22"/>
          <w:lang w:val="en-GB"/>
        </w:rPr>
      </w:pPr>
      <w:r w:rsidRPr="004B58D3">
        <w:rPr>
          <w:sz w:val="22"/>
          <w:szCs w:val="22"/>
          <w:lang w:val="en-GB"/>
        </w:rPr>
        <w:t>The Black Sea Basin environment is of paramount importance both in terms of regional development and of quality of life for its inhabitants. The Black Sea ecosystem is known to be rich and diverse but is also considered to be vulnerable as it experiences notably significant pressure from land-based pollution, through its large catchment area including the Azov Sea and three main river basins, the Danube, the Dnipro and the Don.</w:t>
      </w:r>
    </w:p>
    <w:p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Inflows make the Black Sea very prone to eutrophication, a phenomenon made worse by the urban (sewage) and mostly agricultural discharges carried by the rivers and by direct discharges from numerable coastal ports, industrial zones and urban areas. A semi-closed sea, it </w:t>
      </w:r>
      <w:r>
        <w:rPr>
          <w:sz w:val="22"/>
          <w:szCs w:val="22"/>
          <w:lang w:val="en-GB"/>
        </w:rPr>
        <w:t>connects</w:t>
      </w:r>
      <w:r w:rsidRPr="004B58D3">
        <w:rPr>
          <w:sz w:val="22"/>
          <w:szCs w:val="22"/>
          <w:lang w:val="en-GB"/>
        </w:rPr>
        <w:t xml:space="preserve"> with the oceans </w:t>
      </w:r>
      <w:r>
        <w:rPr>
          <w:sz w:val="22"/>
          <w:szCs w:val="22"/>
          <w:lang w:val="en-GB"/>
        </w:rPr>
        <w:t xml:space="preserve">only </w:t>
      </w:r>
      <w:r w:rsidRPr="004B58D3">
        <w:rPr>
          <w:sz w:val="22"/>
          <w:szCs w:val="22"/>
          <w:lang w:val="en-GB"/>
        </w:rPr>
        <w:t xml:space="preserve">through the Bosporus and </w:t>
      </w:r>
      <w:r>
        <w:rPr>
          <w:sz w:val="22"/>
          <w:szCs w:val="22"/>
          <w:lang w:val="en-GB"/>
        </w:rPr>
        <w:t>T</w:t>
      </w:r>
      <w:r w:rsidRPr="004B58D3">
        <w:rPr>
          <w:sz w:val="22"/>
          <w:szCs w:val="22"/>
          <w:lang w:val="en-GB"/>
        </w:rPr>
        <w:t xml:space="preserve">he Dardanelles which explains its low renewal rate. In the coming years nutrient pollution is likely to continue to decrease in the Danube Basin due to the implementation of EU environmental policy, but the Don and Dnipro may continue to carry heavy nutrient loads into the southwestern part of the coast, leading to the whole Black Sea ecosystem being further endangered if necessary efforts and cooperation are not undertaken at the level of the Black Sea Basin overall (see </w:t>
      </w:r>
      <w:r w:rsidR="002669E1">
        <w:rPr>
          <w:sz w:val="22"/>
          <w:szCs w:val="22"/>
          <w:lang w:val="en-GB"/>
        </w:rPr>
        <w:t>figure 16</w:t>
      </w:r>
      <w:r w:rsidRPr="004B58D3">
        <w:rPr>
          <w:sz w:val="22"/>
          <w:szCs w:val="22"/>
          <w:lang w:val="en-GB"/>
        </w:rPr>
        <w:t xml:space="preserve"> below)</w:t>
      </w:r>
      <w:r w:rsidRPr="006E06D1">
        <w:rPr>
          <w:rStyle w:val="EndnoteReference"/>
          <w:sz w:val="22"/>
          <w:szCs w:val="22"/>
        </w:rPr>
        <w:endnoteReference w:id="64"/>
      </w:r>
      <w:r w:rsidRPr="004B58D3">
        <w:rPr>
          <w:sz w:val="22"/>
          <w:szCs w:val="22"/>
          <w:lang w:val="en-GB"/>
        </w:rPr>
        <w:t>.</w:t>
      </w:r>
    </w:p>
    <w:p w:rsidR="00D16147" w:rsidRDefault="006102F6" w:rsidP="00D16147">
      <w:pPr>
        <w:keepNext/>
        <w:spacing w:before="120" w:after="0" w:line="252" w:lineRule="auto"/>
      </w:pPr>
      <w:r>
        <w:rPr>
          <w:noProof/>
          <w:lang w:val="ro-RO" w:eastAsia="ro-RO"/>
        </w:rPr>
        <w:drawing>
          <wp:inline distT="0" distB="0" distL="0" distR="0">
            <wp:extent cx="5372100" cy="4524375"/>
            <wp:effectExtent l="19050" t="0" r="0" b="0"/>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8"/>
                    <a:srcRect/>
                    <a:stretch>
                      <a:fillRect/>
                    </a:stretch>
                  </pic:blipFill>
                  <pic:spPr bwMode="auto">
                    <a:xfrm>
                      <a:off x="0" y="0"/>
                      <a:ext cx="5372100" cy="4524375"/>
                    </a:xfrm>
                    <a:prstGeom prst="rect">
                      <a:avLst/>
                    </a:prstGeom>
                    <a:noFill/>
                    <a:ln w="9525">
                      <a:noFill/>
                      <a:miter lim="800000"/>
                      <a:headEnd/>
                      <a:tailEnd/>
                    </a:ln>
                  </pic:spPr>
                </pic:pic>
              </a:graphicData>
            </a:graphic>
          </wp:inline>
        </w:drawing>
      </w:r>
    </w:p>
    <w:p w:rsidR="00D16147" w:rsidRPr="004B58D3" w:rsidRDefault="00D16147" w:rsidP="008F0CC2">
      <w:pPr>
        <w:pStyle w:val="Caption"/>
        <w:spacing w:before="120" w:after="0" w:line="252" w:lineRule="auto"/>
        <w:jc w:val="left"/>
        <w:rPr>
          <w:sz w:val="22"/>
          <w:szCs w:val="22"/>
          <w:lang w:val="en-GB"/>
        </w:rPr>
      </w:pPr>
      <w:r w:rsidRPr="004B58D3">
        <w:rPr>
          <w:sz w:val="22"/>
          <w:szCs w:val="22"/>
          <w:lang w:val="en-GB"/>
        </w:rPr>
        <w:t xml:space="preserve">Figure </w:t>
      </w:r>
      <w:r w:rsidR="00957F9B">
        <w:rPr>
          <w:sz w:val="22"/>
          <w:szCs w:val="22"/>
          <w:lang w:val="en-GB"/>
        </w:rPr>
        <w:t>16</w:t>
      </w:r>
      <w:r w:rsidRPr="004B58D3">
        <w:rPr>
          <w:sz w:val="22"/>
          <w:szCs w:val="22"/>
          <w:lang w:val="en-GB"/>
        </w:rPr>
        <w:t>. Overv</w:t>
      </w:r>
      <w:r>
        <w:rPr>
          <w:sz w:val="22"/>
          <w:szCs w:val="22"/>
          <w:lang w:val="en-GB"/>
        </w:rPr>
        <w:t>iew of Black Sea drainage basin main sources of pollution</w:t>
      </w:r>
      <w:r w:rsidRPr="004B58D3">
        <w:rPr>
          <w:sz w:val="22"/>
          <w:szCs w:val="22"/>
          <w:lang w:val="en-GB"/>
        </w:rPr>
        <w:t xml:space="preserve"> 2005</w:t>
      </w:r>
      <w:r w:rsidRPr="005A12B9">
        <w:rPr>
          <w:vertAlign w:val="superscript"/>
          <w:lang w:val="en-GB"/>
        </w:rPr>
        <w:endnoteReference w:id="65"/>
      </w:r>
    </w:p>
    <w:p w:rsidR="00D16147" w:rsidRPr="004B58D3" w:rsidRDefault="00D16147" w:rsidP="008F0CC2">
      <w:pPr>
        <w:spacing w:before="360" w:after="0" w:line="252" w:lineRule="auto"/>
        <w:jc w:val="both"/>
        <w:rPr>
          <w:sz w:val="22"/>
          <w:szCs w:val="22"/>
          <w:lang w:val="en-GB"/>
        </w:rPr>
      </w:pPr>
      <w:r w:rsidRPr="004B58D3">
        <w:rPr>
          <w:sz w:val="22"/>
          <w:szCs w:val="22"/>
          <w:lang w:val="en-GB"/>
        </w:rPr>
        <w:t xml:space="preserve">In addition to eutrophication, other high priority transboundary ecological problems around the Black Sea include the decline in living resources (mostly fish stocks), chemical pollution, biodiversity change, habitat destruction, invasion by alien species, climate-change impacts, and mesoscale variability in the circulation system. Oil pollution enters the sea as a result of operational discharges by vessels and due to accidents as well as through land-based sources, and appears to be an ongoing concern in particular along major shipping routes and ports </w:t>
      </w:r>
      <w:r w:rsidR="008D760C">
        <w:rPr>
          <w:sz w:val="22"/>
          <w:szCs w:val="22"/>
          <w:lang w:val="en-GB"/>
        </w:rPr>
        <w:t>(see figure 17</w:t>
      </w:r>
      <w:r w:rsidRPr="004B58D3">
        <w:rPr>
          <w:sz w:val="22"/>
          <w:szCs w:val="22"/>
          <w:lang w:val="en-GB"/>
        </w:rPr>
        <w:t xml:space="preserve"> below). Discharge of insufficiently treated sewage introduced microbiological contaminants into the Black Sea and posed a threat to human health, development of sustainable tourism a</w:t>
      </w:r>
      <w:r w:rsidR="008D760C">
        <w:rPr>
          <w:sz w:val="22"/>
          <w:szCs w:val="22"/>
          <w:lang w:val="en-GB"/>
        </w:rPr>
        <w:t>nd aquaculture. The Black Sea i</w:t>
      </w:r>
      <w:r w:rsidRPr="004B58D3">
        <w:rPr>
          <w:sz w:val="22"/>
          <w:szCs w:val="22"/>
          <w:lang w:val="en-GB"/>
        </w:rPr>
        <w:t>s also particularly vulnerable to solid wastes dumped into the sea from ships and coastal towns (eventually washed ashore) and some beaches have had a high accumulation of garbage presenting a risk to marine animals and humans</w:t>
      </w:r>
      <w:r w:rsidRPr="006E06D1">
        <w:rPr>
          <w:rStyle w:val="EndnoteReference"/>
          <w:sz w:val="22"/>
          <w:szCs w:val="22"/>
        </w:rPr>
        <w:endnoteReference w:id="66"/>
      </w:r>
      <w:r w:rsidRPr="004B58D3">
        <w:rPr>
          <w:sz w:val="22"/>
          <w:szCs w:val="22"/>
          <w:lang w:val="en-GB"/>
        </w:rPr>
        <w:t>.</w:t>
      </w:r>
    </w:p>
    <w:p w:rsidR="00D16147" w:rsidRDefault="006102F6" w:rsidP="00D16147">
      <w:pPr>
        <w:keepNext/>
        <w:widowControl w:val="0"/>
        <w:autoSpaceDE w:val="0"/>
        <w:autoSpaceDN w:val="0"/>
        <w:adjustRightInd w:val="0"/>
        <w:spacing w:before="120" w:after="0" w:line="252" w:lineRule="auto"/>
      </w:pPr>
      <w:r>
        <w:rPr>
          <w:rFonts w:ascii="Helvetica" w:hAnsi="Helvetica" w:cs="Helvetica"/>
          <w:noProof/>
          <w:lang w:val="ro-RO" w:eastAsia="ro-RO"/>
        </w:rPr>
        <w:drawing>
          <wp:inline distT="0" distB="0" distL="0" distR="0">
            <wp:extent cx="5372100" cy="3181350"/>
            <wp:effectExtent l="19050" t="0" r="0" b="0"/>
            <wp:docPr id="1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9"/>
                    <a:srcRect/>
                    <a:stretch>
                      <a:fillRect/>
                    </a:stretch>
                  </pic:blipFill>
                  <pic:spPr bwMode="auto">
                    <a:xfrm>
                      <a:off x="0" y="0"/>
                      <a:ext cx="5372100" cy="3181350"/>
                    </a:xfrm>
                    <a:prstGeom prst="rect">
                      <a:avLst/>
                    </a:prstGeom>
                    <a:noFill/>
                    <a:ln w="9525">
                      <a:noFill/>
                      <a:miter lim="800000"/>
                      <a:headEnd/>
                      <a:tailEnd/>
                    </a:ln>
                  </pic:spPr>
                </pic:pic>
              </a:graphicData>
            </a:graphic>
          </wp:inline>
        </w:drawing>
      </w:r>
    </w:p>
    <w:p w:rsidR="00D16147" w:rsidRPr="004B58D3" w:rsidRDefault="00D16147" w:rsidP="005A12B9">
      <w:pPr>
        <w:pStyle w:val="Caption"/>
        <w:spacing w:after="0"/>
        <w:jc w:val="left"/>
        <w:rPr>
          <w:sz w:val="22"/>
          <w:szCs w:val="22"/>
          <w:lang w:val="en-GB"/>
        </w:rPr>
      </w:pPr>
      <w:r w:rsidRPr="004B58D3">
        <w:rPr>
          <w:sz w:val="22"/>
          <w:szCs w:val="22"/>
          <w:lang w:val="en-GB"/>
        </w:rPr>
        <w:t xml:space="preserve">Figure </w:t>
      </w:r>
      <w:r w:rsidR="00957F9B">
        <w:rPr>
          <w:sz w:val="22"/>
          <w:szCs w:val="22"/>
          <w:lang w:val="en-GB"/>
        </w:rPr>
        <w:t>17</w:t>
      </w:r>
      <w:r w:rsidRPr="004B58D3">
        <w:rPr>
          <w:noProof/>
          <w:sz w:val="22"/>
          <w:szCs w:val="22"/>
          <w:lang w:val="en-GB"/>
        </w:rPr>
        <w:t>.</w:t>
      </w:r>
      <w:r w:rsidRPr="004B58D3">
        <w:rPr>
          <w:sz w:val="22"/>
          <w:szCs w:val="22"/>
          <w:lang w:val="en-GB"/>
        </w:rPr>
        <w:t xml:space="preserve"> Composite map of oil spills anomalies (illicit vessel discharges) in the Black Sea during 2000-2004</w:t>
      </w:r>
      <w:r>
        <w:rPr>
          <w:rStyle w:val="EndnoteReference"/>
          <w:sz w:val="22"/>
          <w:szCs w:val="22"/>
        </w:rPr>
        <w:endnoteReference w:id="67"/>
      </w:r>
      <w:r w:rsidRPr="004B58D3">
        <w:rPr>
          <w:sz w:val="22"/>
          <w:szCs w:val="22"/>
          <w:lang w:val="en-GB"/>
        </w:rPr>
        <w:t> : the darker areas signify the high anomaly regions</w:t>
      </w:r>
    </w:p>
    <w:p w:rsidR="00D16147" w:rsidRPr="004B58D3" w:rsidRDefault="00D16147" w:rsidP="000C01ED">
      <w:pPr>
        <w:spacing w:before="240" w:after="0" w:line="252" w:lineRule="auto"/>
        <w:jc w:val="both"/>
        <w:rPr>
          <w:rStyle w:val="A5"/>
          <w:sz w:val="22"/>
          <w:szCs w:val="22"/>
          <w:lang w:val="en-GB"/>
        </w:rPr>
      </w:pPr>
      <w:r w:rsidRPr="004B58D3">
        <w:rPr>
          <w:rStyle w:val="A5"/>
          <w:sz w:val="22"/>
          <w:szCs w:val="22"/>
          <w:lang w:val="en-GB"/>
        </w:rPr>
        <w:t>Policy coordination on a range of issues including the management of marine resources, integrated coastal zone management, accidental pollution, pollution from ships and from land, hazardous substances, waste dumping and atmospheric pollution is carried out by the Black Sea Commission</w:t>
      </w:r>
      <w:r w:rsidRPr="006E06D1">
        <w:rPr>
          <w:rStyle w:val="FootnoteReference"/>
          <w:rFonts w:cs="Utopia Std"/>
          <w:color w:val="000000"/>
          <w:sz w:val="22"/>
          <w:szCs w:val="22"/>
        </w:rPr>
        <w:footnoteReference w:id="39"/>
      </w:r>
      <w:r w:rsidRPr="004B58D3">
        <w:rPr>
          <w:rStyle w:val="A5"/>
          <w:sz w:val="22"/>
          <w:szCs w:val="22"/>
          <w:lang w:val="en-GB"/>
        </w:rPr>
        <w:t xml:space="preserve"> (BSC). The BSC also carries out monitoring of oil pollution (with support from the EU</w:t>
      </w:r>
      <w:r w:rsidRPr="006E06D1">
        <w:rPr>
          <w:rStyle w:val="FootnoteReference"/>
          <w:rFonts w:cs="Utopia Std"/>
          <w:color w:val="000000"/>
          <w:sz w:val="22"/>
          <w:szCs w:val="22"/>
        </w:rPr>
        <w:footnoteReference w:id="40"/>
      </w:r>
      <w:r w:rsidRPr="004B58D3">
        <w:rPr>
          <w:rStyle w:val="A5"/>
          <w:sz w:val="22"/>
          <w:szCs w:val="22"/>
          <w:lang w:val="en-GB"/>
        </w:rPr>
        <w:t>) and international practical exercises for oil spill preparedness</w:t>
      </w:r>
      <w:r w:rsidRPr="006E06D1">
        <w:rPr>
          <w:rStyle w:val="FootnoteReference"/>
          <w:rFonts w:cs="Utopia Std"/>
          <w:color w:val="000000"/>
          <w:sz w:val="22"/>
          <w:szCs w:val="22"/>
        </w:rPr>
        <w:footnoteReference w:id="41"/>
      </w:r>
      <w:r w:rsidRPr="004B58D3">
        <w:rPr>
          <w:rStyle w:val="A5"/>
          <w:sz w:val="22"/>
          <w:szCs w:val="22"/>
          <w:lang w:val="en-GB"/>
        </w:rPr>
        <w:t xml:space="preserve">. </w:t>
      </w:r>
    </w:p>
    <w:p w:rsidR="00093F8C" w:rsidRPr="00093F8C" w:rsidRDefault="00D16147" w:rsidP="000C01ED">
      <w:pPr>
        <w:spacing w:before="120" w:after="0" w:line="252" w:lineRule="auto"/>
        <w:jc w:val="both"/>
        <w:rPr>
          <w:rFonts w:cs="Utopia Std"/>
          <w:color w:val="000000"/>
          <w:sz w:val="22"/>
          <w:szCs w:val="22"/>
          <w:lang w:val="en-GB"/>
        </w:rPr>
      </w:pPr>
      <w:r w:rsidRPr="004B58D3">
        <w:rPr>
          <w:rStyle w:val="A5"/>
          <w:sz w:val="22"/>
          <w:szCs w:val="22"/>
          <w:lang w:val="en-GB"/>
        </w:rPr>
        <w:t>The</w:t>
      </w:r>
      <w:r w:rsidRPr="004B58D3">
        <w:rPr>
          <w:sz w:val="22"/>
          <w:szCs w:val="22"/>
          <w:lang w:val="en-GB"/>
        </w:rPr>
        <w:t xml:space="preserve"> importance of the environnement as a key challenge for the Black Sea Basin cooperation area is further emphasized by the Environnement Partnership of the Black Sea Synergy launched in March 2010.</w:t>
      </w:r>
      <w:bookmarkStart w:id="41" w:name="_Toc246127434"/>
    </w:p>
    <w:p w:rsidR="00D16147" w:rsidRPr="00093F8C" w:rsidRDefault="00D16147" w:rsidP="000D36B6">
      <w:pPr>
        <w:spacing w:before="240" w:after="120"/>
        <w:rPr>
          <w:b/>
          <w:lang w:val="en-GB"/>
        </w:rPr>
      </w:pPr>
      <w:r w:rsidRPr="00093F8C">
        <w:rPr>
          <w:b/>
          <w:lang w:val="en-GB"/>
        </w:rPr>
        <w:t>Protected natural areas</w:t>
      </w:r>
      <w:bookmarkEnd w:id="41"/>
      <w:r w:rsidRPr="00093F8C">
        <w:rPr>
          <w:b/>
          <w:lang w:val="en-GB"/>
        </w:rPr>
        <w:t xml:space="preserve"> </w:t>
      </w:r>
    </w:p>
    <w:p w:rsidR="00D16147" w:rsidRPr="006E06D1" w:rsidRDefault="00D16147" w:rsidP="00D16147">
      <w:pPr>
        <w:spacing w:after="120" w:line="252" w:lineRule="auto"/>
        <w:jc w:val="both"/>
        <w:rPr>
          <w:sz w:val="22"/>
          <w:szCs w:val="22"/>
          <w:lang w:val="en-US"/>
        </w:rPr>
      </w:pPr>
      <w:r w:rsidRPr="004B58D3">
        <w:rPr>
          <w:rStyle w:val="A5"/>
          <w:sz w:val="22"/>
          <w:szCs w:val="22"/>
          <w:lang w:val="en-GB"/>
        </w:rPr>
        <w:t>There are more than twenty nature reserves in the Black S</w:t>
      </w:r>
      <w:r w:rsidR="009E1F96">
        <w:rPr>
          <w:rStyle w:val="A5"/>
          <w:sz w:val="22"/>
          <w:szCs w:val="22"/>
          <w:lang w:val="en-GB"/>
        </w:rPr>
        <w:t>ea and eight in the Sea of Azov. T</w:t>
      </w:r>
      <w:r w:rsidRPr="004B58D3">
        <w:rPr>
          <w:rStyle w:val="A5"/>
          <w:sz w:val="22"/>
          <w:szCs w:val="22"/>
          <w:lang w:val="en-GB"/>
        </w:rPr>
        <w:t xml:space="preserve">hese have different status at local, national and international levels </w:t>
      </w:r>
      <w:r w:rsidR="009E1F96">
        <w:rPr>
          <w:rStyle w:val="A5"/>
          <w:sz w:val="22"/>
          <w:szCs w:val="22"/>
          <w:lang w:val="en-GB"/>
        </w:rPr>
        <w:t>(see figure 18</w:t>
      </w:r>
      <w:r w:rsidRPr="004B58D3">
        <w:rPr>
          <w:rStyle w:val="A5"/>
          <w:sz w:val="22"/>
          <w:szCs w:val="22"/>
          <w:lang w:val="en-GB"/>
        </w:rPr>
        <w:t xml:space="preserve"> below). The four UNESCO biosphere reserves of international status protected by identical legislation are Kamchia (Bulgaria), Chernomorsky (Ukraine), Danube Delta (Romania) and Dunaisky (Ukraine). All Black Sea countries have ratified the Ramsar Convention on Wetlands of International Importance</w:t>
      </w:r>
      <w:r>
        <w:rPr>
          <w:rStyle w:val="A5"/>
          <w:sz w:val="22"/>
          <w:szCs w:val="22"/>
          <w:lang w:val="en-GB"/>
        </w:rPr>
        <w:t xml:space="preserve"> and</w:t>
      </w:r>
      <w:r w:rsidRPr="004B58D3">
        <w:rPr>
          <w:rStyle w:val="A5"/>
          <w:sz w:val="22"/>
          <w:szCs w:val="22"/>
          <w:lang w:val="en-GB"/>
        </w:rPr>
        <w:t xml:space="preserve"> the largest protected area of this kind in the coastal zone of the sea is in Ukraine</w:t>
      </w:r>
      <w:r w:rsidRPr="006E06D1">
        <w:rPr>
          <w:rStyle w:val="A5"/>
          <w:sz w:val="22"/>
          <w:szCs w:val="22"/>
          <w:vertAlign w:val="superscript"/>
        </w:rPr>
        <w:endnoteReference w:id="68"/>
      </w:r>
      <w:r w:rsidRPr="004B58D3">
        <w:rPr>
          <w:rStyle w:val="A5"/>
          <w:sz w:val="22"/>
          <w:szCs w:val="22"/>
          <w:lang w:val="en-GB"/>
        </w:rPr>
        <w:t>.</w:t>
      </w:r>
    </w:p>
    <w:tbl>
      <w:tblPr>
        <w:tblW w:w="0" w:type="auto"/>
        <w:tblLook w:val="04A0"/>
      </w:tblPr>
      <w:tblGrid>
        <w:gridCol w:w="7806"/>
        <w:gridCol w:w="2346"/>
      </w:tblGrid>
      <w:tr w:rsidR="00D16147" w:rsidRPr="001368E0" w:rsidTr="001368E0">
        <w:tc>
          <w:tcPr>
            <w:tcW w:w="7515" w:type="dxa"/>
            <w:shd w:val="clear" w:color="auto" w:fill="auto"/>
          </w:tcPr>
          <w:p w:rsidR="00D16147" w:rsidRPr="001368E0" w:rsidRDefault="006102F6" w:rsidP="001368E0">
            <w:pPr>
              <w:spacing w:before="120" w:after="0" w:line="252" w:lineRule="auto"/>
            </w:pPr>
            <w:r>
              <w:rPr>
                <w:noProof/>
                <w:lang w:val="ro-RO" w:eastAsia="ro-RO"/>
              </w:rPr>
              <w:drawing>
                <wp:inline distT="0" distB="0" distL="0" distR="0">
                  <wp:extent cx="4800600" cy="2486025"/>
                  <wp:effectExtent l="19050" t="0" r="0" b="0"/>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0"/>
                          <a:srcRect/>
                          <a:stretch>
                            <a:fillRect/>
                          </a:stretch>
                        </pic:blipFill>
                        <pic:spPr bwMode="auto">
                          <a:xfrm>
                            <a:off x="0" y="0"/>
                            <a:ext cx="4800600" cy="2486025"/>
                          </a:xfrm>
                          <a:prstGeom prst="rect">
                            <a:avLst/>
                          </a:prstGeom>
                          <a:noFill/>
                          <a:ln w="9525">
                            <a:noFill/>
                            <a:miter lim="800000"/>
                            <a:headEnd/>
                            <a:tailEnd/>
                          </a:ln>
                        </pic:spPr>
                      </pic:pic>
                    </a:graphicData>
                  </a:graphic>
                </wp:inline>
              </w:drawing>
            </w:r>
          </w:p>
        </w:tc>
        <w:tc>
          <w:tcPr>
            <w:tcW w:w="2061" w:type="dxa"/>
            <w:shd w:val="clear" w:color="auto" w:fill="auto"/>
          </w:tcPr>
          <w:p w:rsidR="00D16147" w:rsidRPr="001368E0" w:rsidRDefault="006102F6" w:rsidP="001368E0">
            <w:pPr>
              <w:spacing w:before="120" w:after="0" w:line="252" w:lineRule="auto"/>
            </w:pPr>
            <w:r>
              <w:rPr>
                <w:noProof/>
                <w:lang w:val="ro-RO" w:eastAsia="ro-RO"/>
              </w:rPr>
              <w:drawing>
                <wp:inline distT="0" distB="0" distL="0" distR="0">
                  <wp:extent cx="1323975" cy="2266950"/>
                  <wp:effectExtent l="19050" t="0" r="9525" b="0"/>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1"/>
                          <a:srcRect/>
                          <a:stretch>
                            <a:fillRect/>
                          </a:stretch>
                        </pic:blipFill>
                        <pic:spPr bwMode="auto">
                          <a:xfrm>
                            <a:off x="0" y="0"/>
                            <a:ext cx="1323975" cy="2266950"/>
                          </a:xfrm>
                          <a:prstGeom prst="rect">
                            <a:avLst/>
                          </a:prstGeom>
                          <a:noFill/>
                          <a:ln w="9525">
                            <a:noFill/>
                            <a:miter lim="800000"/>
                            <a:headEnd/>
                            <a:tailEnd/>
                          </a:ln>
                        </pic:spPr>
                      </pic:pic>
                    </a:graphicData>
                  </a:graphic>
                </wp:inline>
              </w:drawing>
            </w:r>
          </w:p>
        </w:tc>
      </w:tr>
    </w:tbl>
    <w:p w:rsidR="00D16147" w:rsidRPr="004B58D3"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957F9B">
        <w:rPr>
          <w:sz w:val="22"/>
          <w:szCs w:val="22"/>
          <w:lang w:val="en-GB"/>
        </w:rPr>
        <w:t>18</w:t>
      </w:r>
      <w:r w:rsidRPr="004B58D3">
        <w:rPr>
          <w:noProof/>
          <w:sz w:val="22"/>
          <w:szCs w:val="22"/>
          <w:lang w:val="en-GB"/>
        </w:rPr>
        <w:t>.</w:t>
      </w:r>
      <w:r w:rsidRPr="004B58D3">
        <w:rPr>
          <w:sz w:val="22"/>
          <w:szCs w:val="22"/>
          <w:lang w:val="en-GB"/>
        </w:rPr>
        <w:t xml:space="preserve"> International nature protected areas in the Black Sea, compiled by European Environment Agency</w:t>
      </w:r>
      <w:r>
        <w:rPr>
          <w:rStyle w:val="EndnoteReference"/>
          <w:sz w:val="22"/>
          <w:szCs w:val="22"/>
        </w:rPr>
        <w:endnoteReference w:id="69"/>
      </w:r>
      <w:r w:rsidRPr="004B58D3">
        <w:rPr>
          <w:sz w:val="22"/>
          <w:szCs w:val="22"/>
          <w:lang w:val="en-GB"/>
        </w:rPr>
        <w:t xml:space="preserve"> </w:t>
      </w:r>
    </w:p>
    <w:p w:rsidR="00D16147" w:rsidRPr="004B58D3" w:rsidRDefault="00D16147" w:rsidP="004B2E04">
      <w:pPr>
        <w:spacing w:before="240" w:after="0" w:line="252" w:lineRule="auto"/>
        <w:jc w:val="both"/>
        <w:rPr>
          <w:rStyle w:val="A5"/>
          <w:sz w:val="22"/>
          <w:szCs w:val="22"/>
          <w:lang w:val="en-GB"/>
        </w:rPr>
      </w:pPr>
      <w:r w:rsidRPr="004B58D3">
        <w:rPr>
          <w:rStyle w:val="A5"/>
          <w:sz w:val="22"/>
          <w:szCs w:val="22"/>
          <w:lang w:val="en-GB"/>
        </w:rPr>
        <w:t>The overarching international framework for cooperation on protected areas remains the Convention on Biological Diversity and notably the Convention’s Programme of Work on Protected Areas. The ‘Environment for Europe’ process within UNECE</w:t>
      </w:r>
      <w:r>
        <w:rPr>
          <w:rStyle w:val="EndnoteReference"/>
          <w:rFonts w:cs="Utopia Std"/>
          <w:color w:val="000000"/>
          <w:sz w:val="22"/>
          <w:szCs w:val="22"/>
        </w:rPr>
        <w:endnoteReference w:id="70"/>
      </w:r>
      <w:r w:rsidRPr="004B58D3">
        <w:rPr>
          <w:rStyle w:val="A5"/>
          <w:sz w:val="22"/>
          <w:szCs w:val="22"/>
          <w:lang w:val="en-GB"/>
        </w:rPr>
        <w:t xml:space="preserve"> has been promoting integrated networks of protected areas towards the establishment of a Pan-European Ecological Network, which is being implemented in the EU via the ‘Natura 2000’ network and promoted in the other countries around the Black Sea through the ‘Emerald Network’</w:t>
      </w:r>
      <w:r w:rsidRPr="006E06D1">
        <w:rPr>
          <w:rStyle w:val="FootnoteReference"/>
          <w:rFonts w:cs="Utopia Std"/>
          <w:color w:val="000000"/>
          <w:sz w:val="22"/>
          <w:szCs w:val="22"/>
        </w:rPr>
        <w:footnoteReference w:id="42"/>
      </w:r>
      <w:r w:rsidRPr="004B58D3">
        <w:rPr>
          <w:rStyle w:val="A5"/>
          <w:sz w:val="22"/>
          <w:szCs w:val="22"/>
          <w:lang w:val="en-GB"/>
        </w:rPr>
        <w:t>. In addition to this global framework, the Black Sea Environment Programme</w:t>
      </w:r>
      <w:r w:rsidRPr="006E06D1">
        <w:rPr>
          <w:rStyle w:val="FootnoteReference"/>
          <w:rFonts w:cs="Utopia Std"/>
          <w:color w:val="000000"/>
          <w:sz w:val="22"/>
          <w:szCs w:val="22"/>
        </w:rPr>
        <w:footnoteReference w:id="43"/>
      </w:r>
      <w:r w:rsidRPr="004B58D3">
        <w:rPr>
          <w:rStyle w:val="A5"/>
          <w:sz w:val="22"/>
          <w:szCs w:val="22"/>
          <w:lang w:val="en-GB"/>
        </w:rPr>
        <w:t xml:space="preserve"> organises conservation work in habitats that are critical for populations of priority species.</w:t>
      </w:r>
    </w:p>
    <w:p w:rsidR="00D16147" w:rsidRPr="004B58D3" w:rsidRDefault="00D16147" w:rsidP="00D16147">
      <w:pPr>
        <w:spacing w:before="120" w:after="0" w:line="252" w:lineRule="auto"/>
        <w:jc w:val="both"/>
        <w:rPr>
          <w:rStyle w:val="A5"/>
          <w:sz w:val="22"/>
          <w:szCs w:val="22"/>
          <w:lang w:val="en-GB"/>
        </w:rPr>
      </w:pPr>
      <w:r w:rsidRPr="004B58D3">
        <w:rPr>
          <w:rStyle w:val="A5"/>
          <w:sz w:val="22"/>
          <w:szCs w:val="22"/>
          <w:lang w:val="en-GB"/>
        </w:rPr>
        <w:t>These efforts to recognize and protect the natural environment do, however, face serious limitations. Overall, the extent of terrestrial and marine protected areas varies (see fi</w:t>
      </w:r>
      <w:r w:rsidR="00957F9B">
        <w:rPr>
          <w:rStyle w:val="A5"/>
          <w:sz w:val="22"/>
          <w:szCs w:val="22"/>
          <w:lang w:val="en-GB"/>
        </w:rPr>
        <w:t>gures 19 and 20</w:t>
      </w:r>
      <w:r w:rsidRPr="004B58D3">
        <w:rPr>
          <w:rStyle w:val="A5"/>
          <w:sz w:val="22"/>
          <w:szCs w:val="22"/>
          <w:lang w:val="en-GB"/>
        </w:rPr>
        <w:t xml:space="preserve"> below), but still falls significantly short (less than 2% in Moldova and Turkey) in comparison to the EU, where protected area</w:t>
      </w:r>
      <w:r>
        <w:rPr>
          <w:rStyle w:val="A5"/>
          <w:sz w:val="22"/>
          <w:szCs w:val="22"/>
          <w:lang w:val="en-GB"/>
        </w:rPr>
        <w:t>s</w:t>
      </w:r>
      <w:r w:rsidRPr="004B58D3">
        <w:rPr>
          <w:rStyle w:val="A5"/>
          <w:sz w:val="22"/>
          <w:szCs w:val="22"/>
          <w:lang w:val="en-GB"/>
        </w:rPr>
        <w:t xml:space="preserve"> cover 15.1% of the total territorial area. Many reserves also lack effective management plans and infrastructure</w:t>
      </w:r>
      <w:r w:rsidRPr="006E06D1">
        <w:rPr>
          <w:rStyle w:val="A5"/>
          <w:sz w:val="22"/>
          <w:szCs w:val="22"/>
          <w:vertAlign w:val="superscript"/>
        </w:rPr>
        <w:endnoteReference w:id="71"/>
      </w:r>
      <w:r w:rsidRPr="004B58D3">
        <w:rPr>
          <w:rStyle w:val="A5"/>
          <w:sz w:val="22"/>
          <w:szCs w:val="22"/>
          <w:lang w:val="en-GB"/>
        </w:rPr>
        <w:t>, so that reinforced cooperation in those areas would seem to be of crucial importance, considering the rich and vulnerable environnement of the Black Sea region.</w:t>
      </w:r>
    </w:p>
    <w:tbl>
      <w:tblPr>
        <w:tblW w:w="0" w:type="auto"/>
        <w:tblLook w:val="04A0"/>
      </w:tblPr>
      <w:tblGrid>
        <w:gridCol w:w="4896"/>
        <w:gridCol w:w="4956"/>
      </w:tblGrid>
      <w:tr w:rsidR="00D16147" w:rsidRPr="001368E0" w:rsidTr="001368E0">
        <w:tc>
          <w:tcPr>
            <w:tcW w:w="4788" w:type="dxa"/>
            <w:shd w:val="clear" w:color="auto" w:fill="auto"/>
          </w:tcPr>
          <w:p w:rsidR="00D16147" w:rsidRPr="001368E0" w:rsidRDefault="006102F6" w:rsidP="001368E0">
            <w:pPr>
              <w:keepNext/>
              <w:widowControl w:val="0"/>
              <w:autoSpaceDE w:val="0"/>
              <w:autoSpaceDN w:val="0"/>
              <w:adjustRightInd w:val="0"/>
              <w:spacing w:before="120" w:after="0" w:line="252" w:lineRule="auto"/>
              <w:jc w:val="both"/>
            </w:pPr>
            <w:r>
              <w:rPr>
                <w:noProof/>
                <w:lang w:val="ro-RO" w:eastAsia="ro-RO"/>
              </w:rPr>
              <w:drawing>
                <wp:inline distT="0" distB="0" distL="0" distR="0">
                  <wp:extent cx="2952750" cy="1971675"/>
                  <wp:effectExtent l="19050" t="0" r="0" b="0"/>
                  <wp:docPr id="2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32"/>
                          <a:srcRect l="23669" t="2328" r="26614"/>
                          <a:stretch>
                            <a:fillRect/>
                          </a:stretch>
                        </pic:blipFill>
                        <pic:spPr bwMode="auto">
                          <a:xfrm>
                            <a:off x="0" y="0"/>
                            <a:ext cx="2952750" cy="1971675"/>
                          </a:xfrm>
                          <a:prstGeom prst="rect">
                            <a:avLst/>
                          </a:prstGeom>
                          <a:noFill/>
                          <a:ln w="9525">
                            <a:noFill/>
                            <a:miter lim="800000"/>
                            <a:headEnd/>
                            <a:tailEnd/>
                          </a:ln>
                        </pic:spPr>
                      </pic:pic>
                    </a:graphicData>
                  </a:graphic>
                </wp:inline>
              </w:drawing>
            </w:r>
          </w:p>
          <w:p w:rsidR="00D16147" w:rsidRPr="001368E0" w:rsidRDefault="00D16147" w:rsidP="001368E0">
            <w:pPr>
              <w:pStyle w:val="Caption"/>
              <w:spacing w:before="120" w:after="0" w:line="252" w:lineRule="auto"/>
              <w:jc w:val="both"/>
              <w:rPr>
                <w:sz w:val="22"/>
                <w:szCs w:val="22"/>
                <w:lang w:val="en-GB"/>
              </w:rPr>
            </w:pPr>
            <w:r w:rsidRPr="001368E0">
              <w:rPr>
                <w:sz w:val="22"/>
                <w:szCs w:val="22"/>
                <w:lang w:val="en-GB"/>
              </w:rPr>
              <w:t>Figure</w:t>
            </w:r>
            <w:r w:rsidR="00957F9B" w:rsidRPr="001368E0">
              <w:rPr>
                <w:sz w:val="22"/>
                <w:szCs w:val="22"/>
                <w:lang w:val="en-GB"/>
              </w:rPr>
              <w:t xml:space="preserve"> 19</w:t>
            </w:r>
            <w:r w:rsidRPr="001368E0">
              <w:rPr>
                <w:sz w:val="22"/>
                <w:szCs w:val="22"/>
                <w:lang w:val="en-GB"/>
              </w:rPr>
              <w:t>. Terrestrial and marine protected areas (% of total territorial area of each country), 2010</w:t>
            </w:r>
            <w:r w:rsidRPr="001368E0">
              <w:rPr>
                <w:rStyle w:val="EndnoteReference"/>
                <w:sz w:val="22"/>
                <w:szCs w:val="22"/>
              </w:rPr>
              <w:endnoteReference w:id="72"/>
            </w:r>
          </w:p>
        </w:tc>
        <w:tc>
          <w:tcPr>
            <w:tcW w:w="4788" w:type="dxa"/>
            <w:shd w:val="clear" w:color="auto" w:fill="auto"/>
          </w:tcPr>
          <w:p w:rsidR="00D16147" w:rsidRPr="001368E0" w:rsidRDefault="006102F6" w:rsidP="001368E0">
            <w:pPr>
              <w:keepNext/>
              <w:widowControl w:val="0"/>
              <w:autoSpaceDE w:val="0"/>
              <w:autoSpaceDN w:val="0"/>
              <w:adjustRightInd w:val="0"/>
              <w:spacing w:before="120" w:after="0" w:line="252" w:lineRule="auto"/>
              <w:jc w:val="both"/>
            </w:pPr>
            <w:r>
              <w:rPr>
                <w:noProof/>
                <w:lang w:val="ro-RO" w:eastAsia="ro-RO"/>
              </w:rPr>
              <w:drawing>
                <wp:inline distT="0" distB="0" distL="0" distR="0">
                  <wp:extent cx="2990850" cy="2000250"/>
                  <wp:effectExtent l="19050" t="0" r="0" b="0"/>
                  <wp:docPr id="2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3"/>
                          <a:srcRect l="21104" t="581" r="28587" b="2"/>
                          <a:stretch>
                            <a:fillRect/>
                          </a:stretch>
                        </pic:blipFill>
                        <pic:spPr bwMode="auto">
                          <a:xfrm>
                            <a:off x="0" y="0"/>
                            <a:ext cx="2990850" cy="2000250"/>
                          </a:xfrm>
                          <a:prstGeom prst="rect">
                            <a:avLst/>
                          </a:prstGeom>
                          <a:noFill/>
                          <a:ln w="9525">
                            <a:noFill/>
                            <a:miter lim="800000"/>
                            <a:headEnd/>
                            <a:tailEnd/>
                          </a:ln>
                        </pic:spPr>
                      </pic:pic>
                    </a:graphicData>
                  </a:graphic>
                </wp:inline>
              </w:drawing>
            </w:r>
          </w:p>
          <w:p w:rsidR="00D16147" w:rsidRPr="001368E0" w:rsidRDefault="00D16147" w:rsidP="001368E0">
            <w:pPr>
              <w:pStyle w:val="Caption"/>
              <w:spacing w:before="120" w:after="0" w:line="252" w:lineRule="auto"/>
              <w:jc w:val="both"/>
              <w:rPr>
                <w:sz w:val="22"/>
                <w:szCs w:val="22"/>
                <w:lang w:val="en-GB"/>
              </w:rPr>
            </w:pPr>
            <w:r w:rsidRPr="001368E0">
              <w:rPr>
                <w:sz w:val="22"/>
                <w:szCs w:val="22"/>
                <w:lang w:val="en-GB"/>
              </w:rPr>
              <w:t xml:space="preserve">Figure </w:t>
            </w:r>
            <w:r w:rsidR="00957F9B" w:rsidRPr="001368E0">
              <w:rPr>
                <w:sz w:val="22"/>
                <w:szCs w:val="22"/>
                <w:lang w:val="en-GB"/>
              </w:rPr>
              <w:t>20</w:t>
            </w:r>
            <w:r w:rsidRPr="001368E0">
              <w:rPr>
                <w:sz w:val="22"/>
                <w:szCs w:val="22"/>
                <w:lang w:val="en-GB"/>
              </w:rPr>
              <w:t>. Marine protected areas (% of territorial waters of each country), 2010</w:t>
            </w:r>
            <w:r w:rsidRPr="001368E0">
              <w:rPr>
                <w:rStyle w:val="EndnoteReference"/>
                <w:sz w:val="22"/>
                <w:szCs w:val="22"/>
              </w:rPr>
              <w:endnoteReference w:id="73"/>
            </w:r>
          </w:p>
        </w:tc>
      </w:tr>
    </w:tbl>
    <w:p w:rsidR="00D16147" w:rsidRPr="004B58D3" w:rsidRDefault="00D16147" w:rsidP="00D16147">
      <w:pPr>
        <w:spacing w:before="120" w:after="0" w:line="252" w:lineRule="auto"/>
        <w:jc w:val="both"/>
        <w:rPr>
          <w:rStyle w:val="A5"/>
          <w:sz w:val="22"/>
          <w:szCs w:val="22"/>
          <w:lang w:val="en-GB"/>
        </w:rPr>
      </w:pPr>
    </w:p>
    <w:p w:rsidR="00D16147" w:rsidRPr="008242B5" w:rsidRDefault="00D16147" w:rsidP="000D36B6">
      <w:pPr>
        <w:spacing w:before="240" w:after="120"/>
        <w:rPr>
          <w:b/>
          <w:lang w:val="en-GB"/>
        </w:rPr>
      </w:pPr>
      <w:bookmarkStart w:id="42" w:name="_Toc246127435"/>
      <w:r w:rsidRPr="008242B5">
        <w:rPr>
          <w:b/>
          <w:lang w:val="en-GB"/>
        </w:rPr>
        <w:t>Water and waste-water</w:t>
      </w:r>
      <w:bookmarkEnd w:id="42"/>
    </w:p>
    <w:p w:rsidR="00D16147" w:rsidRPr="004B58D3" w:rsidRDefault="00D16147" w:rsidP="00D16147">
      <w:pPr>
        <w:widowControl w:val="0"/>
        <w:autoSpaceDE w:val="0"/>
        <w:autoSpaceDN w:val="0"/>
        <w:adjustRightInd w:val="0"/>
        <w:spacing w:before="120" w:after="0" w:line="252" w:lineRule="auto"/>
        <w:jc w:val="both"/>
        <w:rPr>
          <w:sz w:val="22"/>
          <w:szCs w:val="22"/>
          <w:lang w:val="en-GB"/>
        </w:rPr>
      </w:pPr>
      <w:r w:rsidRPr="004B58D3">
        <w:rPr>
          <w:sz w:val="22"/>
          <w:szCs w:val="22"/>
          <w:lang w:val="en-GB"/>
        </w:rPr>
        <w:t>The Black Sea region is generally well provided with freshwater resources, including those suitable for drinking water. However, pollution of rivers has led to a sharp decline in access to safe drinking water resources and necessitates the use of costly technologies for water treatment. Usage of groundwater for drinking purposes is not possible everywhere because of a lack of resources (this particularly applies to the southern part of the Black Sea region)</w:t>
      </w:r>
      <w:r w:rsidRPr="00450DA1">
        <w:rPr>
          <w:rStyle w:val="EndnoteReference"/>
          <w:sz w:val="22"/>
          <w:szCs w:val="22"/>
        </w:rPr>
        <w:endnoteReference w:id="74"/>
      </w:r>
      <w:r w:rsidRPr="004B58D3">
        <w:rPr>
          <w:sz w:val="22"/>
          <w:szCs w:val="22"/>
          <w:lang w:val="en-GB"/>
        </w:rPr>
        <w:t xml:space="preserve"> while groundwater may itself be polluted. As a result, the current access to safe drinking water in the region could be characterised as problematic</w:t>
      </w:r>
      <w:r>
        <w:rPr>
          <w:sz w:val="22"/>
          <w:szCs w:val="22"/>
          <w:lang w:val="en-GB"/>
        </w:rPr>
        <w:t>,</w:t>
      </w:r>
      <w:r w:rsidRPr="004B58D3">
        <w:rPr>
          <w:sz w:val="22"/>
          <w:szCs w:val="22"/>
          <w:lang w:val="en-GB"/>
        </w:rPr>
        <w:t xml:space="preserve"> particularly in rural areas.</w:t>
      </w:r>
    </w:p>
    <w:p w:rsidR="00D16147" w:rsidRPr="004B58D3" w:rsidRDefault="00D16147" w:rsidP="00D16147">
      <w:pPr>
        <w:widowControl w:val="0"/>
        <w:autoSpaceDE w:val="0"/>
        <w:autoSpaceDN w:val="0"/>
        <w:adjustRightInd w:val="0"/>
        <w:spacing w:before="120" w:after="0" w:line="252" w:lineRule="auto"/>
        <w:jc w:val="both"/>
        <w:rPr>
          <w:sz w:val="22"/>
          <w:szCs w:val="22"/>
          <w:lang w:val="en-GB"/>
        </w:rPr>
      </w:pPr>
      <w:r w:rsidRPr="004B58D3">
        <w:rPr>
          <w:sz w:val="22"/>
          <w:szCs w:val="22"/>
          <w:lang w:val="en-GB"/>
        </w:rPr>
        <w:t>The large cities of the Black Sea Basin catchment area outside the coastal zone mostly have full biological treatment of wastewater, which in general operates with sufficient efficiency. Nonetheless, wastewater treatment is often not sufficient in the rural areas and in coastal cities - all the more so given that the treatment plants get overloaded in the summer when the population in coastal cities increases substantially. Untreated or insufficiently-treated sewage (mostly due to worn-out equipment) is the main source of pollution from coastal cities and villages. Moreover usually no structures exist to remove effluent far from the shore (for instance, 3 miles), thus the coastal area of the sea is polluted. Municipal wastewater contributes significantly to the load of organic materials and nutrients in the Black Sea, as well as to the spread of diseases, though microbiological pollution is primarily a local problem</w:t>
      </w:r>
      <w:r w:rsidRPr="00450DA1">
        <w:rPr>
          <w:rStyle w:val="EndnoteReference"/>
          <w:sz w:val="22"/>
          <w:szCs w:val="22"/>
        </w:rPr>
        <w:endnoteReference w:id="75"/>
      </w:r>
      <w:r w:rsidRPr="004B58D3">
        <w:rPr>
          <w:sz w:val="22"/>
          <w:szCs w:val="22"/>
          <w:lang w:val="en-GB"/>
        </w:rPr>
        <w:t xml:space="preserve">. </w:t>
      </w:r>
    </w:p>
    <w:p w:rsidR="00D16147" w:rsidRPr="004B58D3" w:rsidRDefault="00D16147" w:rsidP="00D16147">
      <w:pPr>
        <w:widowControl w:val="0"/>
        <w:autoSpaceDE w:val="0"/>
        <w:autoSpaceDN w:val="0"/>
        <w:adjustRightInd w:val="0"/>
        <w:spacing w:before="120" w:after="0" w:line="252" w:lineRule="auto"/>
        <w:jc w:val="both"/>
        <w:rPr>
          <w:sz w:val="22"/>
          <w:szCs w:val="22"/>
          <w:lang w:val="en-GB"/>
        </w:rPr>
      </w:pPr>
      <w:r w:rsidRPr="004B58D3">
        <w:rPr>
          <w:sz w:val="22"/>
          <w:szCs w:val="22"/>
          <w:lang w:val="en-GB"/>
        </w:rPr>
        <w:t>Difficulties faced are also sometimes linked to institutional causes, in particular when central state control was replaced by governance structures based on decentralisation and greater levels of autonomy at the regional level before the development of sufficient institutional capacity at regional level. Public authorities in Moldova, Ukraine, Georgia and Russia assessed the lack of practical knowledge and skills in water resources management at the same level as the lack of adequate finance as the principal reasons for their inability to carry out the needed management reforms and infrastructure development</w:t>
      </w:r>
      <w:r w:rsidRPr="00450DA1">
        <w:rPr>
          <w:rStyle w:val="EndnoteReference"/>
          <w:sz w:val="22"/>
          <w:szCs w:val="22"/>
        </w:rPr>
        <w:endnoteReference w:id="76"/>
      </w:r>
      <w:r w:rsidRPr="004B58D3">
        <w:rPr>
          <w:sz w:val="22"/>
          <w:szCs w:val="22"/>
          <w:lang w:val="en-GB"/>
        </w:rPr>
        <w:t>.</w:t>
      </w:r>
    </w:p>
    <w:p w:rsidR="00A34868" w:rsidRDefault="00A34868">
      <w:pPr>
        <w:rPr>
          <w:b/>
          <w:lang w:val="en-GB"/>
        </w:rPr>
      </w:pPr>
      <w:bookmarkStart w:id="43" w:name="_Toc246127436"/>
      <w:r>
        <w:rPr>
          <w:b/>
          <w:lang w:val="en-GB"/>
        </w:rPr>
        <w:br w:type="page"/>
      </w:r>
    </w:p>
    <w:p w:rsidR="00D16147" w:rsidRPr="008242B5" w:rsidRDefault="00D16147" w:rsidP="000D36B6">
      <w:pPr>
        <w:spacing w:before="240" w:after="120"/>
        <w:rPr>
          <w:b/>
          <w:lang w:val="en-GB"/>
        </w:rPr>
      </w:pPr>
      <w:r w:rsidRPr="008242B5">
        <w:rPr>
          <w:b/>
          <w:lang w:val="en-GB"/>
        </w:rPr>
        <w:t>Sustainable energy development</w:t>
      </w:r>
      <w:bookmarkEnd w:id="43"/>
      <w:r w:rsidRPr="008242B5">
        <w:rPr>
          <w:b/>
          <w:lang w:val="en-GB"/>
        </w:rPr>
        <w:t xml:space="preserve"> </w:t>
      </w:r>
    </w:p>
    <w:p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The need to promote sustainable energy development </w:t>
      </w:r>
      <w:r>
        <w:rPr>
          <w:sz w:val="22"/>
          <w:szCs w:val="22"/>
          <w:lang w:val="en-GB"/>
        </w:rPr>
        <w:t>has been emphasised</w:t>
      </w:r>
      <w:r w:rsidRPr="004B58D3">
        <w:rPr>
          <w:sz w:val="22"/>
          <w:szCs w:val="22"/>
          <w:lang w:val="en-GB"/>
        </w:rPr>
        <w:t xml:space="preserve"> by the Ministers of Energy of BSEC Member States</w:t>
      </w:r>
      <w:r w:rsidRPr="003C35AD">
        <w:rPr>
          <w:rStyle w:val="FootnoteReference"/>
          <w:sz w:val="22"/>
          <w:szCs w:val="22"/>
        </w:rPr>
        <w:footnoteReference w:id="44"/>
      </w:r>
      <w:r w:rsidRPr="004B58D3">
        <w:rPr>
          <w:sz w:val="22"/>
          <w:szCs w:val="22"/>
          <w:lang w:val="en-GB"/>
        </w:rPr>
        <w:t xml:space="preserve"> </w:t>
      </w:r>
      <w:r>
        <w:rPr>
          <w:sz w:val="22"/>
          <w:szCs w:val="22"/>
          <w:lang w:val="en-GB"/>
        </w:rPr>
        <w:t>who</w:t>
      </w:r>
      <w:r w:rsidRPr="004B58D3">
        <w:rPr>
          <w:sz w:val="22"/>
          <w:szCs w:val="22"/>
          <w:lang w:val="en-GB"/>
        </w:rPr>
        <w:t xml:space="preserve"> have agreed to enhance cooperation and explore ways to promote Green Energy investments with an emphasis on energy efficiency, renewable energy sources and environmentally friendly energy technologies.</w:t>
      </w:r>
    </w:p>
    <w:p w:rsidR="00D16147" w:rsidRDefault="006102F6" w:rsidP="00D16147">
      <w:pPr>
        <w:keepNext/>
        <w:spacing w:before="120" w:after="0" w:line="252" w:lineRule="auto"/>
      </w:pPr>
      <w:r>
        <w:rPr>
          <w:noProof/>
          <w:lang w:val="ro-RO" w:eastAsia="ro-RO"/>
        </w:rPr>
        <w:drawing>
          <wp:inline distT="0" distB="0" distL="0" distR="0">
            <wp:extent cx="5943600" cy="2019300"/>
            <wp:effectExtent l="19050" t="0" r="0" b="0"/>
            <wp:docPr id="2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4"/>
                    <a:srcRect/>
                    <a:stretch>
                      <a:fillRect/>
                    </a:stretch>
                  </pic:blipFill>
                  <pic:spPr bwMode="auto">
                    <a:xfrm>
                      <a:off x="0" y="0"/>
                      <a:ext cx="5943600" cy="2019300"/>
                    </a:xfrm>
                    <a:prstGeom prst="rect">
                      <a:avLst/>
                    </a:prstGeom>
                    <a:noFill/>
                    <a:ln w="9525">
                      <a:noFill/>
                      <a:miter lim="800000"/>
                      <a:headEnd/>
                      <a:tailEnd/>
                    </a:ln>
                  </pic:spPr>
                </pic:pic>
              </a:graphicData>
            </a:graphic>
          </wp:inline>
        </w:drawing>
      </w:r>
    </w:p>
    <w:p w:rsidR="00D16147" w:rsidRPr="004B58D3" w:rsidRDefault="00D16147" w:rsidP="00D16147">
      <w:pPr>
        <w:pStyle w:val="Caption"/>
        <w:spacing w:before="120" w:after="0" w:line="252" w:lineRule="auto"/>
        <w:jc w:val="left"/>
        <w:rPr>
          <w:sz w:val="22"/>
          <w:szCs w:val="22"/>
          <w:lang w:val="en-GB"/>
        </w:rPr>
      </w:pPr>
      <w:r w:rsidRPr="004B58D3">
        <w:rPr>
          <w:sz w:val="22"/>
          <w:szCs w:val="22"/>
          <w:lang w:val="en-GB"/>
        </w:rPr>
        <w:t xml:space="preserve">Figure </w:t>
      </w:r>
      <w:r w:rsidR="00957F9B">
        <w:rPr>
          <w:sz w:val="22"/>
          <w:szCs w:val="22"/>
          <w:lang w:val="en-GB"/>
        </w:rPr>
        <w:t>21</w:t>
      </w:r>
      <w:r w:rsidRPr="004B58D3">
        <w:rPr>
          <w:sz w:val="22"/>
          <w:szCs w:val="22"/>
          <w:lang w:val="en-GB"/>
        </w:rPr>
        <w:t xml:space="preserve">. Electricity production from </w:t>
      </w:r>
      <w:r>
        <w:rPr>
          <w:sz w:val="22"/>
          <w:szCs w:val="22"/>
          <w:lang w:val="en-GB"/>
        </w:rPr>
        <w:t xml:space="preserve">hydroelectric and </w:t>
      </w:r>
      <w:r w:rsidRPr="004B58D3">
        <w:rPr>
          <w:sz w:val="22"/>
          <w:szCs w:val="22"/>
          <w:lang w:val="en-GB"/>
        </w:rPr>
        <w:t>renewable sources, 2010</w:t>
      </w:r>
      <w:r>
        <w:rPr>
          <w:rStyle w:val="EndnoteReference"/>
          <w:sz w:val="22"/>
          <w:szCs w:val="22"/>
        </w:rPr>
        <w:endnoteReference w:id="77"/>
      </w:r>
    </w:p>
    <w:p w:rsidR="00D16147" w:rsidRDefault="00D16147" w:rsidP="00D16147">
      <w:pPr>
        <w:spacing w:before="120" w:after="0" w:line="252" w:lineRule="auto"/>
        <w:jc w:val="both"/>
        <w:rPr>
          <w:sz w:val="22"/>
          <w:szCs w:val="22"/>
          <w:highlight w:val="yellow"/>
          <w:lang w:val="en-GB"/>
        </w:rPr>
      </w:pPr>
      <w:r w:rsidRPr="004B58D3">
        <w:rPr>
          <w:sz w:val="22"/>
          <w:szCs w:val="22"/>
          <w:lang w:val="en-GB"/>
        </w:rPr>
        <w:t xml:space="preserve">Each country in the Black Sea Region is distinct in terms of its energy use and potential for renewable energy, nonetheless several trends appears. Hydropower is the most widespread source of energy, accounting for most of the electricity production in Georgia. Exploitation of renewables sources other than hydropower is still </w:t>
      </w:r>
      <w:r>
        <w:rPr>
          <w:sz w:val="22"/>
          <w:szCs w:val="22"/>
          <w:lang w:val="en-GB"/>
        </w:rPr>
        <w:t>in</w:t>
      </w:r>
      <w:r w:rsidRPr="004B58D3">
        <w:rPr>
          <w:sz w:val="22"/>
          <w:szCs w:val="22"/>
          <w:lang w:val="en-GB"/>
        </w:rPr>
        <w:t xml:space="preserve"> its early stages, representing at best 5.3% in Greece against 9.1% on averag</w:t>
      </w:r>
      <w:r w:rsidR="00A7343A">
        <w:rPr>
          <w:sz w:val="22"/>
          <w:szCs w:val="22"/>
          <w:lang w:val="en-GB"/>
        </w:rPr>
        <w:t>e in the EU (see figure 21</w:t>
      </w:r>
      <w:r w:rsidRPr="004B58D3">
        <w:rPr>
          <w:sz w:val="22"/>
          <w:szCs w:val="22"/>
          <w:lang w:val="en-GB"/>
        </w:rPr>
        <w:t xml:space="preserve"> above), but has risen over the last few years</w:t>
      </w:r>
      <w:r w:rsidRPr="003C35AD">
        <w:rPr>
          <w:rStyle w:val="EndnoteReference"/>
          <w:sz w:val="22"/>
          <w:szCs w:val="22"/>
        </w:rPr>
        <w:endnoteReference w:id="78"/>
      </w:r>
      <w:r w:rsidRPr="004B58D3">
        <w:rPr>
          <w:sz w:val="22"/>
          <w:szCs w:val="22"/>
          <w:lang w:val="en-GB"/>
        </w:rPr>
        <w:t>. The massive growth in wind power seen globally is beginning to make itself felt in the regio</w:t>
      </w:r>
      <w:r w:rsidRPr="00850BF5">
        <w:rPr>
          <w:sz w:val="22"/>
          <w:szCs w:val="22"/>
          <w:lang w:val="en-GB"/>
        </w:rPr>
        <w:t>n</w:t>
      </w:r>
      <w:r w:rsidRPr="00850BF5">
        <w:rPr>
          <w:rStyle w:val="EndnoteReference"/>
          <w:sz w:val="22"/>
          <w:szCs w:val="22"/>
        </w:rPr>
        <w:endnoteReference w:id="79"/>
      </w:r>
      <w:r w:rsidRPr="00850BF5">
        <w:rPr>
          <w:sz w:val="22"/>
          <w:szCs w:val="22"/>
          <w:lang w:val="en-GB"/>
        </w:rPr>
        <w:t xml:space="preserve">. </w:t>
      </w:r>
    </w:p>
    <w:p w:rsidR="00D16147" w:rsidRPr="00850BF5" w:rsidRDefault="00D16147" w:rsidP="00D16147">
      <w:pPr>
        <w:spacing w:before="120" w:after="0" w:line="252" w:lineRule="auto"/>
        <w:jc w:val="both"/>
        <w:rPr>
          <w:sz w:val="22"/>
          <w:szCs w:val="22"/>
          <w:lang w:val="en-GB"/>
        </w:rPr>
      </w:pPr>
      <w:r w:rsidRPr="000056F6">
        <w:rPr>
          <w:sz w:val="22"/>
          <w:szCs w:val="22"/>
          <w:lang w:val="en-GB"/>
        </w:rPr>
        <w:t>The Black Sea potential for marine renewable energy has not been fully investigated yet. In the Black Sea area tides are insignificant for energy extraction, but the offshore wind and wave power potential could be further assessed</w:t>
      </w:r>
      <w:r w:rsidRPr="000056F6">
        <w:rPr>
          <w:rStyle w:val="EndnoteReference"/>
          <w:sz w:val="22"/>
          <w:szCs w:val="22"/>
          <w:lang w:val="en-GB"/>
        </w:rPr>
        <w:endnoteReference w:id="80"/>
      </w:r>
      <w:r w:rsidRPr="000056F6">
        <w:rPr>
          <w:sz w:val="22"/>
          <w:szCs w:val="22"/>
          <w:lang w:val="en-GB"/>
        </w:rPr>
        <w:t>. Both Bulgaria and Romania recently began using, and exploring in detail, opportunities for marine renewable wind energy options.</w:t>
      </w:r>
    </w:p>
    <w:p w:rsidR="00D16147" w:rsidRDefault="00D16147" w:rsidP="00D16147">
      <w:pPr>
        <w:spacing w:before="120" w:after="0" w:line="252" w:lineRule="auto"/>
        <w:jc w:val="both"/>
        <w:rPr>
          <w:sz w:val="22"/>
          <w:szCs w:val="22"/>
          <w:lang w:val="en-GB"/>
        </w:rPr>
      </w:pPr>
      <w:r w:rsidRPr="004B58D3">
        <w:rPr>
          <w:sz w:val="22"/>
          <w:szCs w:val="22"/>
          <w:lang w:val="en-GB"/>
        </w:rPr>
        <w:t>Therefore, except maybe in Azerbaijan where the abundance of oil and gas complicates the economic argument for alternatives, there appears to be a broad scope for further sustainable energy development in the region.</w:t>
      </w:r>
    </w:p>
    <w:p w:rsidR="00A34868" w:rsidRDefault="00A34868">
      <w:pPr>
        <w:rPr>
          <w:sz w:val="22"/>
          <w:szCs w:val="22"/>
          <w:lang w:val="en-GB"/>
        </w:rPr>
      </w:pPr>
      <w:r>
        <w:rPr>
          <w:sz w:val="22"/>
          <w:szCs w:val="22"/>
          <w:lang w:val="en-GB"/>
        </w:rPr>
        <w:br w:type="page"/>
      </w:r>
    </w:p>
    <w:tbl>
      <w:tblPr>
        <w:tblW w:w="0" w:type="auto"/>
        <w:tblLayout w:type="fixed"/>
        <w:tblLook w:val="04A0"/>
      </w:tblPr>
      <w:tblGrid>
        <w:gridCol w:w="3652"/>
        <w:gridCol w:w="7371"/>
      </w:tblGrid>
      <w:tr w:rsidR="00C21808" w:rsidRPr="001368E0" w:rsidTr="001368E0">
        <w:trPr>
          <w:trHeight w:val="280"/>
        </w:trPr>
        <w:tc>
          <w:tcPr>
            <w:tcW w:w="11023" w:type="dxa"/>
            <w:gridSpan w:val="2"/>
            <w:tcBorders>
              <w:top w:val="single" w:sz="18" w:space="0" w:color="983620"/>
              <w:left w:val="single" w:sz="18" w:space="0" w:color="983620"/>
              <w:right w:val="single" w:sz="18" w:space="0" w:color="983620"/>
            </w:tcBorders>
            <w:shd w:val="clear" w:color="auto" w:fill="792A19"/>
            <w:noWrap/>
            <w:hideMark/>
          </w:tcPr>
          <w:p w:rsidR="00C21808" w:rsidRPr="001368E0" w:rsidRDefault="00C21808" w:rsidP="001368E0">
            <w:pPr>
              <w:spacing w:after="0" w:line="240" w:lineRule="auto"/>
              <w:jc w:val="center"/>
              <w:rPr>
                <w:b/>
                <w:bCs/>
                <w:color w:val="FFFFFF"/>
              </w:rPr>
            </w:pPr>
            <w:r w:rsidRPr="001368E0">
              <w:rPr>
                <w:b/>
                <w:bCs/>
                <w:color w:val="FFFFFF"/>
              </w:rPr>
              <w:t xml:space="preserve">SWOT – </w:t>
            </w:r>
            <w:r w:rsidR="00037D9A" w:rsidRPr="001368E0">
              <w:rPr>
                <w:b/>
                <w:bCs/>
                <w:color w:val="FFFFFF"/>
              </w:rPr>
              <w:t>ENVIRONMENT</w:t>
            </w:r>
          </w:p>
        </w:tc>
      </w:tr>
      <w:tr w:rsidR="000A5CAE" w:rsidRPr="001368E0" w:rsidTr="001368E0">
        <w:trPr>
          <w:trHeight w:val="280"/>
        </w:trPr>
        <w:tc>
          <w:tcPr>
            <w:tcW w:w="3652" w:type="dxa"/>
            <w:tcBorders>
              <w:left w:val="single" w:sz="18" w:space="0" w:color="983620"/>
              <w:right w:val="single" w:sz="4" w:space="0" w:color="983620"/>
            </w:tcBorders>
            <w:shd w:val="clear" w:color="auto" w:fill="A6A6A6"/>
            <w:noWrap/>
            <w:hideMark/>
          </w:tcPr>
          <w:p w:rsidR="00C21808" w:rsidRPr="001368E0" w:rsidRDefault="00C21808" w:rsidP="001368E0">
            <w:pPr>
              <w:spacing w:after="0" w:line="240" w:lineRule="auto"/>
              <w:jc w:val="center"/>
              <w:rPr>
                <w:b/>
                <w:bCs/>
                <w:color w:val="000000"/>
                <w:sz w:val="22"/>
                <w:szCs w:val="22"/>
              </w:rPr>
            </w:pPr>
            <w:r w:rsidRPr="001368E0">
              <w:rPr>
                <w:b/>
                <w:bCs/>
                <w:color w:val="000000"/>
                <w:sz w:val="22"/>
                <w:szCs w:val="22"/>
              </w:rPr>
              <w:t>STRENGTHS</w:t>
            </w:r>
          </w:p>
        </w:tc>
        <w:tc>
          <w:tcPr>
            <w:tcW w:w="7371" w:type="dxa"/>
            <w:tcBorders>
              <w:left w:val="single" w:sz="4" w:space="0" w:color="983620"/>
              <w:right w:val="single" w:sz="18" w:space="0" w:color="983620"/>
            </w:tcBorders>
            <w:shd w:val="clear" w:color="auto" w:fill="A6A6A6"/>
            <w:hideMark/>
          </w:tcPr>
          <w:p w:rsidR="00C21808" w:rsidRPr="001368E0" w:rsidRDefault="00C21808" w:rsidP="001368E0">
            <w:pPr>
              <w:spacing w:after="0" w:line="240" w:lineRule="auto"/>
              <w:jc w:val="center"/>
              <w:rPr>
                <w:b/>
                <w:color w:val="000000"/>
                <w:sz w:val="22"/>
                <w:szCs w:val="22"/>
              </w:rPr>
            </w:pPr>
            <w:r w:rsidRPr="001368E0">
              <w:rPr>
                <w:b/>
                <w:color w:val="000000"/>
                <w:sz w:val="22"/>
                <w:szCs w:val="22"/>
              </w:rPr>
              <w:t>WEAKNESSES</w:t>
            </w:r>
          </w:p>
        </w:tc>
      </w:tr>
      <w:tr w:rsidR="000A5CAE" w:rsidRPr="001368E0" w:rsidTr="001368E0">
        <w:trPr>
          <w:trHeight w:val="4126"/>
        </w:trPr>
        <w:tc>
          <w:tcPr>
            <w:tcW w:w="3652" w:type="dxa"/>
            <w:tcBorders>
              <w:left w:val="single" w:sz="18" w:space="0" w:color="983620"/>
              <w:right w:val="single" w:sz="4" w:space="0" w:color="983620"/>
            </w:tcBorders>
            <w:shd w:val="clear" w:color="auto" w:fill="E6E6E6"/>
            <w:hideMark/>
          </w:tcPr>
          <w:tbl>
            <w:tblPr>
              <w:tblW w:w="3402" w:type="dxa"/>
              <w:tblLayout w:type="fixed"/>
              <w:tblCellMar>
                <w:left w:w="70" w:type="dxa"/>
                <w:right w:w="70" w:type="dxa"/>
              </w:tblCellMar>
              <w:tblLook w:val="04A0"/>
            </w:tblPr>
            <w:tblGrid>
              <w:gridCol w:w="3402"/>
            </w:tblGrid>
            <w:tr w:rsidR="003D57BB" w:rsidRPr="001368E0" w:rsidTr="003D57BB">
              <w:trPr>
                <w:trHeight w:val="5600"/>
              </w:trPr>
              <w:tc>
                <w:tcPr>
                  <w:tcW w:w="3402" w:type="dxa"/>
                  <w:tcBorders>
                    <w:top w:val="nil"/>
                    <w:left w:val="nil"/>
                    <w:right w:val="nil"/>
                  </w:tcBorders>
                  <w:shd w:val="clear" w:color="auto" w:fill="auto"/>
                  <w:vAlign w:val="center"/>
                  <w:hideMark/>
                </w:tcPr>
                <w:p w:rsidR="003D57BB" w:rsidRPr="001368E0" w:rsidRDefault="003D57BB" w:rsidP="0028075A">
                  <w:pPr>
                    <w:pStyle w:val="ListParagraph"/>
                    <w:numPr>
                      <w:ilvl w:val="0"/>
                      <w:numId w:val="35"/>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Black Sea ecosystem is known to be rich and diverse</w:t>
                  </w:r>
                </w:p>
                <w:p w:rsidR="003D57BB" w:rsidRPr="001368E0" w:rsidRDefault="003D57BB" w:rsidP="0028075A">
                  <w:pPr>
                    <w:pStyle w:val="ListParagraph"/>
                    <w:numPr>
                      <w:ilvl w:val="0"/>
                      <w:numId w:val="35"/>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Four UNESCO biosphere reserves of international status protected by identical legislation</w:t>
                  </w:r>
                </w:p>
                <w:p w:rsidR="003D57BB" w:rsidRPr="001368E0" w:rsidRDefault="003D57BB" w:rsidP="0028075A">
                  <w:pPr>
                    <w:pStyle w:val="ListParagraph"/>
                    <w:numPr>
                      <w:ilvl w:val="0"/>
                      <w:numId w:val="35"/>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BSB region is generally well provided with freshwater resources</w:t>
                  </w:r>
                </w:p>
                <w:p w:rsidR="003D57BB" w:rsidRPr="001368E0" w:rsidRDefault="003D57BB" w:rsidP="0028075A">
                  <w:pPr>
                    <w:pStyle w:val="ListParagraph"/>
                    <w:numPr>
                      <w:ilvl w:val="0"/>
                      <w:numId w:val="35"/>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Large cities outside the coastal zone mostly have full and sufficiently efficient biological treatment of wastewater</w:t>
                  </w:r>
                </w:p>
                <w:p w:rsidR="003D57BB" w:rsidRPr="001368E0" w:rsidRDefault="003D57BB" w:rsidP="0028075A">
                  <w:pPr>
                    <w:pStyle w:val="ListParagraph"/>
                    <w:numPr>
                      <w:ilvl w:val="0"/>
                      <w:numId w:val="35"/>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Hydropower is the most widespread source of renewable energy (strong in Georgia)</w:t>
                  </w:r>
                </w:p>
                <w:p w:rsidR="003D57BB" w:rsidRPr="001368E0" w:rsidRDefault="003D57BB" w:rsidP="0028075A">
                  <w:pPr>
                    <w:pStyle w:val="ListParagraph"/>
                    <w:numPr>
                      <w:ilvl w:val="0"/>
                      <w:numId w:val="35"/>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Renewables sources other than hydropower have increased over the last few years</w:t>
                  </w:r>
                </w:p>
              </w:tc>
            </w:tr>
          </w:tbl>
          <w:p w:rsidR="00C21808" w:rsidRPr="001368E0" w:rsidRDefault="00C21808" w:rsidP="001368E0">
            <w:pPr>
              <w:pStyle w:val="ListParagraph"/>
              <w:spacing w:after="0" w:line="240" w:lineRule="auto"/>
              <w:rPr>
                <w:bCs/>
                <w:color w:val="000000"/>
                <w:sz w:val="22"/>
                <w:szCs w:val="22"/>
                <w:lang w:val="en-GB"/>
              </w:rPr>
            </w:pPr>
          </w:p>
        </w:tc>
        <w:tc>
          <w:tcPr>
            <w:tcW w:w="7371" w:type="dxa"/>
            <w:tcBorders>
              <w:left w:val="single" w:sz="4" w:space="0" w:color="983620"/>
              <w:right w:val="single" w:sz="18" w:space="0" w:color="983620"/>
            </w:tcBorders>
            <w:shd w:val="clear" w:color="auto" w:fill="E6E6E6"/>
            <w:hideMark/>
          </w:tcPr>
          <w:tbl>
            <w:tblPr>
              <w:tblW w:w="6979" w:type="dxa"/>
              <w:tblLayout w:type="fixed"/>
              <w:tblCellMar>
                <w:left w:w="70" w:type="dxa"/>
                <w:right w:w="70" w:type="dxa"/>
              </w:tblCellMar>
              <w:tblLook w:val="04A0"/>
            </w:tblPr>
            <w:tblGrid>
              <w:gridCol w:w="6979"/>
            </w:tblGrid>
            <w:tr w:rsidR="00FC7277" w:rsidRPr="001368E0" w:rsidTr="00C709E2">
              <w:trPr>
                <w:trHeight w:val="5811"/>
              </w:trPr>
              <w:tc>
                <w:tcPr>
                  <w:tcW w:w="6979" w:type="dxa"/>
                  <w:tcBorders>
                    <w:top w:val="nil"/>
                  </w:tcBorders>
                  <w:shd w:val="clear" w:color="auto" w:fill="auto"/>
                  <w:vAlign w:val="center"/>
                  <w:hideMark/>
                </w:tcPr>
                <w:p w:rsidR="00FC7277" w:rsidRPr="001368E0" w:rsidRDefault="00FC7277" w:rsidP="0028075A">
                  <w:pPr>
                    <w:pStyle w:val="ListParagraph"/>
                    <w:numPr>
                      <w:ilvl w:val="0"/>
                      <w:numId w:val="35"/>
                    </w:numPr>
                    <w:spacing w:after="0" w:line="240" w:lineRule="auto"/>
                    <w:rPr>
                      <w:rFonts w:eastAsia="Times New Roman"/>
                      <w:color w:val="000000"/>
                      <w:sz w:val="22"/>
                      <w:szCs w:val="22"/>
                      <w:lang w:val="en-GB"/>
                    </w:rPr>
                  </w:pPr>
                  <w:r w:rsidRPr="001368E0">
                    <w:rPr>
                      <w:rFonts w:eastAsia="Times New Roman"/>
                      <w:color w:val="000000"/>
                      <w:sz w:val="22"/>
                      <w:szCs w:val="22"/>
                      <w:lang w:val="en-GB"/>
                    </w:rPr>
                    <w:t>Significant pressure from land-based pollution, through its large catchment area</w:t>
                  </w:r>
                </w:p>
                <w:p w:rsidR="00FC7277" w:rsidRPr="001368E0" w:rsidRDefault="00FC7277" w:rsidP="0028075A">
                  <w:pPr>
                    <w:pStyle w:val="ListParagraph"/>
                    <w:numPr>
                      <w:ilvl w:val="0"/>
                      <w:numId w:val="35"/>
                    </w:numPr>
                    <w:spacing w:after="0" w:line="240" w:lineRule="auto"/>
                    <w:rPr>
                      <w:rFonts w:eastAsia="Times New Roman"/>
                      <w:color w:val="000000"/>
                      <w:sz w:val="22"/>
                      <w:szCs w:val="22"/>
                      <w:lang w:val="en-GB"/>
                    </w:rPr>
                  </w:pPr>
                  <w:r w:rsidRPr="001368E0">
                    <w:rPr>
                      <w:rFonts w:eastAsia="Times New Roman"/>
                      <w:color w:val="000000"/>
                      <w:sz w:val="22"/>
                      <w:szCs w:val="22"/>
                      <w:lang w:val="en-GB"/>
                    </w:rPr>
                    <w:t>Black Sea low renewal rate and very prone to eutrophication</w:t>
                  </w:r>
                </w:p>
                <w:p w:rsidR="00FC7277" w:rsidRPr="001368E0" w:rsidRDefault="00FC7277" w:rsidP="0028075A">
                  <w:pPr>
                    <w:pStyle w:val="ListParagraph"/>
                    <w:numPr>
                      <w:ilvl w:val="0"/>
                      <w:numId w:val="35"/>
                    </w:numPr>
                    <w:spacing w:after="0" w:line="240" w:lineRule="auto"/>
                    <w:rPr>
                      <w:rFonts w:eastAsia="Times New Roman"/>
                      <w:color w:val="000000"/>
                      <w:sz w:val="22"/>
                      <w:szCs w:val="22"/>
                      <w:lang w:val="en-GB"/>
                    </w:rPr>
                  </w:pPr>
                  <w:r w:rsidRPr="001368E0">
                    <w:rPr>
                      <w:rFonts w:eastAsia="Times New Roman"/>
                      <w:color w:val="000000"/>
                      <w:sz w:val="22"/>
                      <w:szCs w:val="22"/>
                      <w:lang w:val="en-GB"/>
                    </w:rPr>
                    <w:t>Complex of transboundary ecological problems around the Black Sea (decline in living resources, chemical pollution, biodiversity change, habitat destruction, invasion by alien species, climate-change impacts, and mesoscale variability in the circulation system)</w:t>
                  </w:r>
                </w:p>
                <w:p w:rsidR="00FC7277" w:rsidRPr="001368E0" w:rsidRDefault="00FC7277" w:rsidP="0028075A">
                  <w:pPr>
                    <w:pStyle w:val="ListParagraph"/>
                    <w:numPr>
                      <w:ilvl w:val="0"/>
                      <w:numId w:val="35"/>
                    </w:numPr>
                    <w:spacing w:after="0" w:line="240" w:lineRule="auto"/>
                    <w:rPr>
                      <w:rFonts w:eastAsia="Times New Roman"/>
                      <w:color w:val="000000"/>
                      <w:sz w:val="22"/>
                      <w:szCs w:val="22"/>
                      <w:lang w:val="en-GB"/>
                    </w:rPr>
                  </w:pPr>
                  <w:r w:rsidRPr="001368E0">
                    <w:rPr>
                      <w:rFonts w:eastAsia="Times New Roman"/>
                      <w:color w:val="000000"/>
                      <w:sz w:val="22"/>
                      <w:szCs w:val="22"/>
                      <w:lang w:val="en-GB"/>
                    </w:rPr>
                    <w:t>Some beaches have had a high accumulation of garbage</w:t>
                  </w:r>
                </w:p>
                <w:p w:rsidR="00FC7277" w:rsidRPr="001368E0" w:rsidRDefault="00FC7277" w:rsidP="0028075A">
                  <w:pPr>
                    <w:pStyle w:val="ListParagraph"/>
                    <w:numPr>
                      <w:ilvl w:val="0"/>
                      <w:numId w:val="35"/>
                    </w:numPr>
                    <w:spacing w:after="0" w:line="240" w:lineRule="auto"/>
                    <w:rPr>
                      <w:rFonts w:eastAsia="Times New Roman"/>
                      <w:color w:val="000000"/>
                      <w:sz w:val="22"/>
                      <w:szCs w:val="22"/>
                      <w:lang w:val="en-GB"/>
                    </w:rPr>
                  </w:pPr>
                  <w:r w:rsidRPr="001368E0">
                    <w:rPr>
                      <w:rFonts w:eastAsia="Times New Roman"/>
                      <w:color w:val="000000"/>
                      <w:sz w:val="22"/>
                      <w:szCs w:val="22"/>
                      <w:lang w:val="en-GB"/>
                    </w:rPr>
                    <w:t>Extent of terrestrial and marine protected areas significantly less than that for the EU</w:t>
                  </w:r>
                </w:p>
                <w:p w:rsidR="00FC7277" w:rsidRPr="001368E0" w:rsidRDefault="00FC7277" w:rsidP="0028075A">
                  <w:pPr>
                    <w:pStyle w:val="ListParagraph"/>
                    <w:numPr>
                      <w:ilvl w:val="0"/>
                      <w:numId w:val="35"/>
                    </w:numPr>
                    <w:spacing w:after="0" w:line="240" w:lineRule="auto"/>
                    <w:rPr>
                      <w:rFonts w:eastAsia="Times New Roman"/>
                      <w:color w:val="000000"/>
                      <w:sz w:val="22"/>
                      <w:szCs w:val="22"/>
                      <w:lang w:val="en-GB"/>
                    </w:rPr>
                  </w:pPr>
                  <w:r w:rsidRPr="001368E0">
                    <w:rPr>
                      <w:rFonts w:eastAsia="Times New Roman"/>
                      <w:color w:val="000000"/>
                      <w:sz w:val="22"/>
                      <w:szCs w:val="22"/>
                      <w:lang w:val="en-GB"/>
                    </w:rPr>
                    <w:t>Many nature reserves lack effective management plans and infrastructure</w:t>
                  </w:r>
                </w:p>
                <w:p w:rsidR="00FC7277" w:rsidRPr="001368E0" w:rsidRDefault="00FC7277" w:rsidP="0028075A">
                  <w:pPr>
                    <w:pStyle w:val="ListParagraph"/>
                    <w:numPr>
                      <w:ilvl w:val="0"/>
                      <w:numId w:val="35"/>
                    </w:numPr>
                    <w:spacing w:after="0" w:line="240" w:lineRule="auto"/>
                    <w:rPr>
                      <w:rFonts w:eastAsia="Times New Roman"/>
                      <w:color w:val="000000"/>
                      <w:sz w:val="22"/>
                      <w:szCs w:val="22"/>
                    </w:rPr>
                  </w:pPr>
                  <w:r w:rsidRPr="001368E0">
                    <w:rPr>
                      <w:rFonts w:eastAsia="Times New Roman"/>
                      <w:color w:val="000000"/>
                      <w:sz w:val="22"/>
                      <w:szCs w:val="22"/>
                      <w:lang w:val="en-GB"/>
                    </w:rPr>
                    <w:t xml:space="preserve">Current access to safe drinking water in the region could be characterised as problematic, particularly in rural areas. </w:t>
                  </w:r>
                  <w:r w:rsidRPr="001368E0">
                    <w:rPr>
                      <w:rFonts w:eastAsia="Times New Roman"/>
                      <w:color w:val="000000"/>
                      <w:sz w:val="22"/>
                      <w:szCs w:val="22"/>
                    </w:rPr>
                    <w:t xml:space="preserve">Usage of groundwater for drinking purposes is not possible everywhere </w:t>
                  </w:r>
                </w:p>
                <w:p w:rsidR="00FC7277" w:rsidRPr="001368E0" w:rsidRDefault="00FC7277" w:rsidP="0028075A">
                  <w:pPr>
                    <w:pStyle w:val="ListParagraph"/>
                    <w:numPr>
                      <w:ilvl w:val="0"/>
                      <w:numId w:val="35"/>
                    </w:numPr>
                    <w:spacing w:after="0" w:line="240" w:lineRule="auto"/>
                    <w:rPr>
                      <w:rFonts w:eastAsia="Times New Roman"/>
                      <w:color w:val="000000"/>
                      <w:sz w:val="22"/>
                      <w:szCs w:val="22"/>
                      <w:lang w:val="en-GB"/>
                    </w:rPr>
                  </w:pPr>
                  <w:r w:rsidRPr="001368E0">
                    <w:rPr>
                      <w:rFonts w:eastAsia="Times New Roman"/>
                      <w:color w:val="000000"/>
                      <w:sz w:val="22"/>
                      <w:szCs w:val="22"/>
                      <w:lang w:val="en-GB"/>
                    </w:rPr>
                    <w:t xml:space="preserve">Coastal area of the sea is polluted (wastewater treatment often not sufficient in rural areas and coastal cities: worn-out equipment, no structures exist to remove effluent far from the shore, and insufficient institutional capacity at regional level </w:t>
                  </w:r>
                  <w:r w:rsidR="009A6FAC" w:rsidRPr="001368E0">
                    <w:rPr>
                      <w:rFonts w:eastAsia="Times New Roman"/>
                      <w:color w:val="000000"/>
                      <w:sz w:val="22"/>
                      <w:szCs w:val="22"/>
                      <w:lang w:val="en-GB"/>
                    </w:rPr>
                    <w:t>s</w:t>
                  </w:r>
                </w:p>
                <w:p w:rsidR="00FC7277" w:rsidRPr="001368E0" w:rsidRDefault="00FC7277" w:rsidP="0028075A">
                  <w:pPr>
                    <w:pStyle w:val="ListParagraph"/>
                    <w:numPr>
                      <w:ilvl w:val="0"/>
                      <w:numId w:val="35"/>
                    </w:numPr>
                    <w:spacing w:after="0" w:line="240" w:lineRule="auto"/>
                    <w:rPr>
                      <w:rFonts w:eastAsia="Times New Roman"/>
                      <w:color w:val="000000"/>
                      <w:sz w:val="22"/>
                      <w:szCs w:val="22"/>
                      <w:lang w:val="en-GB"/>
                    </w:rPr>
                  </w:pPr>
                  <w:r w:rsidRPr="001368E0">
                    <w:rPr>
                      <w:rFonts w:eastAsia="Times New Roman"/>
                      <w:color w:val="000000"/>
                      <w:sz w:val="22"/>
                      <w:szCs w:val="22"/>
                      <w:lang w:val="en-GB"/>
                    </w:rPr>
                    <w:t>Coastal wastewater treatment plants get overloaded in the summer</w:t>
                  </w:r>
                </w:p>
                <w:p w:rsidR="00FC7277" w:rsidRPr="001368E0" w:rsidRDefault="00FC7277" w:rsidP="0028075A">
                  <w:pPr>
                    <w:pStyle w:val="ListParagraph"/>
                    <w:numPr>
                      <w:ilvl w:val="0"/>
                      <w:numId w:val="35"/>
                    </w:numPr>
                    <w:spacing w:after="0" w:line="240" w:lineRule="auto"/>
                    <w:rPr>
                      <w:rFonts w:eastAsia="Times New Roman"/>
                      <w:color w:val="000000"/>
                      <w:sz w:val="22"/>
                      <w:szCs w:val="22"/>
                      <w:lang w:val="en-GB"/>
                    </w:rPr>
                  </w:pPr>
                  <w:r w:rsidRPr="001368E0">
                    <w:rPr>
                      <w:rFonts w:eastAsia="Times New Roman"/>
                      <w:color w:val="000000"/>
                      <w:sz w:val="22"/>
                      <w:szCs w:val="22"/>
                      <w:lang w:val="en-GB"/>
                    </w:rPr>
                    <w:t>Exploitation of renewables sources other than hydropower is still in its early stages</w:t>
                  </w:r>
                </w:p>
              </w:tc>
            </w:tr>
          </w:tbl>
          <w:p w:rsidR="00C21808" w:rsidRPr="001368E0" w:rsidRDefault="00C21808" w:rsidP="001368E0">
            <w:pPr>
              <w:pStyle w:val="ListParagraph"/>
              <w:spacing w:after="0" w:line="240" w:lineRule="auto"/>
              <w:rPr>
                <w:color w:val="000000"/>
                <w:sz w:val="22"/>
                <w:szCs w:val="22"/>
                <w:lang w:val="en-GB"/>
              </w:rPr>
            </w:pPr>
          </w:p>
        </w:tc>
      </w:tr>
      <w:tr w:rsidR="000A5CAE" w:rsidRPr="001368E0" w:rsidTr="001368E0">
        <w:trPr>
          <w:trHeight w:val="280"/>
        </w:trPr>
        <w:tc>
          <w:tcPr>
            <w:tcW w:w="3652" w:type="dxa"/>
            <w:tcBorders>
              <w:left w:val="single" w:sz="18" w:space="0" w:color="983620"/>
              <w:right w:val="single" w:sz="4" w:space="0" w:color="983620"/>
            </w:tcBorders>
            <w:shd w:val="clear" w:color="auto" w:fill="A6A6A6"/>
            <w:noWrap/>
            <w:hideMark/>
          </w:tcPr>
          <w:p w:rsidR="00C21808" w:rsidRPr="001368E0" w:rsidRDefault="00C21808" w:rsidP="001368E0">
            <w:pPr>
              <w:spacing w:after="0" w:line="240" w:lineRule="auto"/>
              <w:jc w:val="center"/>
              <w:rPr>
                <w:b/>
                <w:bCs/>
                <w:color w:val="000000"/>
                <w:sz w:val="22"/>
                <w:szCs w:val="22"/>
              </w:rPr>
            </w:pPr>
            <w:r w:rsidRPr="001368E0">
              <w:rPr>
                <w:b/>
                <w:bCs/>
                <w:color w:val="000000"/>
                <w:sz w:val="22"/>
                <w:szCs w:val="22"/>
              </w:rPr>
              <w:t>OPPORTUNITIES</w:t>
            </w:r>
          </w:p>
        </w:tc>
        <w:tc>
          <w:tcPr>
            <w:tcW w:w="7371" w:type="dxa"/>
            <w:tcBorders>
              <w:left w:val="single" w:sz="4" w:space="0" w:color="983620"/>
              <w:right w:val="single" w:sz="18" w:space="0" w:color="983620"/>
            </w:tcBorders>
            <w:shd w:val="clear" w:color="auto" w:fill="A6A6A6"/>
            <w:hideMark/>
          </w:tcPr>
          <w:p w:rsidR="00C21808" w:rsidRPr="001368E0" w:rsidRDefault="00C21808" w:rsidP="001368E0">
            <w:pPr>
              <w:spacing w:after="0" w:line="240" w:lineRule="auto"/>
              <w:jc w:val="center"/>
              <w:rPr>
                <w:b/>
                <w:color w:val="000000"/>
                <w:sz w:val="22"/>
                <w:szCs w:val="22"/>
              </w:rPr>
            </w:pPr>
            <w:r w:rsidRPr="001368E0">
              <w:rPr>
                <w:b/>
                <w:color w:val="000000"/>
                <w:sz w:val="22"/>
                <w:szCs w:val="22"/>
              </w:rPr>
              <w:t>THREATS</w:t>
            </w:r>
          </w:p>
        </w:tc>
      </w:tr>
      <w:tr w:rsidR="000A5CAE" w:rsidRPr="001368E0" w:rsidTr="001368E0">
        <w:trPr>
          <w:trHeight w:val="1076"/>
        </w:trPr>
        <w:tc>
          <w:tcPr>
            <w:tcW w:w="3652" w:type="dxa"/>
            <w:tcBorders>
              <w:left w:val="single" w:sz="18" w:space="0" w:color="983620"/>
              <w:bottom w:val="single" w:sz="18" w:space="0" w:color="983620"/>
              <w:right w:val="single" w:sz="4" w:space="0" w:color="983620"/>
            </w:tcBorders>
            <w:shd w:val="clear" w:color="auto" w:fill="E6E6E6"/>
            <w:hideMark/>
          </w:tcPr>
          <w:tbl>
            <w:tblPr>
              <w:tblW w:w="3402" w:type="dxa"/>
              <w:tblLayout w:type="fixed"/>
              <w:tblCellMar>
                <w:left w:w="70" w:type="dxa"/>
                <w:right w:w="70" w:type="dxa"/>
              </w:tblCellMar>
              <w:tblLook w:val="04A0"/>
            </w:tblPr>
            <w:tblGrid>
              <w:gridCol w:w="3402"/>
            </w:tblGrid>
            <w:tr w:rsidR="003D57BB" w:rsidRPr="001368E0" w:rsidTr="003D57BB">
              <w:trPr>
                <w:trHeight w:val="3080"/>
              </w:trPr>
              <w:tc>
                <w:tcPr>
                  <w:tcW w:w="3402" w:type="dxa"/>
                  <w:tcBorders>
                    <w:top w:val="nil"/>
                    <w:left w:val="nil"/>
                    <w:right w:val="nil"/>
                  </w:tcBorders>
                  <w:shd w:val="clear" w:color="auto" w:fill="auto"/>
                  <w:vAlign w:val="center"/>
                  <w:hideMark/>
                </w:tcPr>
                <w:p w:rsidR="003D57BB" w:rsidRPr="001368E0" w:rsidRDefault="003D57BB" w:rsidP="0028075A">
                  <w:pPr>
                    <w:pStyle w:val="ListParagraph"/>
                    <w:numPr>
                      <w:ilvl w:val="0"/>
                      <w:numId w:val="36"/>
                    </w:numPr>
                    <w:spacing w:after="0" w:line="240" w:lineRule="auto"/>
                    <w:rPr>
                      <w:rFonts w:eastAsia="Times New Roman"/>
                      <w:color w:val="000000"/>
                      <w:sz w:val="22"/>
                      <w:szCs w:val="22"/>
                      <w:lang w:val="en-GB"/>
                    </w:rPr>
                  </w:pPr>
                  <w:r w:rsidRPr="001368E0">
                    <w:rPr>
                      <w:rFonts w:eastAsia="Times New Roman"/>
                      <w:color w:val="000000"/>
                      <w:sz w:val="22"/>
                      <w:szCs w:val="22"/>
                      <w:lang w:val="en-GB"/>
                    </w:rPr>
                    <w:t>Nutrient pollution from Danube is likely to continue to decrease due to the implementation of EU environmental policy</w:t>
                  </w:r>
                </w:p>
                <w:p w:rsidR="003D57BB" w:rsidRPr="001368E0" w:rsidRDefault="003D57BB" w:rsidP="0028075A">
                  <w:pPr>
                    <w:pStyle w:val="ListParagraph"/>
                    <w:numPr>
                      <w:ilvl w:val="0"/>
                      <w:numId w:val="36"/>
                    </w:numPr>
                    <w:spacing w:after="0" w:line="240" w:lineRule="auto"/>
                    <w:rPr>
                      <w:rFonts w:eastAsia="Times New Roman"/>
                      <w:color w:val="000000"/>
                      <w:sz w:val="22"/>
                      <w:szCs w:val="22"/>
                      <w:lang w:val="en-GB"/>
                    </w:rPr>
                  </w:pPr>
                  <w:r w:rsidRPr="001368E0">
                    <w:rPr>
                      <w:rFonts w:eastAsia="Times New Roman"/>
                      <w:color w:val="000000"/>
                      <w:sz w:val="22"/>
                      <w:szCs w:val="22"/>
                      <w:lang w:val="en-GB"/>
                    </w:rPr>
                    <w:t>Massive growth in wind power seen globally</w:t>
                  </w:r>
                </w:p>
                <w:p w:rsidR="003D57BB" w:rsidRPr="001368E0" w:rsidRDefault="003D57BB" w:rsidP="0028075A">
                  <w:pPr>
                    <w:pStyle w:val="ListParagraph"/>
                    <w:numPr>
                      <w:ilvl w:val="0"/>
                      <w:numId w:val="36"/>
                    </w:numPr>
                    <w:spacing w:after="0" w:line="240" w:lineRule="auto"/>
                    <w:rPr>
                      <w:rFonts w:eastAsia="Times New Roman"/>
                      <w:color w:val="000000"/>
                      <w:sz w:val="22"/>
                      <w:szCs w:val="22"/>
                      <w:lang w:val="en-GB"/>
                    </w:rPr>
                  </w:pPr>
                  <w:r w:rsidRPr="001368E0">
                    <w:rPr>
                      <w:rFonts w:eastAsia="Times New Roman"/>
                      <w:color w:val="000000"/>
                      <w:sz w:val="22"/>
                      <w:szCs w:val="22"/>
                      <w:lang w:val="en-GB"/>
                    </w:rPr>
                    <w:t>Calls for a more efficient EU energy policy towards the Black Sea; BSEC promotion of Green Energy investments</w:t>
                  </w:r>
                </w:p>
              </w:tc>
            </w:tr>
          </w:tbl>
          <w:p w:rsidR="00C21808" w:rsidRPr="001368E0" w:rsidRDefault="00C21808" w:rsidP="001368E0">
            <w:pPr>
              <w:pStyle w:val="ListParagraph"/>
              <w:spacing w:after="120" w:line="240" w:lineRule="auto"/>
              <w:ind w:left="0"/>
              <w:rPr>
                <w:rFonts w:eastAsia="Times New Roman"/>
                <w:bCs/>
                <w:color w:val="000000"/>
                <w:sz w:val="22"/>
                <w:szCs w:val="22"/>
                <w:lang w:val="en-GB"/>
              </w:rPr>
            </w:pPr>
          </w:p>
        </w:tc>
        <w:tc>
          <w:tcPr>
            <w:tcW w:w="7371" w:type="dxa"/>
            <w:tcBorders>
              <w:left w:val="single" w:sz="4" w:space="0" w:color="983620"/>
              <w:bottom w:val="single" w:sz="18" w:space="0" w:color="983620"/>
              <w:right w:val="single" w:sz="18" w:space="0" w:color="983620"/>
            </w:tcBorders>
            <w:shd w:val="clear" w:color="auto" w:fill="E6E6E6"/>
            <w:hideMark/>
          </w:tcPr>
          <w:tbl>
            <w:tblPr>
              <w:tblW w:w="7121" w:type="dxa"/>
              <w:tblLayout w:type="fixed"/>
              <w:tblCellMar>
                <w:left w:w="70" w:type="dxa"/>
                <w:right w:w="70" w:type="dxa"/>
              </w:tblCellMar>
              <w:tblLook w:val="04A0"/>
            </w:tblPr>
            <w:tblGrid>
              <w:gridCol w:w="7121"/>
            </w:tblGrid>
            <w:tr w:rsidR="003D57BB" w:rsidRPr="001368E0" w:rsidTr="000A5CAE">
              <w:trPr>
                <w:trHeight w:val="2989"/>
              </w:trPr>
              <w:tc>
                <w:tcPr>
                  <w:tcW w:w="7121" w:type="dxa"/>
                  <w:tcBorders>
                    <w:top w:val="nil"/>
                    <w:left w:val="nil"/>
                  </w:tcBorders>
                  <w:shd w:val="clear" w:color="auto" w:fill="auto"/>
                  <w:vAlign w:val="center"/>
                  <w:hideMark/>
                </w:tcPr>
                <w:p w:rsidR="003D57BB" w:rsidRPr="001368E0" w:rsidRDefault="003D57BB" w:rsidP="0028075A">
                  <w:pPr>
                    <w:pStyle w:val="ListParagraph"/>
                    <w:numPr>
                      <w:ilvl w:val="0"/>
                      <w:numId w:val="36"/>
                    </w:numPr>
                    <w:spacing w:after="0" w:line="240" w:lineRule="auto"/>
                    <w:rPr>
                      <w:rFonts w:eastAsia="Times New Roman"/>
                      <w:color w:val="000000"/>
                      <w:sz w:val="22"/>
                      <w:szCs w:val="22"/>
                      <w:lang w:val="en-GB"/>
                    </w:rPr>
                  </w:pPr>
                  <w:r w:rsidRPr="001368E0">
                    <w:rPr>
                      <w:rFonts w:eastAsia="Times New Roman"/>
                      <w:color w:val="000000"/>
                      <w:sz w:val="22"/>
                      <w:szCs w:val="22"/>
                      <w:lang w:val="en-GB"/>
                    </w:rPr>
                    <w:t>Don and Dnipro may continue to carry heavy nutrient loadings into Black Sea northwestern part and Azov Sea</w:t>
                  </w:r>
                </w:p>
                <w:p w:rsidR="003D57BB" w:rsidRPr="001368E0" w:rsidRDefault="003D57BB" w:rsidP="0028075A">
                  <w:pPr>
                    <w:pStyle w:val="ListParagraph"/>
                    <w:numPr>
                      <w:ilvl w:val="0"/>
                      <w:numId w:val="36"/>
                    </w:numPr>
                    <w:spacing w:after="0" w:line="240" w:lineRule="auto"/>
                    <w:rPr>
                      <w:rFonts w:eastAsia="Times New Roman"/>
                      <w:color w:val="000000"/>
                      <w:sz w:val="22"/>
                      <w:szCs w:val="22"/>
                      <w:lang w:val="en-GB"/>
                    </w:rPr>
                  </w:pPr>
                  <w:r w:rsidRPr="001368E0">
                    <w:rPr>
                      <w:rFonts w:eastAsia="Times New Roman"/>
                      <w:color w:val="000000"/>
                      <w:sz w:val="22"/>
                      <w:szCs w:val="22"/>
                      <w:lang w:val="en-GB"/>
                    </w:rPr>
                    <w:t>Oil pollution enters the sea as a result of operational discharges by vessels and due to accidents</w:t>
                  </w:r>
                </w:p>
                <w:p w:rsidR="003D57BB" w:rsidRPr="001368E0" w:rsidRDefault="003D57BB" w:rsidP="0028075A">
                  <w:pPr>
                    <w:pStyle w:val="ListParagraph"/>
                    <w:numPr>
                      <w:ilvl w:val="0"/>
                      <w:numId w:val="36"/>
                    </w:numPr>
                    <w:spacing w:after="0" w:line="240" w:lineRule="auto"/>
                    <w:rPr>
                      <w:rFonts w:eastAsia="Times New Roman"/>
                      <w:color w:val="000000"/>
                      <w:sz w:val="22"/>
                      <w:szCs w:val="22"/>
                    </w:rPr>
                  </w:pPr>
                  <w:r w:rsidRPr="001368E0">
                    <w:rPr>
                      <w:rFonts w:eastAsia="Times New Roman"/>
                      <w:color w:val="000000"/>
                      <w:sz w:val="22"/>
                      <w:szCs w:val="22"/>
                    </w:rPr>
                    <w:t>Discharge of insufficiently treated sewage</w:t>
                  </w:r>
                </w:p>
                <w:p w:rsidR="003D57BB" w:rsidRPr="001368E0" w:rsidRDefault="003D57BB" w:rsidP="0028075A">
                  <w:pPr>
                    <w:pStyle w:val="ListParagraph"/>
                    <w:numPr>
                      <w:ilvl w:val="0"/>
                      <w:numId w:val="36"/>
                    </w:numPr>
                    <w:spacing w:after="0" w:line="240" w:lineRule="auto"/>
                    <w:rPr>
                      <w:rFonts w:eastAsia="Times New Roman"/>
                      <w:color w:val="000000"/>
                      <w:sz w:val="22"/>
                      <w:szCs w:val="22"/>
                      <w:lang w:val="en-GB"/>
                    </w:rPr>
                  </w:pPr>
                  <w:r w:rsidRPr="001368E0">
                    <w:rPr>
                      <w:rFonts w:eastAsia="Times New Roman"/>
                      <w:color w:val="000000"/>
                      <w:sz w:val="22"/>
                      <w:szCs w:val="22"/>
                      <w:lang w:val="en-GB"/>
                    </w:rPr>
                    <w:t>Pollution of rivers has led to a sharp decline in access to safe drinking water resources</w:t>
                  </w:r>
                </w:p>
                <w:p w:rsidR="003D57BB" w:rsidRPr="001368E0" w:rsidRDefault="003D57BB" w:rsidP="0028075A">
                  <w:pPr>
                    <w:pStyle w:val="ListParagraph"/>
                    <w:numPr>
                      <w:ilvl w:val="0"/>
                      <w:numId w:val="36"/>
                    </w:numPr>
                    <w:spacing w:after="0" w:line="240" w:lineRule="auto"/>
                    <w:rPr>
                      <w:rFonts w:eastAsia="Times New Roman"/>
                      <w:color w:val="000000"/>
                      <w:sz w:val="22"/>
                      <w:szCs w:val="22"/>
                      <w:lang w:val="en-GB"/>
                    </w:rPr>
                  </w:pPr>
                  <w:r w:rsidRPr="001368E0">
                    <w:rPr>
                      <w:rFonts w:eastAsia="Times New Roman"/>
                      <w:color w:val="000000"/>
                      <w:sz w:val="22"/>
                      <w:szCs w:val="22"/>
                      <w:lang w:val="en-GB"/>
                    </w:rPr>
                    <w:t>Around 50,000 ships sail through the Bosporus every year, including at least 10,000 oil tankers</w:t>
                  </w:r>
                </w:p>
                <w:p w:rsidR="003D57BB" w:rsidRPr="001368E0" w:rsidRDefault="003D57BB" w:rsidP="0028075A">
                  <w:pPr>
                    <w:pStyle w:val="ListParagraph"/>
                    <w:numPr>
                      <w:ilvl w:val="0"/>
                      <w:numId w:val="36"/>
                    </w:numPr>
                    <w:spacing w:after="0" w:line="240" w:lineRule="auto"/>
                    <w:rPr>
                      <w:rFonts w:eastAsia="Times New Roman"/>
                      <w:color w:val="000000"/>
                      <w:sz w:val="22"/>
                      <w:szCs w:val="22"/>
                      <w:lang w:val="en-GB"/>
                    </w:rPr>
                  </w:pPr>
                  <w:r w:rsidRPr="001368E0">
                    <w:rPr>
                      <w:rFonts w:eastAsia="Times New Roman"/>
                      <w:color w:val="000000"/>
                      <w:sz w:val="22"/>
                      <w:szCs w:val="22"/>
                      <w:lang w:val="en-GB"/>
                    </w:rPr>
                    <w:t>The transport of oil and gas across the Black Sea is a major activity</w:t>
                  </w:r>
                </w:p>
              </w:tc>
            </w:tr>
          </w:tbl>
          <w:p w:rsidR="00C21808" w:rsidRPr="001368E0" w:rsidRDefault="00C21808" w:rsidP="001368E0">
            <w:pPr>
              <w:pStyle w:val="ListParagraph"/>
              <w:spacing w:after="120" w:line="240" w:lineRule="auto"/>
              <w:ind w:left="0"/>
              <w:rPr>
                <w:color w:val="000000"/>
                <w:sz w:val="22"/>
                <w:szCs w:val="22"/>
                <w:lang w:val="en-GB"/>
              </w:rPr>
            </w:pPr>
          </w:p>
        </w:tc>
      </w:tr>
    </w:tbl>
    <w:p w:rsidR="00D90F8C" w:rsidRDefault="00D90F8C" w:rsidP="00037D9A">
      <w:pPr>
        <w:pStyle w:val="Heading3"/>
        <w:rPr>
          <w:b/>
          <w:sz w:val="28"/>
          <w:szCs w:val="28"/>
          <w:lang w:val="en-GB"/>
        </w:rPr>
      </w:pPr>
    </w:p>
    <w:p w:rsidR="00037D9A" w:rsidRPr="00037D9A" w:rsidRDefault="00037D9A" w:rsidP="00037D9A">
      <w:pPr>
        <w:pStyle w:val="Heading3"/>
        <w:rPr>
          <w:b/>
          <w:sz w:val="28"/>
          <w:szCs w:val="28"/>
          <w:lang w:val="en-GB"/>
        </w:rPr>
      </w:pPr>
      <w:bookmarkStart w:id="44" w:name="_Toc288133437"/>
      <w:r>
        <w:rPr>
          <w:b/>
          <w:sz w:val="28"/>
          <w:szCs w:val="28"/>
          <w:lang w:val="en-GB"/>
        </w:rPr>
        <w:t>Health, safety and security</w:t>
      </w:r>
      <w:bookmarkEnd w:id="44"/>
    </w:p>
    <w:p w:rsidR="00D16147" w:rsidRPr="008242B5" w:rsidRDefault="00D16147" w:rsidP="000D36B6">
      <w:pPr>
        <w:spacing w:before="240" w:after="120"/>
        <w:rPr>
          <w:b/>
          <w:lang w:val="en-GB"/>
        </w:rPr>
      </w:pPr>
      <w:bookmarkStart w:id="45" w:name="_Toc246127437"/>
      <w:r w:rsidRPr="008242B5">
        <w:rPr>
          <w:b/>
          <w:lang w:val="en-GB"/>
        </w:rPr>
        <w:t>Overview of key health challenges</w:t>
      </w:r>
      <w:bookmarkEnd w:id="45"/>
      <w:r w:rsidRPr="008242B5">
        <w:rPr>
          <w:b/>
          <w:lang w:val="en-GB"/>
        </w:rPr>
        <w:t xml:space="preserve"> </w:t>
      </w:r>
    </w:p>
    <w:p w:rsidR="00D16147" w:rsidRPr="004B58D3" w:rsidRDefault="00D16147" w:rsidP="00D16147">
      <w:pPr>
        <w:spacing w:before="120" w:after="0" w:line="252" w:lineRule="auto"/>
        <w:jc w:val="both"/>
        <w:rPr>
          <w:sz w:val="22"/>
          <w:szCs w:val="22"/>
          <w:lang w:val="en-GB"/>
        </w:rPr>
      </w:pPr>
      <w:r w:rsidRPr="004B58D3">
        <w:rPr>
          <w:sz w:val="22"/>
          <w:szCs w:val="22"/>
          <w:lang w:val="en-GB"/>
        </w:rPr>
        <w:t>Though people in the Black Sea Basin countries still live on average seven years less than in the EU, the gap narrowed slightly from 2006 to 2010 as life expectancy has increased more quickly in the Black Sea Basin than in the EU, with a gain of 1.2 years (at 72.7) against a little less than 1 in the EU (at 79.6)</w:t>
      </w:r>
      <w:r w:rsidRPr="003C35AD">
        <w:rPr>
          <w:rStyle w:val="EndnoteReference"/>
          <w:sz w:val="22"/>
          <w:szCs w:val="22"/>
        </w:rPr>
        <w:endnoteReference w:id="81"/>
      </w:r>
      <w:r w:rsidRPr="004B58D3">
        <w:rPr>
          <w:sz w:val="22"/>
          <w:szCs w:val="22"/>
          <w:lang w:val="en-GB"/>
        </w:rPr>
        <w:t>. Great inequalities remain between and within countries in the Black Sea Basin area</w:t>
      </w:r>
      <w:r w:rsidR="00FF6D05">
        <w:rPr>
          <w:sz w:val="22"/>
          <w:szCs w:val="22"/>
          <w:lang w:val="en-GB"/>
        </w:rPr>
        <w:t xml:space="preserve"> (see figure 22</w:t>
      </w:r>
      <w:r w:rsidRPr="004B58D3">
        <w:rPr>
          <w:sz w:val="22"/>
          <w:szCs w:val="22"/>
          <w:lang w:val="en-GB"/>
        </w:rPr>
        <w:t xml:space="preserve"> below). Life expectancy for men in 2012 ranged</w:t>
      </w:r>
      <w:r w:rsidRPr="003C35AD">
        <w:rPr>
          <w:rStyle w:val="FootnoteReference"/>
          <w:sz w:val="22"/>
          <w:szCs w:val="22"/>
        </w:rPr>
        <w:footnoteReference w:id="45"/>
      </w:r>
      <w:r w:rsidRPr="004B58D3">
        <w:rPr>
          <w:sz w:val="22"/>
          <w:szCs w:val="22"/>
          <w:lang w:val="en-GB"/>
        </w:rPr>
        <w:t xml:space="preserve"> from 64</w:t>
      </w:r>
      <w:r>
        <w:rPr>
          <w:sz w:val="22"/>
          <w:szCs w:val="22"/>
          <w:lang w:val="en-GB"/>
        </w:rPr>
        <w:t>.</w:t>
      </w:r>
      <w:r w:rsidRPr="004B58D3">
        <w:rPr>
          <w:sz w:val="22"/>
          <w:szCs w:val="22"/>
          <w:lang w:val="en-GB"/>
        </w:rPr>
        <w:t>4 years in Donetsk oblast (Ukraine) to 78.2 in Greece, and for women from 75 years in Moldova and Odeska oblast (Ukraine) to 82.9 in Greece</w:t>
      </w:r>
      <w:r w:rsidRPr="003C35AD">
        <w:rPr>
          <w:rStyle w:val="EndnoteReference"/>
          <w:sz w:val="22"/>
          <w:szCs w:val="22"/>
        </w:rPr>
        <w:endnoteReference w:id="82"/>
      </w:r>
      <w:r w:rsidRPr="004B58D3">
        <w:rPr>
          <w:sz w:val="22"/>
          <w:szCs w:val="22"/>
          <w:lang w:val="en-GB"/>
        </w:rPr>
        <w:t>.</w:t>
      </w:r>
    </w:p>
    <w:p w:rsidR="00D16147" w:rsidRDefault="006102F6" w:rsidP="00D16147">
      <w:pPr>
        <w:keepNext/>
        <w:spacing w:before="120" w:after="0" w:line="252" w:lineRule="auto"/>
      </w:pPr>
      <w:r>
        <w:rPr>
          <w:noProof/>
          <w:lang w:val="ro-RO" w:eastAsia="ro-RO"/>
        </w:rPr>
        <w:drawing>
          <wp:inline distT="0" distB="0" distL="0" distR="0">
            <wp:extent cx="6696075" cy="2266950"/>
            <wp:effectExtent l="19050" t="0" r="9525" b="0"/>
            <wp:docPr id="2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5"/>
                    <a:srcRect/>
                    <a:stretch>
                      <a:fillRect/>
                    </a:stretch>
                  </pic:blipFill>
                  <pic:spPr bwMode="auto">
                    <a:xfrm>
                      <a:off x="0" y="0"/>
                      <a:ext cx="6696075" cy="2266950"/>
                    </a:xfrm>
                    <a:prstGeom prst="rect">
                      <a:avLst/>
                    </a:prstGeom>
                    <a:noFill/>
                    <a:ln w="9525">
                      <a:noFill/>
                      <a:miter lim="800000"/>
                      <a:headEnd/>
                      <a:tailEnd/>
                    </a:ln>
                  </pic:spPr>
                </pic:pic>
              </a:graphicData>
            </a:graphic>
          </wp:inline>
        </w:drawing>
      </w:r>
    </w:p>
    <w:p w:rsidR="00D16147" w:rsidRPr="004B58D3" w:rsidRDefault="00D16147" w:rsidP="005A12B9">
      <w:pPr>
        <w:pStyle w:val="Caption"/>
        <w:jc w:val="left"/>
        <w:rPr>
          <w:sz w:val="22"/>
          <w:szCs w:val="22"/>
          <w:lang w:val="en-GB"/>
        </w:rPr>
      </w:pPr>
      <w:r w:rsidRPr="004B58D3">
        <w:rPr>
          <w:sz w:val="22"/>
          <w:szCs w:val="22"/>
          <w:lang w:val="en-GB"/>
        </w:rPr>
        <w:t xml:space="preserve">Figure </w:t>
      </w:r>
      <w:r w:rsidR="00957F9B">
        <w:rPr>
          <w:sz w:val="22"/>
          <w:szCs w:val="22"/>
          <w:lang w:val="en-GB"/>
        </w:rPr>
        <w:t>22</w:t>
      </w:r>
      <w:r w:rsidRPr="004B58D3">
        <w:rPr>
          <w:sz w:val="22"/>
          <w:szCs w:val="22"/>
          <w:lang w:val="en-GB"/>
        </w:rPr>
        <w:t>. Life expectancy at birth, 2010</w:t>
      </w:r>
      <w:r w:rsidRPr="00645879">
        <w:rPr>
          <w:rStyle w:val="EndnoteReference"/>
          <w:sz w:val="22"/>
          <w:szCs w:val="22"/>
        </w:rPr>
        <w:endnoteReference w:id="83"/>
      </w:r>
    </w:p>
    <w:p w:rsidR="00D16147" w:rsidRDefault="00D16147" w:rsidP="00D16147">
      <w:pPr>
        <w:spacing w:before="120" w:after="0" w:line="252" w:lineRule="auto"/>
        <w:jc w:val="both"/>
        <w:rPr>
          <w:sz w:val="22"/>
          <w:szCs w:val="22"/>
          <w:lang w:val="en-GB"/>
        </w:rPr>
      </w:pPr>
      <w:r w:rsidRPr="004B58D3">
        <w:rPr>
          <w:sz w:val="22"/>
          <w:szCs w:val="22"/>
          <w:lang w:val="en-GB"/>
        </w:rPr>
        <w:t>To sustain the average gains in life expectancy, continuous efforts are required to decrease mortality, particularly from diseases of the circulatory system, respiratory and infectious diseases, and external causes of injury and poisoning.</w:t>
      </w:r>
    </w:p>
    <w:p w:rsidR="00D16147" w:rsidRDefault="00D16147" w:rsidP="00D16147">
      <w:pPr>
        <w:spacing w:before="120" w:after="0" w:line="252" w:lineRule="auto"/>
        <w:jc w:val="both"/>
        <w:rPr>
          <w:sz w:val="22"/>
          <w:szCs w:val="22"/>
          <w:lang w:val="en-GB"/>
        </w:rPr>
      </w:pPr>
      <w:r w:rsidRPr="004B58D3">
        <w:rPr>
          <w:sz w:val="22"/>
          <w:szCs w:val="22"/>
          <w:lang w:val="en-GB"/>
        </w:rPr>
        <w:t>Cir</w:t>
      </w:r>
      <w:r>
        <w:rPr>
          <w:sz w:val="22"/>
          <w:szCs w:val="22"/>
          <w:lang w:val="en-GB"/>
        </w:rPr>
        <w:t>culatory system diseases remain</w:t>
      </w:r>
      <w:r w:rsidRPr="004B58D3">
        <w:rPr>
          <w:sz w:val="22"/>
          <w:szCs w:val="22"/>
          <w:lang w:val="en-GB"/>
        </w:rPr>
        <w:t xml:space="preserve"> by far the most important cause of premature death o</w:t>
      </w:r>
      <w:r>
        <w:rPr>
          <w:sz w:val="22"/>
          <w:szCs w:val="22"/>
          <w:lang w:val="en-GB"/>
        </w:rPr>
        <w:t>verall</w:t>
      </w:r>
      <w:r w:rsidRPr="004B58D3">
        <w:rPr>
          <w:sz w:val="22"/>
          <w:szCs w:val="22"/>
          <w:lang w:val="en-GB"/>
        </w:rPr>
        <w:t>, with higher rates for men than women, followed by cancer. However, mortality rates linked to circulatory system diseases vary widely between countries in the region, from 245</w:t>
      </w:r>
      <w:r>
        <w:rPr>
          <w:sz w:val="22"/>
          <w:szCs w:val="22"/>
          <w:lang w:val="en-GB"/>
        </w:rPr>
        <w:t xml:space="preserve"> deaths</w:t>
      </w:r>
      <w:r w:rsidRPr="004B58D3">
        <w:rPr>
          <w:sz w:val="22"/>
          <w:szCs w:val="22"/>
          <w:lang w:val="en-GB"/>
        </w:rPr>
        <w:t xml:space="preserve"> (per 100,000 population) in Greece to above 700 in Ukraine and Moldova</w:t>
      </w:r>
      <w:r w:rsidRPr="003C35AD">
        <w:rPr>
          <w:rStyle w:val="EndnoteReference"/>
          <w:sz w:val="22"/>
          <w:szCs w:val="22"/>
        </w:rPr>
        <w:endnoteReference w:id="84"/>
      </w:r>
      <w:r w:rsidRPr="004B58D3">
        <w:rPr>
          <w:sz w:val="22"/>
          <w:szCs w:val="22"/>
          <w:lang w:val="en-GB"/>
        </w:rPr>
        <w:t>. Evidence indicates that this challenge can be improved by countries addressing a combination of preventable factors, including high alcohol intake, obesity, high salt intake and physical inactivity</w:t>
      </w:r>
      <w:r w:rsidRPr="003C35AD">
        <w:rPr>
          <w:rStyle w:val="EndnoteReference"/>
          <w:sz w:val="22"/>
          <w:szCs w:val="22"/>
        </w:rPr>
        <w:endnoteReference w:id="85"/>
      </w:r>
      <w:r w:rsidRPr="004B58D3">
        <w:rPr>
          <w:sz w:val="22"/>
          <w:szCs w:val="22"/>
          <w:lang w:val="en-GB"/>
        </w:rPr>
        <w:t xml:space="preserve">. Promotion of healthy lifestyle appears thus as a priority for improving overall health and reducing premature mortality in the Black Sea Basin. </w:t>
      </w:r>
    </w:p>
    <w:p w:rsidR="00D16147" w:rsidRPr="00E50E7D" w:rsidRDefault="00D16147" w:rsidP="00D16147">
      <w:pPr>
        <w:spacing w:before="120" w:after="0" w:line="252" w:lineRule="auto"/>
        <w:jc w:val="both"/>
        <w:rPr>
          <w:sz w:val="22"/>
          <w:szCs w:val="22"/>
          <w:lang w:val="en-GB"/>
        </w:rPr>
      </w:pPr>
      <w:r w:rsidRPr="0050052A">
        <w:rPr>
          <w:sz w:val="22"/>
          <w:szCs w:val="22"/>
          <w:lang w:val="en-GB"/>
        </w:rPr>
        <w:t>In regard to cancer, the mortality and incidence patterns vary according to the type of cancer with lung and colon neoplasms having the highest overall mortality. Men are also more affected than women by cancer with 172 against 96 deaths (per 100,000 population) on average in 2008</w:t>
      </w:r>
      <w:r w:rsidRPr="0050052A">
        <w:rPr>
          <w:rStyle w:val="EndnoteReference"/>
          <w:sz w:val="22"/>
          <w:szCs w:val="22"/>
          <w:lang w:val="en-GB"/>
        </w:rPr>
        <w:endnoteReference w:id="86"/>
      </w:r>
      <w:r w:rsidRPr="0050052A">
        <w:rPr>
          <w:sz w:val="22"/>
          <w:szCs w:val="22"/>
          <w:lang w:val="en-GB"/>
        </w:rPr>
        <w:t>. Discrepancies also appear within the Black Sea Basin region with Armenia and Romania being the most affected and Turkey and Georgia the least</w:t>
      </w:r>
      <w:r w:rsidRPr="0050052A">
        <w:rPr>
          <w:rStyle w:val="FootnoteReference"/>
          <w:sz w:val="22"/>
          <w:szCs w:val="22"/>
          <w:lang w:val="en-GB"/>
        </w:rPr>
        <w:footnoteReference w:id="46"/>
      </w:r>
      <w:r w:rsidRPr="0050052A">
        <w:rPr>
          <w:sz w:val="22"/>
          <w:szCs w:val="22"/>
          <w:lang w:val="en-GB"/>
        </w:rPr>
        <w:t>.</w:t>
      </w:r>
    </w:p>
    <w:p w:rsidR="00A34868" w:rsidRDefault="00A34868">
      <w:pPr>
        <w:rPr>
          <w:sz w:val="22"/>
          <w:szCs w:val="22"/>
          <w:lang w:val="en-GB"/>
        </w:rPr>
      </w:pPr>
      <w:r>
        <w:rPr>
          <w:sz w:val="22"/>
          <w:szCs w:val="22"/>
          <w:lang w:val="en-GB"/>
        </w:rPr>
        <w:br w:type="page"/>
      </w:r>
    </w:p>
    <w:p w:rsidR="00D16147" w:rsidRDefault="006102F6" w:rsidP="00DF4ADE">
      <w:pPr>
        <w:keepNext/>
        <w:spacing w:after="0" w:line="252" w:lineRule="auto"/>
      </w:pPr>
      <w:r>
        <w:rPr>
          <w:noProof/>
          <w:lang w:val="ro-RO" w:eastAsia="ro-RO"/>
        </w:rPr>
        <w:drawing>
          <wp:inline distT="0" distB="0" distL="0" distR="0">
            <wp:extent cx="6877050" cy="2333625"/>
            <wp:effectExtent l="19050" t="0" r="0" b="0"/>
            <wp:docPr id="26"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36"/>
                    <a:srcRect/>
                    <a:stretch>
                      <a:fillRect/>
                    </a:stretch>
                  </pic:blipFill>
                  <pic:spPr bwMode="auto">
                    <a:xfrm>
                      <a:off x="0" y="0"/>
                      <a:ext cx="6877050" cy="2333625"/>
                    </a:xfrm>
                    <a:prstGeom prst="rect">
                      <a:avLst/>
                    </a:prstGeom>
                    <a:noFill/>
                    <a:ln w="9525">
                      <a:noFill/>
                      <a:miter lim="800000"/>
                      <a:headEnd/>
                      <a:tailEnd/>
                    </a:ln>
                  </pic:spPr>
                </pic:pic>
              </a:graphicData>
            </a:graphic>
          </wp:inline>
        </w:drawing>
      </w:r>
    </w:p>
    <w:p w:rsidR="00D16147" w:rsidRPr="004B58D3"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957F9B">
        <w:rPr>
          <w:sz w:val="22"/>
          <w:szCs w:val="22"/>
          <w:lang w:val="en-GB"/>
        </w:rPr>
        <w:t>23</w:t>
      </w:r>
      <w:r w:rsidRPr="004B58D3">
        <w:rPr>
          <w:sz w:val="22"/>
          <w:szCs w:val="22"/>
          <w:lang w:val="en-GB"/>
        </w:rPr>
        <w:t>. Cause of death (% of total deaths), 2008</w:t>
      </w:r>
      <w:r>
        <w:rPr>
          <w:rStyle w:val="EndnoteReference"/>
          <w:sz w:val="22"/>
          <w:szCs w:val="22"/>
        </w:rPr>
        <w:endnoteReference w:id="87"/>
      </w:r>
    </w:p>
    <w:p w:rsidR="00D16147" w:rsidRPr="004B58D3" w:rsidRDefault="00D16147" w:rsidP="00DF4ADE">
      <w:pPr>
        <w:spacing w:before="240" w:after="0" w:line="252" w:lineRule="auto"/>
        <w:jc w:val="both"/>
        <w:rPr>
          <w:sz w:val="22"/>
          <w:szCs w:val="22"/>
          <w:lang w:val="en-GB"/>
        </w:rPr>
      </w:pPr>
      <w:r w:rsidRPr="004B58D3">
        <w:rPr>
          <w:sz w:val="22"/>
          <w:szCs w:val="22"/>
          <w:lang w:val="en-GB"/>
        </w:rPr>
        <w:t>External causes of injury and poisoning are also important causes of mortality in the region, again with higher rates among men then women, and comprise a constellation of causes, including transport and motor vehicle accidents, falls, suicides and homicides. With a three-fold disparity appearing</w:t>
      </w:r>
      <w:r w:rsidR="00A31160">
        <w:rPr>
          <w:sz w:val="22"/>
          <w:szCs w:val="22"/>
          <w:lang w:val="en-GB"/>
        </w:rPr>
        <w:t xml:space="preserve"> at country level (see figure 23</w:t>
      </w:r>
      <w:r w:rsidRPr="004B58D3">
        <w:rPr>
          <w:sz w:val="22"/>
          <w:szCs w:val="22"/>
          <w:lang w:val="en-GB"/>
        </w:rPr>
        <w:t xml:space="preserve"> above), best practices could be shared between countries to tackle deaths from these causes</w:t>
      </w:r>
      <w:r w:rsidRPr="003C35AD">
        <w:rPr>
          <w:rStyle w:val="EndnoteReference"/>
          <w:sz w:val="22"/>
          <w:szCs w:val="22"/>
        </w:rPr>
        <w:endnoteReference w:id="88"/>
      </w:r>
      <w:r w:rsidRPr="004B58D3">
        <w:rPr>
          <w:sz w:val="22"/>
          <w:szCs w:val="22"/>
          <w:lang w:val="en-GB"/>
        </w:rPr>
        <w:t>.</w:t>
      </w:r>
    </w:p>
    <w:p w:rsidR="00D16147" w:rsidRPr="004B58D3" w:rsidRDefault="00D16147" w:rsidP="00DF4ADE">
      <w:pPr>
        <w:spacing w:before="120" w:after="0" w:line="252" w:lineRule="auto"/>
        <w:jc w:val="both"/>
        <w:rPr>
          <w:sz w:val="22"/>
          <w:szCs w:val="22"/>
          <w:lang w:val="en-GB"/>
        </w:rPr>
      </w:pPr>
      <w:r w:rsidRPr="004B58D3">
        <w:rPr>
          <w:sz w:val="22"/>
          <w:szCs w:val="22"/>
          <w:lang w:val="en-GB"/>
        </w:rPr>
        <w:t>Within communicable diseases, tuberculosis remains a significant cause of mortality, however prevalence and mortality rates have both decreased over the last few years (see figure 24 below)</w:t>
      </w:r>
      <w:r w:rsidRPr="004320D6">
        <w:rPr>
          <w:rStyle w:val="EndnoteReference"/>
          <w:sz w:val="22"/>
          <w:szCs w:val="22"/>
        </w:rPr>
        <w:endnoteReference w:id="89"/>
      </w:r>
      <w:r w:rsidRPr="004B58D3">
        <w:rPr>
          <w:sz w:val="22"/>
          <w:szCs w:val="22"/>
          <w:lang w:val="en-GB"/>
        </w:rPr>
        <w:t>.</w:t>
      </w:r>
    </w:p>
    <w:p w:rsidR="00D16147" w:rsidRDefault="006102F6" w:rsidP="00DF4ADE">
      <w:pPr>
        <w:keepNext/>
        <w:spacing w:before="120" w:after="0" w:line="252" w:lineRule="auto"/>
      </w:pPr>
      <w:r>
        <w:rPr>
          <w:rFonts w:hAnsi="Verdana"/>
          <w:noProof/>
          <w:color w:val="000000"/>
          <w:kern w:val="24"/>
          <w:sz w:val="32"/>
          <w:szCs w:val="32"/>
          <w:lang w:val="ro-RO" w:eastAsia="ro-RO"/>
        </w:rPr>
        <w:drawing>
          <wp:inline distT="0" distB="0" distL="0" distR="0">
            <wp:extent cx="6696075" cy="2266950"/>
            <wp:effectExtent l="19050" t="0" r="9525" b="0"/>
            <wp:docPr id="2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37"/>
                    <a:srcRect/>
                    <a:stretch>
                      <a:fillRect/>
                    </a:stretch>
                  </pic:blipFill>
                  <pic:spPr bwMode="auto">
                    <a:xfrm>
                      <a:off x="0" y="0"/>
                      <a:ext cx="6696075" cy="2266950"/>
                    </a:xfrm>
                    <a:prstGeom prst="rect">
                      <a:avLst/>
                    </a:prstGeom>
                    <a:noFill/>
                    <a:ln w="9525">
                      <a:noFill/>
                      <a:miter lim="800000"/>
                      <a:headEnd/>
                      <a:tailEnd/>
                    </a:ln>
                  </pic:spPr>
                </pic:pic>
              </a:graphicData>
            </a:graphic>
          </wp:inline>
        </w:drawing>
      </w:r>
    </w:p>
    <w:p w:rsidR="00D16147" w:rsidRPr="004B58D3"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957F9B">
        <w:rPr>
          <w:sz w:val="22"/>
          <w:szCs w:val="22"/>
          <w:lang w:val="en-GB"/>
        </w:rPr>
        <w:t>24</w:t>
      </w:r>
      <w:r w:rsidRPr="004B58D3">
        <w:rPr>
          <w:sz w:val="22"/>
          <w:szCs w:val="22"/>
          <w:lang w:val="en-GB"/>
        </w:rPr>
        <w:t>. Tuberculosis prevalence rate (per 100.000 population), 2005-2011</w:t>
      </w:r>
      <w:r>
        <w:rPr>
          <w:rStyle w:val="EndnoteReference"/>
          <w:sz w:val="22"/>
          <w:szCs w:val="22"/>
        </w:rPr>
        <w:endnoteReference w:id="90"/>
      </w:r>
    </w:p>
    <w:p w:rsidR="00D16147" w:rsidRPr="004B58D3" w:rsidRDefault="00D16147" w:rsidP="00DF4ADE">
      <w:pPr>
        <w:spacing w:before="240" w:after="0" w:line="252" w:lineRule="auto"/>
        <w:jc w:val="both"/>
        <w:rPr>
          <w:sz w:val="22"/>
          <w:szCs w:val="22"/>
          <w:lang w:val="en-GB"/>
        </w:rPr>
      </w:pPr>
      <w:r w:rsidRPr="004B58D3">
        <w:rPr>
          <w:sz w:val="22"/>
          <w:szCs w:val="22"/>
          <w:lang w:val="en-GB"/>
        </w:rPr>
        <w:t>In regard to HIV, the rates in Ukraine and Moldova are far beyond the EU average of 0</w:t>
      </w:r>
      <w:r>
        <w:rPr>
          <w:sz w:val="22"/>
          <w:szCs w:val="22"/>
          <w:lang w:val="en-GB"/>
        </w:rPr>
        <w:t>.</w:t>
      </w:r>
      <w:r w:rsidRPr="004B58D3">
        <w:rPr>
          <w:sz w:val="22"/>
          <w:szCs w:val="22"/>
          <w:lang w:val="en-GB"/>
        </w:rPr>
        <w:t>3% of the 15-49 age group infected, nonetheless HIV prevalence over the last few years appears to have decreased in Ukraine while only marginally increasing overall in the other countries (</w:t>
      </w:r>
      <w:r w:rsidR="00D47871">
        <w:rPr>
          <w:sz w:val="22"/>
          <w:szCs w:val="22"/>
          <w:lang w:val="en-GB"/>
        </w:rPr>
        <w:t>see figure 25</w:t>
      </w:r>
      <w:r w:rsidRPr="004B58D3">
        <w:rPr>
          <w:sz w:val="22"/>
          <w:szCs w:val="22"/>
          <w:lang w:val="en-GB"/>
        </w:rPr>
        <w:t xml:space="preserve"> below). </w:t>
      </w:r>
    </w:p>
    <w:p w:rsidR="00D16147" w:rsidRDefault="006102F6" w:rsidP="00D47871">
      <w:pPr>
        <w:keepNext/>
        <w:spacing w:after="0" w:line="252" w:lineRule="auto"/>
      </w:pPr>
      <w:r>
        <w:rPr>
          <w:noProof/>
          <w:lang w:val="ro-RO" w:eastAsia="ro-RO"/>
        </w:rPr>
        <w:drawing>
          <wp:inline distT="0" distB="0" distL="0" distR="0">
            <wp:extent cx="5943600" cy="2019300"/>
            <wp:effectExtent l="19050" t="0" r="0" b="0"/>
            <wp:docPr id="2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38"/>
                    <a:srcRect/>
                    <a:stretch>
                      <a:fillRect/>
                    </a:stretch>
                  </pic:blipFill>
                  <pic:spPr bwMode="auto">
                    <a:xfrm>
                      <a:off x="0" y="0"/>
                      <a:ext cx="5943600" cy="2019300"/>
                    </a:xfrm>
                    <a:prstGeom prst="rect">
                      <a:avLst/>
                    </a:prstGeom>
                    <a:noFill/>
                    <a:ln w="9525">
                      <a:noFill/>
                      <a:miter lim="800000"/>
                      <a:headEnd/>
                      <a:tailEnd/>
                    </a:ln>
                  </pic:spPr>
                </pic:pic>
              </a:graphicData>
            </a:graphic>
          </wp:inline>
        </w:drawing>
      </w:r>
    </w:p>
    <w:p w:rsidR="00D16147"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957F9B">
        <w:rPr>
          <w:sz w:val="22"/>
          <w:szCs w:val="22"/>
          <w:lang w:val="en-GB"/>
        </w:rPr>
        <w:t>25</w:t>
      </w:r>
      <w:r w:rsidRPr="004B58D3">
        <w:rPr>
          <w:sz w:val="22"/>
          <w:szCs w:val="22"/>
          <w:lang w:val="en-GB"/>
        </w:rPr>
        <w:t>. Prevalence of HIV (% of population ages 15-49), 2005-2011</w:t>
      </w:r>
      <w:r>
        <w:rPr>
          <w:rStyle w:val="EndnoteReference"/>
          <w:sz w:val="22"/>
          <w:szCs w:val="22"/>
        </w:rPr>
        <w:endnoteReference w:id="91"/>
      </w:r>
    </w:p>
    <w:p w:rsidR="00D16147" w:rsidRPr="00DB399C" w:rsidRDefault="00D16147" w:rsidP="00D16147">
      <w:pPr>
        <w:spacing w:before="120" w:after="0" w:line="252" w:lineRule="auto"/>
        <w:jc w:val="both"/>
        <w:rPr>
          <w:sz w:val="4"/>
          <w:szCs w:val="4"/>
          <w:highlight w:val="yellow"/>
          <w:lang w:val="en-GB"/>
        </w:rPr>
      </w:pPr>
    </w:p>
    <w:p w:rsidR="00D16147" w:rsidRPr="0011680C" w:rsidRDefault="00D16147" w:rsidP="00D16147">
      <w:pPr>
        <w:spacing w:before="120" w:after="0" w:line="252" w:lineRule="auto"/>
        <w:jc w:val="both"/>
        <w:rPr>
          <w:sz w:val="22"/>
          <w:szCs w:val="22"/>
          <w:lang w:val="en-GB"/>
        </w:rPr>
      </w:pPr>
      <w:r w:rsidRPr="0050052A">
        <w:rPr>
          <w:sz w:val="22"/>
          <w:szCs w:val="22"/>
          <w:lang w:val="en-GB"/>
        </w:rPr>
        <w:t>The infant mortality rate, a useful indicator of both access to health care and overall living conditions, reveals great disparities among Black Sea countries, with only Greece in lin</w:t>
      </w:r>
      <w:r w:rsidR="004717B6">
        <w:rPr>
          <w:sz w:val="22"/>
          <w:szCs w:val="22"/>
          <w:lang w:val="en-GB"/>
        </w:rPr>
        <w:t>e with EU average (see figure 26</w:t>
      </w:r>
      <w:r w:rsidRPr="0050052A">
        <w:rPr>
          <w:sz w:val="22"/>
          <w:szCs w:val="22"/>
          <w:lang w:val="en-GB"/>
        </w:rPr>
        <w:t xml:space="preserve"> below). Particularly high in Azerbaijan – about 10 times higher than the EU level – it nonetheless decreased steadily, from 41 deaths before one year of age per 1</w:t>
      </w:r>
      <w:r>
        <w:rPr>
          <w:sz w:val="22"/>
          <w:szCs w:val="22"/>
          <w:lang w:val="en-GB"/>
        </w:rPr>
        <w:t>,</w:t>
      </w:r>
      <w:r w:rsidRPr="0050052A">
        <w:rPr>
          <w:sz w:val="22"/>
          <w:szCs w:val="22"/>
          <w:lang w:val="en-GB"/>
        </w:rPr>
        <w:t xml:space="preserve">000 children in 2006, to 31 deaths in 2012. It also decreased, to a lesser extent, in all the other Black Sea countries over the period. </w:t>
      </w:r>
    </w:p>
    <w:p w:rsidR="00D16147" w:rsidRDefault="006102F6" w:rsidP="00D16147">
      <w:pPr>
        <w:pStyle w:val="Heading3"/>
        <w:spacing w:before="200" w:after="120" w:line="252" w:lineRule="auto"/>
        <w:rPr>
          <w:sz w:val="28"/>
          <w:szCs w:val="28"/>
          <w:lang w:val="en-GB"/>
        </w:rPr>
      </w:pPr>
      <w:r>
        <w:rPr>
          <w:noProof/>
          <w:sz w:val="28"/>
          <w:szCs w:val="28"/>
          <w:lang w:val="ro-RO" w:eastAsia="ro-RO"/>
        </w:rPr>
        <w:drawing>
          <wp:inline distT="0" distB="0" distL="0" distR="0">
            <wp:extent cx="6905625" cy="2447925"/>
            <wp:effectExtent l="19050" t="0" r="9525"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srcRect/>
                    <a:stretch>
                      <a:fillRect/>
                    </a:stretch>
                  </pic:blipFill>
                  <pic:spPr bwMode="auto">
                    <a:xfrm>
                      <a:off x="0" y="0"/>
                      <a:ext cx="6905625" cy="2447925"/>
                    </a:xfrm>
                    <a:prstGeom prst="rect">
                      <a:avLst/>
                    </a:prstGeom>
                    <a:noFill/>
                    <a:ln w="9525">
                      <a:noFill/>
                      <a:miter lim="800000"/>
                      <a:headEnd/>
                      <a:tailEnd/>
                    </a:ln>
                  </pic:spPr>
                </pic:pic>
              </a:graphicData>
            </a:graphic>
          </wp:inline>
        </w:drawing>
      </w:r>
    </w:p>
    <w:p w:rsidR="00D16147" w:rsidRDefault="00957F9B" w:rsidP="005A12B9">
      <w:pPr>
        <w:pStyle w:val="Caption"/>
        <w:spacing w:after="0" w:line="252" w:lineRule="auto"/>
        <w:jc w:val="left"/>
        <w:rPr>
          <w:sz w:val="22"/>
          <w:szCs w:val="22"/>
          <w:lang w:val="en-GB"/>
        </w:rPr>
      </w:pPr>
      <w:r>
        <w:rPr>
          <w:sz w:val="22"/>
          <w:szCs w:val="22"/>
          <w:lang w:val="en-GB"/>
        </w:rPr>
        <w:t>Figure 26</w:t>
      </w:r>
      <w:r w:rsidR="00D16147" w:rsidRPr="0050052A">
        <w:rPr>
          <w:sz w:val="22"/>
          <w:szCs w:val="22"/>
          <w:lang w:val="en-GB"/>
        </w:rPr>
        <w:t xml:space="preserve">. Number of infants dying before </w:t>
      </w:r>
      <w:r w:rsidR="00D16147">
        <w:rPr>
          <w:sz w:val="22"/>
          <w:szCs w:val="22"/>
          <w:lang w:val="en-GB"/>
        </w:rPr>
        <w:t>reaching one year of age, per 1,</w:t>
      </w:r>
      <w:r w:rsidR="00D16147" w:rsidRPr="0050052A">
        <w:rPr>
          <w:sz w:val="22"/>
          <w:szCs w:val="22"/>
          <w:lang w:val="en-GB"/>
        </w:rPr>
        <w:t>000 live births in 2012</w:t>
      </w:r>
      <w:r w:rsidR="00D16147" w:rsidRPr="008D6AA6">
        <w:rPr>
          <w:sz w:val="22"/>
          <w:szCs w:val="22"/>
          <w:lang w:val="en-GB"/>
        </w:rPr>
        <w:endnoteReference w:id="92"/>
      </w:r>
    </w:p>
    <w:p w:rsidR="00D16147" w:rsidRPr="0077602E" w:rsidRDefault="00D16147" w:rsidP="00D16147">
      <w:pPr>
        <w:spacing w:before="120" w:after="0" w:line="252" w:lineRule="auto"/>
        <w:jc w:val="both"/>
        <w:rPr>
          <w:sz w:val="6"/>
          <w:szCs w:val="6"/>
          <w:lang w:val="en-GB"/>
        </w:rPr>
      </w:pPr>
    </w:p>
    <w:p w:rsidR="00D16147" w:rsidRPr="0050052A" w:rsidRDefault="00D16147" w:rsidP="00D16147">
      <w:pPr>
        <w:spacing w:before="120" w:after="0" w:line="252" w:lineRule="auto"/>
        <w:jc w:val="both"/>
        <w:rPr>
          <w:sz w:val="22"/>
          <w:szCs w:val="22"/>
          <w:lang w:val="en-GB"/>
        </w:rPr>
      </w:pPr>
      <w:r w:rsidRPr="0050052A">
        <w:rPr>
          <w:sz w:val="22"/>
          <w:szCs w:val="22"/>
          <w:lang w:val="en-GB"/>
        </w:rPr>
        <w:t>With 35% of the population living below the national poverty line in Armenia in 2011 and 25% in Georgia in 2009, the countries’ health systems face serious challenges dealing with poverty and social exclusion. Armenian poverty figures have been stable since 2006, while poverty in Moldova dropped from 30% of the population in 2006 to 17% in 2011</w:t>
      </w:r>
      <w:r w:rsidRPr="0050052A">
        <w:rPr>
          <w:rStyle w:val="EndnoteReference"/>
          <w:sz w:val="22"/>
          <w:szCs w:val="22"/>
          <w:lang w:val="en-GB"/>
        </w:rPr>
        <w:endnoteReference w:id="93"/>
      </w:r>
      <w:r w:rsidRPr="0050052A">
        <w:rPr>
          <w:sz w:val="22"/>
          <w:szCs w:val="22"/>
          <w:lang w:val="en-GB"/>
        </w:rPr>
        <w:t>. Some Black Sea countries designed specific health systems responses to adress poverty and social exclusion. Notably, in 2006 Georgia launched a Medical Assistance Programme for Peo</w:t>
      </w:r>
      <w:r w:rsidR="004717B6">
        <w:rPr>
          <w:sz w:val="22"/>
          <w:szCs w:val="22"/>
          <w:lang w:val="en-GB"/>
        </w:rPr>
        <w:t>ple below the Poverty Line that</w:t>
      </w:r>
      <w:r w:rsidRPr="0050052A">
        <w:rPr>
          <w:sz w:val="22"/>
          <w:szCs w:val="22"/>
          <w:lang w:val="en-GB"/>
        </w:rPr>
        <w:t xml:space="preserve"> provides a comprehensive package of services (including ambulatory treatment and urgent and planned hospital and specialized care) for the most vulnerable segment of the population. Romania carried out a programme focusing on its ethnic minority Roma population, disproportionately affected by many diseases including tuberculosis (TB). This involved notably the recruitment and training of peer health educators (representatives from </w:t>
      </w:r>
      <w:r w:rsidR="0006785F">
        <w:rPr>
          <w:sz w:val="22"/>
          <w:szCs w:val="22"/>
          <w:lang w:val="en-GB"/>
        </w:rPr>
        <w:t>the Roma community itself) that</w:t>
      </w:r>
      <w:r w:rsidRPr="0050052A">
        <w:rPr>
          <w:sz w:val="22"/>
          <w:szCs w:val="22"/>
          <w:lang w:val="en-GB"/>
        </w:rPr>
        <w:t xml:space="preserve"> proved successful in improving the timely detection of TB cases and </w:t>
      </w:r>
      <w:r w:rsidR="00123410">
        <w:rPr>
          <w:sz w:val="22"/>
          <w:szCs w:val="22"/>
          <w:lang w:val="en-GB"/>
        </w:rPr>
        <w:t xml:space="preserve">the </w:t>
      </w:r>
      <w:r w:rsidRPr="0050052A">
        <w:rPr>
          <w:sz w:val="22"/>
          <w:szCs w:val="22"/>
          <w:lang w:val="en-GB"/>
        </w:rPr>
        <w:t>completion of treatment in Roma communities</w:t>
      </w:r>
      <w:r w:rsidRPr="0050052A">
        <w:rPr>
          <w:sz w:val="22"/>
          <w:szCs w:val="22"/>
          <w:vertAlign w:val="superscript"/>
          <w:lang w:val="en-GB"/>
        </w:rPr>
        <w:endnoteReference w:id="94"/>
      </w:r>
      <w:r w:rsidRPr="0050052A">
        <w:rPr>
          <w:sz w:val="22"/>
          <w:szCs w:val="22"/>
          <w:lang w:val="en-GB"/>
        </w:rPr>
        <w:t>. Such or similar initiatives, targeting poverty and social exclusion in the health sector, may provide a basis for exchange of experience and good practice among Black Sea countries.</w:t>
      </w:r>
    </w:p>
    <w:p w:rsidR="00D16147" w:rsidRPr="0050052A" w:rsidRDefault="00D16147" w:rsidP="00D16147">
      <w:pPr>
        <w:spacing w:before="120" w:after="0" w:line="252" w:lineRule="auto"/>
        <w:jc w:val="both"/>
        <w:rPr>
          <w:sz w:val="22"/>
          <w:szCs w:val="22"/>
          <w:lang w:val="en-GB"/>
        </w:rPr>
      </w:pPr>
      <w:r w:rsidRPr="0050052A">
        <w:rPr>
          <w:sz w:val="22"/>
          <w:szCs w:val="22"/>
          <w:lang w:val="en-GB"/>
        </w:rPr>
        <w:t>Health challenges also include the impact of reproductive health on gender inequalities. Safe motherhood reflects the importance society attaches to women’s reproductive role. Early childbearing, as measured by the adolescent fertility rate, is associated with greater health r</w:t>
      </w:r>
      <w:r w:rsidR="00A31C7C">
        <w:rPr>
          <w:sz w:val="22"/>
          <w:szCs w:val="22"/>
          <w:lang w:val="en-GB"/>
        </w:rPr>
        <w:t>isks for mothers and infants while</w:t>
      </w:r>
      <w:r w:rsidRPr="0050052A">
        <w:rPr>
          <w:sz w:val="22"/>
          <w:szCs w:val="22"/>
          <w:lang w:val="en-GB"/>
        </w:rPr>
        <w:t xml:space="preserve"> adolescent mothers often are forced out of school and into low-skilled jobs. In this regard, Georgia’s high rates for both maternal mortality and fertility rates do not only reflect its health system deficiencies, but they also preven</w:t>
      </w:r>
      <w:r w:rsidR="004D2936">
        <w:rPr>
          <w:sz w:val="22"/>
          <w:szCs w:val="22"/>
          <w:lang w:val="en-GB"/>
        </w:rPr>
        <w:t>t gender equality (see figure 27</w:t>
      </w:r>
      <w:r w:rsidRPr="0050052A">
        <w:rPr>
          <w:sz w:val="22"/>
          <w:szCs w:val="22"/>
          <w:lang w:val="en-GB"/>
        </w:rPr>
        <w:t xml:space="preserve"> below). Furthermore, the trend is negative as female maternal mortality has considerably increased in Georgia over the last 10 years and in Moldova and Ukraine over the last five years. However, female mortality rates over this period have steadily decreased in all the other Black Sea Basin countries - particularly so in Azerbaijan and Turkey</w:t>
      </w:r>
      <w:r w:rsidRPr="0050052A">
        <w:rPr>
          <w:rStyle w:val="FootnoteReference"/>
          <w:sz w:val="22"/>
          <w:szCs w:val="22"/>
          <w:lang w:val="en-GB"/>
        </w:rPr>
        <w:footnoteReference w:id="47"/>
      </w:r>
      <w:r w:rsidRPr="0050052A">
        <w:rPr>
          <w:sz w:val="22"/>
          <w:szCs w:val="22"/>
          <w:lang w:val="en-GB"/>
        </w:rPr>
        <w:t xml:space="preserve"> - and is relatively low in Greece. </w:t>
      </w:r>
    </w:p>
    <w:p w:rsidR="00D16147" w:rsidRDefault="006102F6" w:rsidP="00D16147">
      <w:pPr>
        <w:spacing w:before="120" w:after="0" w:line="252" w:lineRule="auto"/>
        <w:jc w:val="both"/>
        <w:rPr>
          <w:sz w:val="22"/>
          <w:szCs w:val="22"/>
          <w:lang w:val="en-GB"/>
        </w:rPr>
      </w:pPr>
      <w:r>
        <w:rPr>
          <w:noProof/>
          <w:sz w:val="22"/>
          <w:szCs w:val="22"/>
          <w:lang w:val="ro-RO" w:eastAsia="ro-RO"/>
        </w:rPr>
        <w:drawing>
          <wp:inline distT="0" distB="0" distL="0" distR="0">
            <wp:extent cx="6905625" cy="2219325"/>
            <wp:effectExtent l="19050" t="0" r="9525"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srcRect/>
                    <a:stretch>
                      <a:fillRect/>
                    </a:stretch>
                  </pic:blipFill>
                  <pic:spPr bwMode="auto">
                    <a:xfrm>
                      <a:off x="0" y="0"/>
                      <a:ext cx="6905625" cy="2219325"/>
                    </a:xfrm>
                    <a:prstGeom prst="rect">
                      <a:avLst/>
                    </a:prstGeom>
                    <a:noFill/>
                    <a:ln w="9525">
                      <a:noFill/>
                      <a:miter lim="800000"/>
                      <a:headEnd/>
                      <a:tailEnd/>
                    </a:ln>
                  </pic:spPr>
                </pic:pic>
              </a:graphicData>
            </a:graphic>
          </wp:inline>
        </w:drawing>
      </w:r>
    </w:p>
    <w:p w:rsidR="00D16147" w:rsidRPr="0050052A" w:rsidRDefault="00957F9B" w:rsidP="005A12B9">
      <w:pPr>
        <w:pStyle w:val="Caption"/>
        <w:spacing w:after="0" w:line="252" w:lineRule="auto"/>
        <w:jc w:val="left"/>
        <w:rPr>
          <w:sz w:val="22"/>
          <w:szCs w:val="22"/>
          <w:lang w:val="en-GB"/>
        </w:rPr>
      </w:pPr>
      <w:r>
        <w:rPr>
          <w:sz w:val="22"/>
          <w:szCs w:val="22"/>
          <w:lang w:val="en-GB"/>
        </w:rPr>
        <w:t>Figure 27</w:t>
      </w:r>
      <w:r w:rsidR="00D16147" w:rsidRPr="0050052A">
        <w:rPr>
          <w:sz w:val="22"/>
          <w:szCs w:val="22"/>
          <w:lang w:val="en-GB"/>
        </w:rPr>
        <w:t>. Maternal mortality rate and Adolescent fertility rate</w:t>
      </w:r>
      <w:r w:rsidR="00D16147" w:rsidRPr="0050052A">
        <w:rPr>
          <w:rStyle w:val="FootnoteReference"/>
          <w:sz w:val="22"/>
          <w:szCs w:val="22"/>
          <w:lang w:val="en-GB"/>
        </w:rPr>
        <w:footnoteReference w:id="48"/>
      </w:r>
      <w:r w:rsidR="00D16147" w:rsidRPr="0050052A">
        <w:rPr>
          <w:sz w:val="22"/>
          <w:szCs w:val="22"/>
          <w:lang w:val="en-GB"/>
        </w:rPr>
        <w:t xml:space="preserve"> in 2010</w:t>
      </w:r>
      <w:r w:rsidR="00D16147" w:rsidRPr="0050052A">
        <w:rPr>
          <w:rStyle w:val="EndnoteReference"/>
          <w:sz w:val="22"/>
          <w:szCs w:val="22"/>
          <w:lang w:val="en-GB"/>
        </w:rPr>
        <w:endnoteReference w:id="95"/>
      </w:r>
    </w:p>
    <w:p w:rsidR="00D16147" w:rsidRDefault="00D16147" w:rsidP="00FE5BF5">
      <w:pPr>
        <w:spacing w:before="240" w:after="0" w:line="252" w:lineRule="auto"/>
        <w:jc w:val="both"/>
        <w:rPr>
          <w:sz w:val="22"/>
          <w:szCs w:val="22"/>
          <w:lang w:val="en-GB"/>
        </w:rPr>
      </w:pPr>
      <w:r w:rsidRPr="0050052A">
        <w:rPr>
          <w:sz w:val="22"/>
          <w:szCs w:val="22"/>
          <w:lang w:val="en-GB"/>
        </w:rPr>
        <w:t>Female reproductive health has a strong impact on the UNDP calculation of the gender inequality index</w:t>
      </w:r>
      <w:r w:rsidRPr="0050052A">
        <w:rPr>
          <w:sz w:val="22"/>
          <w:szCs w:val="22"/>
          <w:vertAlign w:val="superscript"/>
          <w:lang w:val="en-GB"/>
        </w:rPr>
        <w:footnoteReference w:id="49"/>
      </w:r>
      <w:r w:rsidR="009220DC">
        <w:rPr>
          <w:sz w:val="22"/>
          <w:szCs w:val="22"/>
          <w:lang w:val="en-GB"/>
        </w:rPr>
        <w:t xml:space="preserve"> (see figure 28</w:t>
      </w:r>
      <w:r w:rsidRPr="0050052A">
        <w:rPr>
          <w:sz w:val="22"/>
          <w:szCs w:val="22"/>
          <w:lang w:val="en-GB"/>
        </w:rPr>
        <w:t xml:space="preserve"> below), though Georgia’s high inequality score also reflects women’s poor representation in Parliament. Women’s relative disadvantage is smallest in Greece and Bulgaria, thanks to the countries efforts in reproductive health but also where women have a bigger share of parliamentary seats. In Turkey nonetheless, the main obstacles to gender equality are the unequal access by women to higher education and to the labour market.</w:t>
      </w:r>
    </w:p>
    <w:p w:rsidR="00D16147" w:rsidRPr="00927B9B" w:rsidRDefault="00D16147" w:rsidP="00D16147">
      <w:pPr>
        <w:spacing w:before="120" w:after="0" w:line="252" w:lineRule="auto"/>
        <w:jc w:val="both"/>
        <w:rPr>
          <w:sz w:val="4"/>
          <w:szCs w:val="4"/>
          <w:lang w:val="en-GB"/>
        </w:rPr>
      </w:pPr>
    </w:p>
    <w:p w:rsidR="00D16147" w:rsidRPr="00C0374D" w:rsidRDefault="006102F6" w:rsidP="00D16147">
      <w:pPr>
        <w:rPr>
          <w:lang w:val="en-GB"/>
        </w:rPr>
      </w:pPr>
      <w:r>
        <w:rPr>
          <w:noProof/>
          <w:lang w:val="ro-RO" w:eastAsia="ro-RO"/>
        </w:rPr>
        <w:drawing>
          <wp:inline distT="0" distB="0" distL="0" distR="0">
            <wp:extent cx="4391025" cy="1809750"/>
            <wp:effectExtent l="19050" t="0" r="9525"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1"/>
                    <a:srcRect/>
                    <a:stretch>
                      <a:fillRect/>
                    </a:stretch>
                  </pic:blipFill>
                  <pic:spPr bwMode="auto">
                    <a:xfrm>
                      <a:off x="0" y="0"/>
                      <a:ext cx="4391025" cy="1809750"/>
                    </a:xfrm>
                    <a:prstGeom prst="rect">
                      <a:avLst/>
                    </a:prstGeom>
                    <a:noFill/>
                    <a:ln w="9525">
                      <a:noFill/>
                      <a:miter lim="800000"/>
                      <a:headEnd/>
                      <a:tailEnd/>
                    </a:ln>
                  </pic:spPr>
                </pic:pic>
              </a:graphicData>
            </a:graphic>
          </wp:inline>
        </w:drawing>
      </w:r>
    </w:p>
    <w:p w:rsidR="00D16147" w:rsidRDefault="00957F9B" w:rsidP="005A12B9">
      <w:pPr>
        <w:pStyle w:val="Caption"/>
        <w:spacing w:after="0" w:line="252" w:lineRule="auto"/>
        <w:jc w:val="left"/>
        <w:rPr>
          <w:sz w:val="22"/>
          <w:szCs w:val="22"/>
          <w:lang w:val="en-GB"/>
        </w:rPr>
      </w:pPr>
      <w:r>
        <w:rPr>
          <w:sz w:val="22"/>
          <w:szCs w:val="22"/>
          <w:lang w:val="en-GB"/>
        </w:rPr>
        <w:t>Figure 28</w:t>
      </w:r>
      <w:r w:rsidR="00D16147" w:rsidRPr="0050052A">
        <w:rPr>
          <w:sz w:val="22"/>
          <w:szCs w:val="22"/>
          <w:lang w:val="en-GB"/>
        </w:rPr>
        <w:t>. Gender Inequality Index (GII) in Black Sea Basin countries, UNDP, 2012</w:t>
      </w:r>
      <w:r w:rsidR="00D16147" w:rsidRPr="009A312F">
        <w:rPr>
          <w:vertAlign w:val="superscript"/>
        </w:rPr>
        <w:endnoteReference w:id="96"/>
      </w:r>
      <w:r w:rsidR="00D16147" w:rsidRPr="0050052A">
        <w:rPr>
          <w:sz w:val="22"/>
          <w:szCs w:val="22"/>
          <w:lang w:val="en-GB"/>
        </w:rPr>
        <w:t>. A high GII value indicates high inequalities.</w:t>
      </w:r>
    </w:p>
    <w:p w:rsidR="00D16147" w:rsidRPr="008242B5" w:rsidRDefault="00D16147" w:rsidP="000D36B6">
      <w:pPr>
        <w:spacing w:before="240" w:after="120"/>
        <w:rPr>
          <w:b/>
          <w:lang w:val="en-GB"/>
        </w:rPr>
      </w:pPr>
      <w:bookmarkStart w:id="46" w:name="_Toc246127438"/>
      <w:r w:rsidRPr="008242B5">
        <w:rPr>
          <w:b/>
          <w:lang w:val="en-GB"/>
        </w:rPr>
        <w:t>Safety and security challenges</w:t>
      </w:r>
      <w:bookmarkEnd w:id="46"/>
      <w:r w:rsidRPr="008242B5">
        <w:rPr>
          <w:b/>
          <w:lang w:val="en-GB"/>
        </w:rPr>
        <w:t xml:space="preserve"> </w:t>
      </w:r>
    </w:p>
    <w:p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Irregular migration remains a reality in the </w:t>
      </w:r>
      <w:r>
        <w:rPr>
          <w:sz w:val="22"/>
          <w:szCs w:val="22"/>
          <w:lang w:val="en-GB"/>
        </w:rPr>
        <w:t xml:space="preserve">Black Sea Basin </w:t>
      </w:r>
      <w:r w:rsidRPr="004B58D3">
        <w:rPr>
          <w:sz w:val="22"/>
          <w:szCs w:val="22"/>
          <w:lang w:val="en-GB"/>
        </w:rPr>
        <w:t>region with one of the biggest challenges being human trafficking. Some of the countries in the region</w:t>
      </w:r>
      <w:r>
        <w:rPr>
          <w:sz w:val="22"/>
          <w:szCs w:val="22"/>
          <w:lang w:val="en-GB"/>
        </w:rPr>
        <w:t>,</w:t>
      </w:r>
      <w:r w:rsidRPr="004B58D3">
        <w:rPr>
          <w:sz w:val="22"/>
          <w:szCs w:val="22"/>
          <w:lang w:val="en-GB"/>
        </w:rPr>
        <w:t xml:space="preserve"> such as Moldova and Ukraine</w:t>
      </w:r>
      <w:r>
        <w:rPr>
          <w:sz w:val="22"/>
          <w:szCs w:val="22"/>
          <w:lang w:val="en-GB"/>
        </w:rPr>
        <w:t>,</w:t>
      </w:r>
      <w:r w:rsidRPr="004B58D3">
        <w:rPr>
          <w:sz w:val="22"/>
          <w:szCs w:val="22"/>
          <w:lang w:val="en-GB"/>
        </w:rPr>
        <w:t xml:space="preserve"> are the major countries of origin for victims of trafficking to the EU. The Black Sea region is also the meeting point for many irregular migration routes and illicit trafficking leading further west</w:t>
      </w:r>
      <w:r>
        <w:rPr>
          <w:sz w:val="22"/>
          <w:szCs w:val="22"/>
          <w:lang w:val="en-GB"/>
        </w:rPr>
        <w:t>.</w:t>
      </w:r>
      <w:r w:rsidRPr="004B58D3">
        <w:rPr>
          <w:sz w:val="22"/>
          <w:szCs w:val="22"/>
          <w:lang w:val="en-GB"/>
        </w:rPr>
        <w:t xml:space="preserve"> </w:t>
      </w:r>
      <w:r>
        <w:rPr>
          <w:sz w:val="22"/>
          <w:szCs w:val="22"/>
          <w:lang w:val="en-GB"/>
        </w:rPr>
        <w:t>T</w:t>
      </w:r>
      <w:r w:rsidRPr="004B58D3">
        <w:rPr>
          <w:sz w:val="22"/>
          <w:szCs w:val="22"/>
          <w:lang w:val="en-GB"/>
        </w:rPr>
        <w:t>he Eastern Mediterranean route, the Balkan and the Central and Eastern European routes all, at some point, cut through the Black Sea region</w:t>
      </w:r>
      <w:r w:rsidRPr="004320D6">
        <w:rPr>
          <w:rStyle w:val="EndnoteReference"/>
          <w:sz w:val="22"/>
          <w:szCs w:val="22"/>
        </w:rPr>
        <w:endnoteReference w:id="97"/>
      </w:r>
      <w:r w:rsidRPr="004B58D3">
        <w:rPr>
          <w:sz w:val="22"/>
          <w:szCs w:val="22"/>
          <w:lang w:val="en-GB"/>
        </w:rPr>
        <w:t>.</w:t>
      </w:r>
    </w:p>
    <w:p w:rsidR="00D16147" w:rsidRPr="004B58D3" w:rsidRDefault="00D16147" w:rsidP="00D16147">
      <w:pPr>
        <w:spacing w:before="120" w:after="0" w:line="252" w:lineRule="auto"/>
        <w:jc w:val="both"/>
        <w:rPr>
          <w:sz w:val="22"/>
          <w:szCs w:val="22"/>
          <w:lang w:val="en-GB"/>
        </w:rPr>
      </w:pPr>
      <w:r w:rsidRPr="004B58D3">
        <w:rPr>
          <w:sz w:val="22"/>
          <w:szCs w:val="22"/>
          <w:lang w:val="en-GB"/>
        </w:rPr>
        <w:t>Persistent conflicts and bilateral disputes often undermine endogenous regional cooperation, putting a strain on the potential effectiveness of regional organisations (notably BSEC). The Black Sea region continues to be affected by a number of conflicts, and the persistence of trade and economic blockades between several pairs of Black Sea states (Russia-Georgia, Turkey-Armenia, Azerbaijan-Armenia) has fragmented the regional economy and generated distortions undermining efforts toward economic cooperation</w:t>
      </w:r>
      <w:r w:rsidRPr="004320D6">
        <w:rPr>
          <w:rStyle w:val="EndnoteReference"/>
          <w:sz w:val="22"/>
          <w:szCs w:val="22"/>
        </w:rPr>
        <w:endnoteReference w:id="98"/>
      </w:r>
      <w:r w:rsidRPr="004B58D3">
        <w:rPr>
          <w:sz w:val="22"/>
          <w:szCs w:val="22"/>
          <w:lang w:val="en-GB"/>
        </w:rPr>
        <w:t>.</w:t>
      </w:r>
    </w:p>
    <w:p w:rsidR="00D16147" w:rsidRDefault="00D16147" w:rsidP="00D16147">
      <w:pPr>
        <w:spacing w:before="120" w:after="0" w:line="252" w:lineRule="auto"/>
        <w:jc w:val="both"/>
        <w:rPr>
          <w:sz w:val="22"/>
          <w:szCs w:val="22"/>
          <w:lang w:val="en-GB"/>
        </w:rPr>
      </w:pPr>
      <w:r w:rsidRPr="004B58D3">
        <w:rPr>
          <w:sz w:val="22"/>
          <w:szCs w:val="22"/>
          <w:lang w:val="en-GB"/>
        </w:rPr>
        <w:t xml:space="preserve">In August 2008, the Black Sea region became the focal point of international attention as a result of the military confrontation </w:t>
      </w:r>
      <w:r w:rsidR="000F2B28">
        <w:rPr>
          <w:sz w:val="22"/>
          <w:szCs w:val="22"/>
          <w:lang w:val="en-GB"/>
        </w:rPr>
        <w:t>between Georgia and Russia that</w:t>
      </w:r>
      <w:r w:rsidRPr="004B58D3">
        <w:rPr>
          <w:sz w:val="22"/>
          <w:szCs w:val="22"/>
          <w:lang w:val="en-GB"/>
        </w:rPr>
        <w:t xml:space="preserve"> put region-wide cooperation further on hold. Energy disputes between Russia and Ukraine in the winter of 2006 and 2009 raised concerns about </w:t>
      </w:r>
      <w:r>
        <w:rPr>
          <w:sz w:val="22"/>
          <w:szCs w:val="22"/>
          <w:lang w:val="en-GB"/>
        </w:rPr>
        <w:t xml:space="preserve">the </w:t>
      </w:r>
      <w:r w:rsidRPr="004B58D3">
        <w:rPr>
          <w:sz w:val="22"/>
          <w:szCs w:val="22"/>
          <w:lang w:val="en-GB"/>
        </w:rPr>
        <w:t>EU’s energy security and elicited calls for a more efficient EU energy policy towards the Black Sea</w:t>
      </w:r>
      <w:r w:rsidRPr="004320D6">
        <w:rPr>
          <w:rStyle w:val="EndnoteReference"/>
          <w:sz w:val="22"/>
          <w:szCs w:val="22"/>
        </w:rPr>
        <w:endnoteReference w:id="99"/>
      </w:r>
      <w:r w:rsidRPr="004B58D3">
        <w:rPr>
          <w:sz w:val="22"/>
          <w:szCs w:val="22"/>
          <w:lang w:val="en-GB"/>
        </w:rPr>
        <w:t>.</w:t>
      </w:r>
    </w:p>
    <w:p w:rsidR="009B07F0" w:rsidRDefault="00557DA2" w:rsidP="00D16147">
      <w:pPr>
        <w:spacing w:before="120" w:after="0" w:line="252" w:lineRule="auto"/>
        <w:jc w:val="both"/>
        <w:rPr>
          <w:sz w:val="22"/>
          <w:szCs w:val="22"/>
          <w:lang w:val="en-GB"/>
        </w:rPr>
      </w:pPr>
      <w:r w:rsidRPr="00FB4263">
        <w:rPr>
          <w:sz w:val="22"/>
          <w:szCs w:val="22"/>
          <w:lang w:val="en-GB"/>
        </w:rPr>
        <w:t>Another</w:t>
      </w:r>
      <w:r w:rsidR="00F84F9C" w:rsidRPr="00FB4263">
        <w:rPr>
          <w:sz w:val="22"/>
          <w:szCs w:val="22"/>
          <w:lang w:val="en-GB"/>
        </w:rPr>
        <w:t xml:space="preserve"> ma</w:t>
      </w:r>
      <w:r w:rsidR="005808BF" w:rsidRPr="00FB4263">
        <w:rPr>
          <w:sz w:val="22"/>
          <w:szCs w:val="22"/>
          <w:lang w:val="en-GB"/>
        </w:rPr>
        <w:t>jor</w:t>
      </w:r>
      <w:r w:rsidR="003F24EC" w:rsidRPr="00FB4263">
        <w:rPr>
          <w:sz w:val="22"/>
          <w:szCs w:val="22"/>
          <w:lang w:val="en-GB"/>
        </w:rPr>
        <w:t xml:space="preserve"> regional and</w:t>
      </w:r>
      <w:r w:rsidR="005808BF" w:rsidRPr="00FB4263">
        <w:rPr>
          <w:sz w:val="22"/>
          <w:szCs w:val="22"/>
          <w:lang w:val="en-GB"/>
        </w:rPr>
        <w:t xml:space="preserve"> international crisis unfolded</w:t>
      </w:r>
      <w:r w:rsidR="00F84F9C" w:rsidRPr="00FB4263">
        <w:rPr>
          <w:sz w:val="22"/>
          <w:szCs w:val="22"/>
          <w:lang w:val="en-GB"/>
        </w:rPr>
        <w:t xml:space="preserve"> after the Ukra</w:t>
      </w:r>
      <w:r w:rsidR="005262A4" w:rsidRPr="00FB4263">
        <w:rPr>
          <w:sz w:val="22"/>
          <w:szCs w:val="22"/>
          <w:lang w:val="en-GB"/>
        </w:rPr>
        <w:t>inian revolution in</w:t>
      </w:r>
      <w:r w:rsidR="00835EBB" w:rsidRPr="00FB4263">
        <w:rPr>
          <w:sz w:val="22"/>
          <w:szCs w:val="22"/>
          <w:lang w:val="en-GB"/>
        </w:rPr>
        <w:t xml:space="preserve"> February 2014, followed by </w:t>
      </w:r>
      <w:r w:rsidR="003C7EA0" w:rsidRPr="00FB4263">
        <w:rPr>
          <w:sz w:val="22"/>
          <w:szCs w:val="22"/>
          <w:lang w:val="en-GB"/>
        </w:rPr>
        <w:t xml:space="preserve">illegal annexation of Crimea Republic and Sevastopol by </w:t>
      </w:r>
      <w:r w:rsidR="004B6FBA" w:rsidRPr="00FB4263">
        <w:rPr>
          <w:sz w:val="22"/>
          <w:szCs w:val="22"/>
          <w:lang w:val="en-GB"/>
        </w:rPr>
        <w:t xml:space="preserve">the </w:t>
      </w:r>
      <w:r w:rsidR="003C7EA0" w:rsidRPr="00FB4263">
        <w:rPr>
          <w:sz w:val="22"/>
          <w:szCs w:val="22"/>
          <w:lang w:val="en-GB"/>
        </w:rPr>
        <w:t>Russ</w:t>
      </w:r>
      <w:r w:rsidR="004B6FBA" w:rsidRPr="00FB4263">
        <w:rPr>
          <w:sz w:val="22"/>
          <w:szCs w:val="22"/>
          <w:lang w:val="en-GB"/>
        </w:rPr>
        <w:t>ian Federation</w:t>
      </w:r>
      <w:r w:rsidR="003C7EA0" w:rsidRPr="00FB4263">
        <w:rPr>
          <w:sz w:val="22"/>
          <w:szCs w:val="22"/>
          <w:lang w:val="en-GB"/>
        </w:rPr>
        <w:t xml:space="preserve"> and </w:t>
      </w:r>
      <w:r w:rsidR="00324D85" w:rsidRPr="00FB4263">
        <w:rPr>
          <w:sz w:val="22"/>
          <w:szCs w:val="22"/>
          <w:lang w:val="en-GB"/>
        </w:rPr>
        <w:t xml:space="preserve">armed conflicts in </w:t>
      </w:r>
      <w:r w:rsidR="00E37254" w:rsidRPr="00FB4263">
        <w:rPr>
          <w:sz w:val="22"/>
          <w:szCs w:val="22"/>
          <w:lang w:val="en-GB"/>
        </w:rPr>
        <w:t>southeast</w:t>
      </w:r>
      <w:r w:rsidR="002C2536" w:rsidRPr="00FB4263">
        <w:rPr>
          <w:sz w:val="22"/>
          <w:szCs w:val="22"/>
          <w:lang w:val="en-GB"/>
        </w:rPr>
        <w:t xml:space="preserve"> of Ukraine.</w:t>
      </w:r>
    </w:p>
    <w:p w:rsidR="00D0155C" w:rsidRDefault="00D0155C" w:rsidP="00D16147">
      <w:pPr>
        <w:spacing w:before="120" w:after="0" w:line="252" w:lineRule="auto"/>
        <w:jc w:val="both"/>
        <w:rPr>
          <w:sz w:val="22"/>
          <w:szCs w:val="22"/>
          <w:lang w:val="en-GB"/>
        </w:rPr>
      </w:pPr>
    </w:p>
    <w:tbl>
      <w:tblPr>
        <w:tblW w:w="0" w:type="auto"/>
        <w:tblLayout w:type="fixed"/>
        <w:tblLook w:val="04A0"/>
      </w:tblPr>
      <w:tblGrid>
        <w:gridCol w:w="2660"/>
        <w:gridCol w:w="8363"/>
      </w:tblGrid>
      <w:tr w:rsidR="00D0155C" w:rsidRPr="001368E0" w:rsidTr="001368E0">
        <w:trPr>
          <w:trHeight w:val="280"/>
        </w:trPr>
        <w:tc>
          <w:tcPr>
            <w:tcW w:w="11023" w:type="dxa"/>
            <w:gridSpan w:val="2"/>
            <w:tcBorders>
              <w:top w:val="single" w:sz="18" w:space="0" w:color="983620"/>
              <w:left w:val="single" w:sz="18" w:space="0" w:color="983620"/>
              <w:right w:val="single" w:sz="18" w:space="0" w:color="983620"/>
            </w:tcBorders>
            <w:shd w:val="clear" w:color="auto" w:fill="792A19"/>
            <w:noWrap/>
            <w:hideMark/>
          </w:tcPr>
          <w:p w:rsidR="00D0155C" w:rsidRPr="001368E0" w:rsidRDefault="00D0155C" w:rsidP="001368E0">
            <w:pPr>
              <w:spacing w:after="0" w:line="240" w:lineRule="auto"/>
              <w:jc w:val="center"/>
              <w:rPr>
                <w:b/>
                <w:bCs/>
                <w:color w:val="FFFFFF"/>
                <w:lang w:val="en-GB"/>
              </w:rPr>
            </w:pPr>
            <w:r w:rsidRPr="001368E0">
              <w:rPr>
                <w:b/>
                <w:bCs/>
                <w:color w:val="FFFFFF"/>
                <w:lang w:val="en-GB"/>
              </w:rPr>
              <w:t xml:space="preserve">SWOT – </w:t>
            </w:r>
            <w:r w:rsidR="00E72C02" w:rsidRPr="001368E0">
              <w:rPr>
                <w:b/>
                <w:bCs/>
                <w:color w:val="FFFFFF"/>
                <w:lang w:val="en-GB"/>
              </w:rPr>
              <w:t>HEALTH,</w:t>
            </w:r>
            <w:r w:rsidR="00801CA7" w:rsidRPr="001368E0">
              <w:rPr>
                <w:b/>
                <w:bCs/>
                <w:color w:val="FFFFFF"/>
                <w:lang w:val="en-GB"/>
              </w:rPr>
              <w:t xml:space="preserve"> SAFETY</w:t>
            </w:r>
            <w:r w:rsidR="00E72C02" w:rsidRPr="001368E0">
              <w:rPr>
                <w:b/>
                <w:bCs/>
                <w:color w:val="FFFFFF"/>
                <w:lang w:val="en-GB"/>
              </w:rPr>
              <w:t xml:space="preserve"> AND SECURITY</w:t>
            </w:r>
          </w:p>
        </w:tc>
      </w:tr>
      <w:tr w:rsidR="009D116D" w:rsidRPr="001368E0" w:rsidTr="001368E0">
        <w:trPr>
          <w:trHeight w:val="280"/>
        </w:trPr>
        <w:tc>
          <w:tcPr>
            <w:tcW w:w="2660" w:type="dxa"/>
            <w:tcBorders>
              <w:left w:val="single" w:sz="18" w:space="0" w:color="983620"/>
              <w:right w:val="single" w:sz="4" w:space="0" w:color="983620"/>
            </w:tcBorders>
            <w:shd w:val="clear" w:color="auto" w:fill="A6A6A6"/>
            <w:noWrap/>
            <w:hideMark/>
          </w:tcPr>
          <w:p w:rsidR="00D0155C" w:rsidRPr="001368E0" w:rsidRDefault="00D0155C" w:rsidP="001368E0">
            <w:pPr>
              <w:spacing w:after="0" w:line="240" w:lineRule="auto"/>
              <w:jc w:val="center"/>
              <w:rPr>
                <w:b/>
                <w:bCs/>
                <w:color w:val="000000"/>
                <w:sz w:val="22"/>
                <w:szCs w:val="22"/>
              </w:rPr>
            </w:pPr>
            <w:r w:rsidRPr="001368E0">
              <w:rPr>
                <w:b/>
                <w:bCs/>
                <w:color w:val="000000"/>
                <w:sz w:val="22"/>
                <w:szCs w:val="22"/>
              </w:rPr>
              <w:t>STRENGTHS</w:t>
            </w:r>
          </w:p>
        </w:tc>
        <w:tc>
          <w:tcPr>
            <w:tcW w:w="8363" w:type="dxa"/>
            <w:tcBorders>
              <w:left w:val="single" w:sz="4" w:space="0" w:color="983620"/>
              <w:right w:val="single" w:sz="18" w:space="0" w:color="983620"/>
            </w:tcBorders>
            <w:shd w:val="clear" w:color="auto" w:fill="A6A6A6"/>
            <w:hideMark/>
          </w:tcPr>
          <w:p w:rsidR="00D0155C" w:rsidRPr="001368E0" w:rsidRDefault="00D0155C" w:rsidP="001368E0">
            <w:pPr>
              <w:spacing w:after="0" w:line="240" w:lineRule="auto"/>
              <w:jc w:val="center"/>
              <w:rPr>
                <w:b/>
                <w:color w:val="000000"/>
                <w:sz w:val="22"/>
                <w:szCs w:val="22"/>
              </w:rPr>
            </w:pPr>
            <w:r w:rsidRPr="001368E0">
              <w:rPr>
                <w:b/>
                <w:color w:val="000000"/>
                <w:sz w:val="22"/>
                <w:szCs w:val="22"/>
              </w:rPr>
              <w:t>WEAKNESSES</w:t>
            </w:r>
          </w:p>
        </w:tc>
      </w:tr>
      <w:tr w:rsidR="009D116D" w:rsidRPr="001368E0" w:rsidTr="001368E0">
        <w:trPr>
          <w:trHeight w:val="1120"/>
        </w:trPr>
        <w:tc>
          <w:tcPr>
            <w:tcW w:w="2660" w:type="dxa"/>
            <w:tcBorders>
              <w:left w:val="single" w:sz="18" w:space="0" w:color="983620"/>
              <w:right w:val="single" w:sz="4" w:space="0" w:color="983620"/>
            </w:tcBorders>
            <w:shd w:val="clear" w:color="auto" w:fill="E6E6E6"/>
            <w:hideMark/>
          </w:tcPr>
          <w:tbl>
            <w:tblPr>
              <w:tblW w:w="2552" w:type="dxa"/>
              <w:tblLayout w:type="fixed"/>
              <w:tblCellMar>
                <w:left w:w="70" w:type="dxa"/>
                <w:right w:w="70" w:type="dxa"/>
              </w:tblCellMar>
              <w:tblLook w:val="04A0"/>
            </w:tblPr>
            <w:tblGrid>
              <w:gridCol w:w="2552"/>
            </w:tblGrid>
            <w:tr w:rsidR="009D116D" w:rsidRPr="001368E0" w:rsidTr="009D116D">
              <w:trPr>
                <w:trHeight w:val="1120"/>
              </w:trPr>
              <w:tc>
                <w:tcPr>
                  <w:tcW w:w="2552" w:type="dxa"/>
                  <w:tcBorders>
                    <w:top w:val="nil"/>
                    <w:left w:val="nil"/>
                  </w:tcBorders>
                  <w:shd w:val="clear" w:color="auto" w:fill="auto"/>
                  <w:vAlign w:val="center"/>
                  <w:hideMark/>
                </w:tcPr>
                <w:p w:rsidR="009D116D" w:rsidRPr="001368E0" w:rsidRDefault="009D116D" w:rsidP="007B5327">
                  <w:pPr>
                    <w:pStyle w:val="ListParagraph"/>
                    <w:numPr>
                      <w:ilvl w:val="0"/>
                      <w:numId w:val="37"/>
                    </w:numPr>
                    <w:spacing w:before="40" w:after="40" w:line="240" w:lineRule="auto"/>
                    <w:ind w:left="714" w:hanging="357"/>
                    <w:rPr>
                      <w:rFonts w:eastAsia="Times New Roman"/>
                      <w:color w:val="000000"/>
                      <w:sz w:val="22"/>
                      <w:szCs w:val="22"/>
                      <w:lang w:val="en-GB"/>
                    </w:rPr>
                  </w:pPr>
                  <w:r w:rsidRPr="001368E0">
                    <w:rPr>
                      <w:rFonts w:eastAsia="Times New Roman"/>
                      <w:color w:val="000000"/>
                      <w:sz w:val="22"/>
                      <w:szCs w:val="22"/>
                      <w:lang w:val="en-GB"/>
                    </w:rPr>
                    <w:t>Life expectancy has increased more quickly in BSB than in the EU</w:t>
                  </w:r>
                </w:p>
                <w:p w:rsidR="009D116D" w:rsidRPr="001368E0" w:rsidRDefault="009D116D" w:rsidP="007B5327">
                  <w:pPr>
                    <w:pStyle w:val="ListParagraph"/>
                    <w:numPr>
                      <w:ilvl w:val="0"/>
                      <w:numId w:val="37"/>
                    </w:numPr>
                    <w:spacing w:before="40" w:after="40" w:line="240" w:lineRule="auto"/>
                    <w:ind w:left="714" w:hanging="357"/>
                    <w:rPr>
                      <w:rFonts w:eastAsia="Times New Roman"/>
                      <w:color w:val="000000"/>
                      <w:sz w:val="22"/>
                      <w:szCs w:val="22"/>
                      <w:lang w:val="en-GB"/>
                    </w:rPr>
                  </w:pPr>
                  <w:r w:rsidRPr="001368E0">
                    <w:rPr>
                      <w:rFonts w:eastAsia="Times New Roman"/>
                      <w:color w:val="000000"/>
                      <w:sz w:val="22"/>
                      <w:szCs w:val="22"/>
                      <w:lang w:val="en-GB"/>
                    </w:rPr>
                    <w:t xml:space="preserve">Tuberculosis prevalence and mortality rates have both decreased over the last few years </w:t>
                  </w:r>
                </w:p>
              </w:tc>
            </w:tr>
          </w:tbl>
          <w:p w:rsidR="00D0155C" w:rsidRPr="001368E0" w:rsidRDefault="00D0155C" w:rsidP="001368E0">
            <w:pPr>
              <w:pStyle w:val="ListParagraph"/>
              <w:spacing w:after="0" w:line="240" w:lineRule="auto"/>
              <w:rPr>
                <w:bCs/>
                <w:color w:val="000000"/>
                <w:sz w:val="22"/>
                <w:szCs w:val="22"/>
                <w:lang w:val="en-GB"/>
              </w:rPr>
            </w:pPr>
          </w:p>
        </w:tc>
        <w:tc>
          <w:tcPr>
            <w:tcW w:w="8363" w:type="dxa"/>
            <w:tcBorders>
              <w:left w:val="single" w:sz="4" w:space="0" w:color="983620"/>
              <w:right w:val="single" w:sz="18" w:space="0" w:color="983620"/>
            </w:tcBorders>
            <w:shd w:val="clear" w:color="auto" w:fill="E6E6E6"/>
            <w:hideMark/>
          </w:tcPr>
          <w:tbl>
            <w:tblPr>
              <w:tblW w:w="8255" w:type="dxa"/>
              <w:tblLayout w:type="fixed"/>
              <w:tblCellMar>
                <w:left w:w="70" w:type="dxa"/>
                <w:right w:w="70" w:type="dxa"/>
              </w:tblCellMar>
              <w:tblLook w:val="04A0"/>
            </w:tblPr>
            <w:tblGrid>
              <w:gridCol w:w="8255"/>
            </w:tblGrid>
            <w:tr w:rsidR="009D116D" w:rsidRPr="001368E0" w:rsidTr="00C80ED5">
              <w:trPr>
                <w:trHeight w:val="2425"/>
              </w:trPr>
              <w:tc>
                <w:tcPr>
                  <w:tcW w:w="8255" w:type="dxa"/>
                  <w:tcBorders>
                    <w:top w:val="nil"/>
                    <w:left w:val="nil"/>
                    <w:right w:val="nil"/>
                  </w:tcBorders>
                  <w:shd w:val="clear" w:color="auto" w:fill="auto"/>
                  <w:vAlign w:val="center"/>
                  <w:hideMark/>
                </w:tcPr>
                <w:p w:rsidR="009D116D" w:rsidRPr="001368E0" w:rsidRDefault="009D116D"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People in BSB countries live on average seven years less than in the EU</w:t>
                  </w:r>
                </w:p>
                <w:p w:rsidR="009D116D" w:rsidRPr="001368E0" w:rsidRDefault="009D116D"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Great inequalities remain between and within countries in the BSB area in terms of life expectancy</w:t>
                  </w:r>
                </w:p>
                <w:p w:rsidR="009D116D" w:rsidRPr="001368E0" w:rsidRDefault="009D116D"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Mortality, particularly from diseases of the circulatory system, and cancer remains high</w:t>
                  </w:r>
                </w:p>
                <w:p w:rsidR="009D116D" w:rsidRPr="001368E0" w:rsidRDefault="009D116D"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High (though decreasing) infant mortality rate</w:t>
                  </w:r>
                </w:p>
                <w:p w:rsidR="009D116D" w:rsidRPr="001368E0" w:rsidRDefault="009D116D"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Various preventable factors have high negative impact, including high alcohol intake, obesity, high salt intake and physical inactivity</w:t>
                  </w:r>
                </w:p>
                <w:p w:rsidR="009D116D" w:rsidRPr="001368E0" w:rsidRDefault="009D116D"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 xml:space="preserve">External causes of injury (incl. poisoning) disparities at country level </w:t>
                  </w:r>
                </w:p>
                <w:p w:rsidR="009D116D" w:rsidRPr="001368E0" w:rsidRDefault="00545053"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HIV </w:t>
                  </w:r>
                  <w:r w:rsidR="009D116D" w:rsidRPr="001368E0">
                    <w:rPr>
                      <w:rFonts w:eastAsia="Times New Roman"/>
                      <w:color w:val="000000"/>
                      <w:sz w:val="22"/>
                      <w:szCs w:val="22"/>
                      <w:lang w:val="en-GB"/>
                    </w:rPr>
                    <w:t>rates in Ukraine and Moldova are far above the EU average</w:t>
                  </w:r>
                </w:p>
                <w:p w:rsidR="009D116D" w:rsidRPr="001368E0" w:rsidRDefault="009D116D"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Health systems face serious challenges dealing with poverty and social exclusion</w:t>
                  </w:r>
                </w:p>
                <w:p w:rsidR="009D116D" w:rsidRPr="001368E0" w:rsidRDefault="009D116D"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 xml:space="preserve">High and in some countries increasing female maternal mortality </w:t>
                  </w:r>
                </w:p>
                <w:p w:rsidR="009D116D" w:rsidRPr="001368E0" w:rsidRDefault="009D116D"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 xml:space="preserve">Gender inequalities reflected in reproductive health and parliamentary representation </w:t>
                  </w:r>
                </w:p>
                <w:p w:rsidR="009D116D" w:rsidRPr="001368E0" w:rsidRDefault="009D116D"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Meeting point for many irregular migration routes</w:t>
                  </w:r>
                </w:p>
                <w:p w:rsidR="009D116D" w:rsidRPr="001368E0" w:rsidRDefault="00FE5E8B" w:rsidP="0028075A">
                  <w:pPr>
                    <w:pStyle w:val="ListParagraph"/>
                    <w:numPr>
                      <w:ilvl w:val="0"/>
                      <w:numId w:val="37"/>
                    </w:numPr>
                    <w:spacing w:after="0" w:line="240" w:lineRule="auto"/>
                    <w:rPr>
                      <w:rFonts w:eastAsia="Times New Roman"/>
                      <w:color w:val="000000"/>
                      <w:sz w:val="22"/>
                      <w:szCs w:val="22"/>
                      <w:lang w:val="en-GB"/>
                    </w:rPr>
                  </w:pPr>
                  <w:r w:rsidRPr="001368E0">
                    <w:rPr>
                      <w:rFonts w:eastAsia="Times New Roman"/>
                      <w:color w:val="000000"/>
                      <w:sz w:val="22"/>
                      <w:szCs w:val="22"/>
                      <w:lang w:val="en-GB"/>
                    </w:rPr>
                    <w:t>B</w:t>
                  </w:r>
                  <w:r w:rsidR="009D116D" w:rsidRPr="001368E0">
                    <w:rPr>
                      <w:rFonts w:eastAsia="Times New Roman"/>
                      <w:color w:val="000000"/>
                      <w:sz w:val="22"/>
                      <w:szCs w:val="22"/>
                      <w:lang w:val="en-GB"/>
                    </w:rPr>
                    <w:t>ilateral disputes</w:t>
                  </w:r>
                  <w:r w:rsidRPr="001368E0">
                    <w:rPr>
                      <w:rFonts w:eastAsia="Times New Roman"/>
                      <w:color w:val="000000"/>
                      <w:sz w:val="22"/>
                      <w:szCs w:val="22"/>
                      <w:lang w:val="en-GB"/>
                    </w:rPr>
                    <w:t xml:space="preserve"> and conflicts, </w:t>
                  </w:r>
                  <w:r w:rsidR="005262A4" w:rsidRPr="001368E0">
                    <w:rPr>
                      <w:rFonts w:eastAsia="Times New Roman"/>
                      <w:color w:val="000000"/>
                      <w:sz w:val="22"/>
                      <w:szCs w:val="22"/>
                      <w:lang w:val="en-GB"/>
                    </w:rPr>
                    <w:t>including armed confrontations</w:t>
                  </w:r>
                </w:p>
              </w:tc>
            </w:tr>
          </w:tbl>
          <w:p w:rsidR="00D0155C" w:rsidRPr="001368E0" w:rsidRDefault="00D0155C" w:rsidP="001368E0">
            <w:pPr>
              <w:pStyle w:val="ListParagraph"/>
              <w:spacing w:after="0" w:line="240" w:lineRule="auto"/>
              <w:rPr>
                <w:color w:val="000000"/>
                <w:sz w:val="22"/>
                <w:szCs w:val="22"/>
                <w:lang w:val="en-GB"/>
              </w:rPr>
            </w:pPr>
          </w:p>
        </w:tc>
      </w:tr>
      <w:tr w:rsidR="009D116D" w:rsidRPr="001368E0" w:rsidTr="001368E0">
        <w:trPr>
          <w:trHeight w:val="280"/>
        </w:trPr>
        <w:tc>
          <w:tcPr>
            <w:tcW w:w="2660" w:type="dxa"/>
            <w:tcBorders>
              <w:left w:val="single" w:sz="18" w:space="0" w:color="983620"/>
              <w:right w:val="single" w:sz="4" w:space="0" w:color="983620"/>
            </w:tcBorders>
            <w:shd w:val="clear" w:color="auto" w:fill="A6A6A6"/>
            <w:noWrap/>
            <w:hideMark/>
          </w:tcPr>
          <w:p w:rsidR="00D0155C" w:rsidRPr="001368E0" w:rsidRDefault="00D0155C" w:rsidP="001368E0">
            <w:pPr>
              <w:spacing w:after="0" w:line="240" w:lineRule="auto"/>
              <w:jc w:val="center"/>
              <w:rPr>
                <w:b/>
                <w:bCs/>
                <w:color w:val="000000"/>
                <w:sz w:val="22"/>
                <w:szCs w:val="22"/>
              </w:rPr>
            </w:pPr>
            <w:r w:rsidRPr="001368E0">
              <w:rPr>
                <w:b/>
                <w:bCs/>
                <w:color w:val="000000"/>
                <w:sz w:val="22"/>
                <w:szCs w:val="22"/>
              </w:rPr>
              <w:t>OPPORTUNITIES</w:t>
            </w:r>
          </w:p>
        </w:tc>
        <w:tc>
          <w:tcPr>
            <w:tcW w:w="8363" w:type="dxa"/>
            <w:tcBorders>
              <w:left w:val="single" w:sz="4" w:space="0" w:color="983620"/>
              <w:right w:val="single" w:sz="18" w:space="0" w:color="983620"/>
            </w:tcBorders>
            <w:shd w:val="clear" w:color="auto" w:fill="A6A6A6"/>
            <w:hideMark/>
          </w:tcPr>
          <w:p w:rsidR="00D0155C" w:rsidRPr="001368E0" w:rsidRDefault="00D0155C" w:rsidP="001368E0">
            <w:pPr>
              <w:spacing w:after="0" w:line="240" w:lineRule="auto"/>
              <w:jc w:val="center"/>
              <w:rPr>
                <w:b/>
                <w:color w:val="000000"/>
                <w:sz w:val="22"/>
                <w:szCs w:val="22"/>
              </w:rPr>
            </w:pPr>
            <w:r w:rsidRPr="001368E0">
              <w:rPr>
                <w:b/>
                <w:color w:val="000000"/>
                <w:sz w:val="22"/>
                <w:szCs w:val="22"/>
              </w:rPr>
              <w:t>THREATS</w:t>
            </w:r>
          </w:p>
        </w:tc>
      </w:tr>
      <w:tr w:rsidR="009D116D" w:rsidRPr="001368E0" w:rsidTr="001368E0">
        <w:trPr>
          <w:trHeight w:val="1076"/>
        </w:trPr>
        <w:tc>
          <w:tcPr>
            <w:tcW w:w="2660" w:type="dxa"/>
            <w:tcBorders>
              <w:left w:val="single" w:sz="18" w:space="0" w:color="983620"/>
              <w:bottom w:val="single" w:sz="18" w:space="0" w:color="983620"/>
              <w:right w:val="single" w:sz="4" w:space="0" w:color="983620"/>
            </w:tcBorders>
            <w:shd w:val="clear" w:color="auto" w:fill="E6E6E6"/>
            <w:hideMark/>
          </w:tcPr>
          <w:p w:rsidR="00D0155C" w:rsidRPr="001368E0" w:rsidRDefault="00D0155C" w:rsidP="001368E0">
            <w:pPr>
              <w:spacing w:after="120" w:line="240" w:lineRule="auto"/>
              <w:rPr>
                <w:rFonts w:eastAsia="Times New Roman"/>
                <w:b/>
                <w:bCs/>
                <w:color w:val="000000"/>
                <w:sz w:val="22"/>
                <w:szCs w:val="22"/>
              </w:rPr>
            </w:pPr>
          </w:p>
        </w:tc>
        <w:tc>
          <w:tcPr>
            <w:tcW w:w="8363" w:type="dxa"/>
            <w:tcBorders>
              <w:left w:val="single" w:sz="4" w:space="0" w:color="983620"/>
              <w:bottom w:val="single" w:sz="18" w:space="0" w:color="983620"/>
              <w:right w:val="single" w:sz="18" w:space="0" w:color="983620"/>
            </w:tcBorders>
            <w:shd w:val="clear" w:color="auto" w:fill="E6E6E6"/>
            <w:hideMark/>
          </w:tcPr>
          <w:tbl>
            <w:tblPr>
              <w:tblW w:w="8255" w:type="dxa"/>
              <w:tblLayout w:type="fixed"/>
              <w:tblCellMar>
                <w:left w:w="70" w:type="dxa"/>
                <w:right w:w="70" w:type="dxa"/>
              </w:tblCellMar>
              <w:tblLook w:val="04A0"/>
            </w:tblPr>
            <w:tblGrid>
              <w:gridCol w:w="8255"/>
            </w:tblGrid>
            <w:tr w:rsidR="009D116D" w:rsidRPr="001368E0" w:rsidTr="009D116D">
              <w:trPr>
                <w:trHeight w:val="1120"/>
              </w:trPr>
              <w:tc>
                <w:tcPr>
                  <w:tcW w:w="8255" w:type="dxa"/>
                  <w:tcBorders>
                    <w:top w:val="nil"/>
                    <w:left w:val="nil"/>
                    <w:right w:val="nil"/>
                  </w:tcBorders>
                  <w:shd w:val="clear" w:color="auto" w:fill="auto"/>
                  <w:vAlign w:val="center"/>
                  <w:hideMark/>
                </w:tcPr>
                <w:p w:rsidR="009D116D" w:rsidRPr="001368E0" w:rsidRDefault="009D116D" w:rsidP="0028075A">
                  <w:pPr>
                    <w:pStyle w:val="ListParagraph"/>
                    <w:numPr>
                      <w:ilvl w:val="0"/>
                      <w:numId w:val="38"/>
                    </w:numPr>
                    <w:spacing w:after="0" w:line="240" w:lineRule="auto"/>
                    <w:rPr>
                      <w:rFonts w:eastAsia="Times New Roman"/>
                      <w:color w:val="000000"/>
                      <w:sz w:val="22"/>
                      <w:szCs w:val="22"/>
                      <w:lang w:val="en-GB"/>
                    </w:rPr>
                  </w:pPr>
                  <w:r w:rsidRPr="001368E0">
                    <w:rPr>
                      <w:rFonts w:eastAsia="Times New Roman"/>
                      <w:color w:val="000000"/>
                      <w:sz w:val="22"/>
                      <w:szCs w:val="22"/>
                      <w:lang w:val="en-GB"/>
                    </w:rPr>
                    <w:t>Emigration affects notably doctors and skilled medical workforce in Moldova and Bulgaria</w:t>
                  </w:r>
                </w:p>
                <w:p w:rsidR="009D116D" w:rsidRPr="001368E0" w:rsidRDefault="009D116D" w:rsidP="0028075A">
                  <w:pPr>
                    <w:pStyle w:val="ListParagraph"/>
                    <w:numPr>
                      <w:ilvl w:val="0"/>
                      <w:numId w:val="38"/>
                    </w:numPr>
                    <w:spacing w:after="0" w:line="240" w:lineRule="auto"/>
                    <w:rPr>
                      <w:rFonts w:eastAsia="Times New Roman"/>
                      <w:color w:val="000000"/>
                      <w:sz w:val="22"/>
                      <w:szCs w:val="22"/>
                    </w:rPr>
                  </w:pPr>
                  <w:r w:rsidRPr="001368E0">
                    <w:rPr>
                      <w:rFonts w:eastAsia="Times New Roman"/>
                      <w:color w:val="000000"/>
                      <w:sz w:val="22"/>
                      <w:szCs w:val="22"/>
                    </w:rPr>
                    <w:t>Human trafficking</w:t>
                  </w:r>
                </w:p>
                <w:p w:rsidR="004B6007" w:rsidRPr="001368E0" w:rsidRDefault="007D69FE" w:rsidP="0028075A">
                  <w:pPr>
                    <w:pStyle w:val="ListParagraph"/>
                    <w:numPr>
                      <w:ilvl w:val="0"/>
                      <w:numId w:val="38"/>
                    </w:numPr>
                    <w:spacing w:after="0" w:line="240" w:lineRule="auto"/>
                    <w:rPr>
                      <w:rFonts w:eastAsia="Times New Roman"/>
                      <w:color w:val="000000"/>
                      <w:sz w:val="22"/>
                      <w:szCs w:val="22"/>
                    </w:rPr>
                  </w:pPr>
                  <w:r w:rsidRPr="001368E0">
                    <w:rPr>
                      <w:rFonts w:eastAsia="Times New Roman"/>
                      <w:color w:val="000000"/>
                      <w:sz w:val="22"/>
                      <w:szCs w:val="22"/>
                    </w:rPr>
                    <w:t>Large</w:t>
                  </w:r>
                  <w:r w:rsidR="00C41C9E" w:rsidRPr="001368E0">
                    <w:rPr>
                      <w:rFonts w:eastAsia="Times New Roman"/>
                      <w:color w:val="000000"/>
                      <w:sz w:val="22"/>
                      <w:szCs w:val="22"/>
                    </w:rPr>
                    <w:t>r</w:t>
                  </w:r>
                  <w:r w:rsidRPr="001368E0">
                    <w:rPr>
                      <w:rFonts w:eastAsia="Times New Roman"/>
                      <w:color w:val="000000"/>
                      <w:sz w:val="22"/>
                      <w:szCs w:val="22"/>
                    </w:rPr>
                    <w:t>-scale war</w:t>
                  </w:r>
                </w:p>
              </w:tc>
            </w:tr>
          </w:tbl>
          <w:p w:rsidR="00D0155C" w:rsidRPr="001368E0" w:rsidRDefault="00D0155C" w:rsidP="001368E0">
            <w:pPr>
              <w:pStyle w:val="ListParagraph"/>
              <w:spacing w:after="120" w:line="240" w:lineRule="auto"/>
              <w:ind w:left="0"/>
              <w:rPr>
                <w:color w:val="000000"/>
                <w:sz w:val="22"/>
                <w:szCs w:val="22"/>
              </w:rPr>
            </w:pPr>
          </w:p>
        </w:tc>
      </w:tr>
    </w:tbl>
    <w:p w:rsidR="00D0155C" w:rsidRPr="004B58D3" w:rsidRDefault="00D0155C" w:rsidP="00D16147">
      <w:pPr>
        <w:spacing w:before="120" w:after="0" w:line="252" w:lineRule="auto"/>
        <w:jc w:val="both"/>
        <w:rPr>
          <w:sz w:val="22"/>
          <w:szCs w:val="22"/>
          <w:lang w:val="en-GB"/>
        </w:rPr>
      </w:pPr>
    </w:p>
    <w:p w:rsidR="00D16147" w:rsidRPr="006E3288" w:rsidRDefault="00D16147" w:rsidP="0000667E">
      <w:pPr>
        <w:pStyle w:val="Heading3"/>
        <w:rPr>
          <w:b/>
          <w:sz w:val="28"/>
          <w:szCs w:val="28"/>
          <w:lang w:val="en-GB"/>
        </w:rPr>
      </w:pPr>
      <w:bookmarkStart w:id="47" w:name="_Toc246127439"/>
      <w:bookmarkStart w:id="48" w:name="_Toc288133438"/>
      <w:r w:rsidRPr="006E3288">
        <w:rPr>
          <w:b/>
          <w:sz w:val="28"/>
          <w:szCs w:val="28"/>
          <w:lang w:val="en-GB"/>
        </w:rPr>
        <w:t>Energy, transport and communication networks</w:t>
      </w:r>
      <w:bookmarkEnd w:id="47"/>
      <w:bookmarkEnd w:id="48"/>
    </w:p>
    <w:p w:rsidR="00D16147" w:rsidRPr="008242B5" w:rsidRDefault="00D16147" w:rsidP="000D36B6">
      <w:pPr>
        <w:spacing w:before="240" w:after="120"/>
        <w:rPr>
          <w:b/>
          <w:lang w:val="en-GB"/>
        </w:rPr>
      </w:pPr>
      <w:bookmarkStart w:id="49" w:name="_Toc246127440"/>
      <w:r w:rsidRPr="008242B5">
        <w:rPr>
          <w:b/>
          <w:lang w:val="en-GB"/>
        </w:rPr>
        <w:t>Overview of Black Sea Basin energy exchanges and networks</w:t>
      </w:r>
      <w:bookmarkEnd w:id="49"/>
      <w:r w:rsidRPr="008242B5">
        <w:rPr>
          <w:b/>
          <w:lang w:val="en-GB"/>
        </w:rPr>
        <w:t xml:space="preserve"> </w:t>
      </w:r>
    </w:p>
    <w:p w:rsidR="00D16147" w:rsidRPr="004B58D3" w:rsidRDefault="00D16147" w:rsidP="00D16147">
      <w:pPr>
        <w:spacing w:before="120" w:after="0" w:line="252" w:lineRule="auto"/>
        <w:jc w:val="both"/>
        <w:rPr>
          <w:sz w:val="22"/>
          <w:szCs w:val="22"/>
          <w:lang w:val="en-GB"/>
        </w:rPr>
      </w:pPr>
      <w:r w:rsidRPr="004B58D3">
        <w:rPr>
          <w:sz w:val="22"/>
          <w:szCs w:val="22"/>
          <w:lang w:val="en-GB"/>
        </w:rPr>
        <w:t>The transport of oil and gas across the Black Sea is a major activity, mainly via</w:t>
      </w:r>
      <w:r>
        <w:rPr>
          <w:sz w:val="22"/>
          <w:szCs w:val="22"/>
          <w:lang w:val="en-GB"/>
        </w:rPr>
        <w:t xml:space="preserve"> tankers that</w:t>
      </w:r>
      <w:r w:rsidRPr="004B58D3">
        <w:rPr>
          <w:sz w:val="22"/>
          <w:szCs w:val="22"/>
          <w:lang w:val="en-GB"/>
        </w:rPr>
        <w:t xml:space="preserve"> sail from the oil ports of </w:t>
      </w:r>
      <w:r w:rsidRPr="006A6BDF">
        <w:rPr>
          <w:sz w:val="22"/>
          <w:szCs w:val="22"/>
          <w:lang w:val="en-GB"/>
        </w:rPr>
        <w:t xml:space="preserve">Novorossiysk and Tuapse (Russia), Odessa (Ukraine) and Poti and </w:t>
      </w:r>
      <w:r w:rsidR="007B5327">
        <w:rPr>
          <w:sz w:val="22"/>
          <w:szCs w:val="22"/>
          <w:lang w:val="en-GB"/>
        </w:rPr>
        <w:t>Batumi (Georgia) – see figure 29</w:t>
      </w:r>
      <w:r w:rsidRPr="006A6BDF">
        <w:rPr>
          <w:sz w:val="22"/>
          <w:szCs w:val="22"/>
          <w:lang w:val="en-GB"/>
        </w:rPr>
        <w:t xml:space="preserve"> below. On the</w:t>
      </w:r>
      <w:r w:rsidRPr="004B58D3">
        <w:rPr>
          <w:sz w:val="22"/>
          <w:szCs w:val="22"/>
          <w:lang w:val="en-GB"/>
        </w:rPr>
        <w:t xml:space="preserve"> western shore, the European Union has only one major port, Constanta (Romania)</w:t>
      </w:r>
      <w:r w:rsidRPr="004320D6">
        <w:rPr>
          <w:rStyle w:val="EndnoteReference"/>
          <w:sz w:val="22"/>
          <w:szCs w:val="22"/>
        </w:rPr>
        <w:endnoteReference w:id="100"/>
      </w:r>
      <w:r w:rsidRPr="004B58D3">
        <w:rPr>
          <w:sz w:val="22"/>
          <w:szCs w:val="22"/>
          <w:lang w:val="en-GB"/>
        </w:rPr>
        <w:t>.</w:t>
      </w:r>
      <w:r>
        <w:rPr>
          <w:sz w:val="22"/>
          <w:szCs w:val="22"/>
          <w:lang w:val="en-GB"/>
        </w:rPr>
        <w:t xml:space="preserve"> </w:t>
      </w:r>
    </w:p>
    <w:p w:rsidR="00D16147" w:rsidRPr="004B58D3" w:rsidRDefault="006102F6" w:rsidP="00D16147">
      <w:pPr>
        <w:spacing w:before="120" w:after="0" w:line="252" w:lineRule="auto"/>
        <w:jc w:val="both"/>
        <w:rPr>
          <w:sz w:val="22"/>
          <w:szCs w:val="22"/>
          <w:u w:color="1B57B1"/>
          <w:lang w:val="en-GB"/>
        </w:rPr>
      </w:pPr>
      <w:r>
        <w:rPr>
          <w:noProof/>
          <w:sz w:val="22"/>
          <w:szCs w:val="22"/>
          <w:u w:color="1B57B1"/>
          <w:lang w:val="ro-RO" w:eastAsia="ro-RO"/>
        </w:rPr>
        <w:drawing>
          <wp:inline distT="0" distB="0" distL="0" distR="0">
            <wp:extent cx="4886325" cy="2895600"/>
            <wp:effectExtent l="19050" t="0" r="9525" b="0"/>
            <wp:docPr id="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2"/>
                    <a:srcRect/>
                    <a:stretch>
                      <a:fillRect/>
                    </a:stretch>
                  </pic:blipFill>
                  <pic:spPr bwMode="auto">
                    <a:xfrm>
                      <a:off x="0" y="0"/>
                      <a:ext cx="4886325" cy="2895600"/>
                    </a:xfrm>
                    <a:prstGeom prst="rect">
                      <a:avLst/>
                    </a:prstGeom>
                    <a:noFill/>
                    <a:ln w="9525">
                      <a:noFill/>
                      <a:miter lim="800000"/>
                      <a:headEnd/>
                      <a:tailEnd/>
                    </a:ln>
                  </pic:spPr>
                </pic:pic>
              </a:graphicData>
            </a:graphic>
          </wp:inline>
        </w:drawing>
      </w:r>
      <w:r w:rsidR="00D16147" w:rsidRPr="0077602E">
        <w:rPr>
          <w:lang w:val="en-GB"/>
        </w:rPr>
        <w:t xml:space="preserve"> </w:t>
      </w:r>
      <w:r>
        <w:rPr>
          <w:noProof/>
          <w:sz w:val="22"/>
          <w:szCs w:val="22"/>
          <w:u w:color="1B57B1"/>
          <w:lang w:val="ro-RO" w:eastAsia="ro-RO"/>
        </w:rPr>
        <w:drawing>
          <wp:inline distT="0" distB="0" distL="0" distR="0">
            <wp:extent cx="1562100" cy="800100"/>
            <wp:effectExtent l="19050" t="0" r="0" b="0"/>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3"/>
                    <a:srcRect/>
                    <a:stretch>
                      <a:fillRect/>
                    </a:stretch>
                  </pic:blipFill>
                  <pic:spPr bwMode="auto">
                    <a:xfrm>
                      <a:off x="0" y="0"/>
                      <a:ext cx="1562100" cy="800100"/>
                    </a:xfrm>
                    <a:prstGeom prst="rect">
                      <a:avLst/>
                    </a:prstGeom>
                    <a:noFill/>
                    <a:ln w="9525">
                      <a:noFill/>
                      <a:miter lim="800000"/>
                      <a:headEnd/>
                      <a:tailEnd/>
                    </a:ln>
                  </pic:spPr>
                </pic:pic>
              </a:graphicData>
            </a:graphic>
          </wp:inline>
        </w:drawing>
      </w:r>
    </w:p>
    <w:p w:rsidR="00D16147" w:rsidRPr="00157DE0" w:rsidRDefault="00957F9B" w:rsidP="005A12B9">
      <w:pPr>
        <w:pStyle w:val="Caption"/>
        <w:spacing w:after="0" w:line="252" w:lineRule="auto"/>
        <w:jc w:val="left"/>
        <w:rPr>
          <w:sz w:val="22"/>
          <w:szCs w:val="22"/>
          <w:lang w:val="en-GB"/>
        </w:rPr>
      </w:pPr>
      <w:r>
        <w:rPr>
          <w:sz w:val="22"/>
          <w:szCs w:val="22"/>
          <w:lang w:val="en-GB"/>
        </w:rPr>
        <w:t>Figure 29</w:t>
      </w:r>
      <w:r w:rsidR="00D16147" w:rsidRPr="006A6BDF">
        <w:rPr>
          <w:sz w:val="22"/>
          <w:szCs w:val="22"/>
          <w:lang w:val="en-GB"/>
        </w:rPr>
        <w:t>. Regional oil infrastructure map, 2007</w:t>
      </w:r>
      <w:r w:rsidR="00D16147" w:rsidRPr="006A6BDF">
        <w:rPr>
          <w:rStyle w:val="EndnoteReference"/>
          <w:sz w:val="22"/>
          <w:szCs w:val="22"/>
          <w:lang w:val="en-GB"/>
        </w:rPr>
        <w:endnoteReference w:id="101"/>
      </w:r>
    </w:p>
    <w:p w:rsidR="00D16147" w:rsidRPr="006A6BDF" w:rsidRDefault="00D16147" w:rsidP="00D16147">
      <w:pPr>
        <w:spacing w:before="120" w:after="0" w:line="252" w:lineRule="auto"/>
        <w:jc w:val="both"/>
        <w:rPr>
          <w:sz w:val="22"/>
          <w:szCs w:val="22"/>
          <w:u w:color="1B57B1"/>
          <w:lang w:val="en-GB"/>
        </w:rPr>
      </w:pPr>
      <w:r w:rsidRPr="004B58D3">
        <w:rPr>
          <w:sz w:val="22"/>
          <w:szCs w:val="22"/>
          <w:lang w:val="en-GB"/>
        </w:rPr>
        <w:t xml:space="preserve">The oil ports of Ukraine, Russia and Georgia are all terminals for oil and gas pipelines from the Caspian Sea. </w:t>
      </w:r>
      <w:r w:rsidRPr="004B58D3">
        <w:rPr>
          <w:sz w:val="22"/>
          <w:szCs w:val="22"/>
          <w:u w:color="1B57B1"/>
          <w:lang w:val="en-GB"/>
        </w:rPr>
        <w:t xml:space="preserve">In the south, an oil pipeline that originates in Baku (Azerbaijan) crosses Georgia and Anatolia before reaching the Turkish </w:t>
      </w:r>
      <w:r w:rsidRPr="006A6BDF">
        <w:rPr>
          <w:sz w:val="22"/>
          <w:szCs w:val="22"/>
          <w:u w:color="1B57B1"/>
          <w:lang w:val="en-GB"/>
        </w:rPr>
        <w:t xml:space="preserve">port of Ceyhan on </w:t>
      </w:r>
      <w:r w:rsidR="00572DC2">
        <w:rPr>
          <w:sz w:val="22"/>
          <w:szCs w:val="22"/>
          <w:u w:color="1B57B1"/>
          <w:lang w:val="en-GB"/>
        </w:rPr>
        <w:t>the Mediterranean (see figure 29</w:t>
      </w:r>
      <w:r w:rsidRPr="006A6BDF">
        <w:rPr>
          <w:sz w:val="22"/>
          <w:szCs w:val="22"/>
          <w:u w:color="1B57B1"/>
          <w:lang w:val="en-GB"/>
        </w:rPr>
        <w:t xml:space="preserve"> above). The Blue Stream gas pipeline runs under the Black Sea to connect Tuapse (Russia) with Samsun (Turkey). This network of pipelines is expected to expand in the future via two projects: Nabucco (from Baku to the European Union, through Ceyhan) and South Stream (from Tuapse to Italy, via Constanta and Burgas)</w:t>
      </w:r>
      <w:r w:rsidRPr="006A6BDF">
        <w:rPr>
          <w:rStyle w:val="EndnoteReference"/>
          <w:sz w:val="22"/>
          <w:szCs w:val="22"/>
          <w:u w:color="1B57B1"/>
        </w:rPr>
        <w:endnoteReference w:id="102"/>
      </w:r>
      <w:r w:rsidRPr="006A6BDF">
        <w:rPr>
          <w:sz w:val="22"/>
          <w:szCs w:val="22"/>
          <w:u w:color="1B57B1"/>
          <w:lang w:val="en-GB"/>
        </w:rPr>
        <w:t>.</w:t>
      </w:r>
    </w:p>
    <w:p w:rsidR="00D16147" w:rsidRPr="006A6BDF" w:rsidRDefault="00D16147" w:rsidP="00D16147">
      <w:pPr>
        <w:spacing w:before="120" w:after="0" w:line="252" w:lineRule="auto"/>
        <w:jc w:val="both"/>
        <w:rPr>
          <w:sz w:val="22"/>
          <w:szCs w:val="22"/>
          <w:lang w:val="en-GB"/>
        </w:rPr>
      </w:pPr>
      <w:r w:rsidRPr="006A6BDF">
        <w:rPr>
          <w:sz w:val="22"/>
          <w:szCs w:val="22"/>
          <w:lang w:val="en-GB"/>
        </w:rPr>
        <w:t>Several projects are also underway for the integration of electricity grids around the Black Sea, potentially reducing vulnerability as well as consumer prices for electricity.</w:t>
      </w:r>
    </w:p>
    <w:p w:rsidR="00D16147" w:rsidRPr="008242B5" w:rsidRDefault="00D16147" w:rsidP="000D36B6">
      <w:pPr>
        <w:spacing w:before="240" w:after="120"/>
        <w:rPr>
          <w:b/>
          <w:lang w:val="en-GB"/>
        </w:rPr>
      </w:pPr>
      <w:bookmarkStart w:id="50" w:name="_Toc246127441"/>
      <w:r w:rsidRPr="008242B5">
        <w:rPr>
          <w:b/>
          <w:lang w:val="en-GB"/>
        </w:rPr>
        <w:t>Overview of Black Sea Basin transport infrastructure</w:t>
      </w:r>
      <w:bookmarkEnd w:id="50"/>
      <w:r w:rsidRPr="008242B5">
        <w:rPr>
          <w:b/>
          <w:lang w:val="en-GB"/>
        </w:rPr>
        <w:t xml:space="preserve"> </w:t>
      </w:r>
    </w:p>
    <w:p w:rsidR="00D16147" w:rsidRPr="00C2566B" w:rsidRDefault="00D16147" w:rsidP="00D16147">
      <w:pPr>
        <w:spacing w:before="120" w:after="0" w:line="252" w:lineRule="auto"/>
        <w:jc w:val="both"/>
        <w:rPr>
          <w:sz w:val="22"/>
          <w:szCs w:val="22"/>
          <w:lang w:val="en-GB"/>
        </w:rPr>
      </w:pPr>
      <w:r w:rsidRPr="004B58D3">
        <w:rPr>
          <w:sz w:val="22"/>
          <w:szCs w:val="22"/>
          <w:lang w:val="en-GB"/>
        </w:rPr>
        <w:t xml:space="preserve">Economic development in the Black Sea countries, in particular rising foreign trade, gave a great push to the organization and development of a regional Black Sea transport system. The total cargo turnover for the ports of </w:t>
      </w:r>
      <w:r w:rsidRPr="006A6BDF">
        <w:rPr>
          <w:sz w:val="22"/>
          <w:szCs w:val="22"/>
          <w:lang w:val="en-GB"/>
        </w:rPr>
        <w:t>Bulgaria, Georgia, Russia, Romania and Ukraine between 2000 and 2007 increased more than twice</w:t>
      </w:r>
      <w:r w:rsidRPr="006A6BDF">
        <w:rPr>
          <w:sz w:val="22"/>
          <w:szCs w:val="22"/>
          <w:vertAlign w:val="superscript"/>
        </w:rPr>
        <w:endnoteReference w:id="103"/>
      </w:r>
      <w:r w:rsidRPr="006A6BDF">
        <w:rPr>
          <w:sz w:val="22"/>
          <w:szCs w:val="22"/>
          <w:lang w:val="en-GB"/>
        </w:rPr>
        <w:t xml:space="preserve"> and around 50,000 ships sail through the Bosporus every year including at least 10,000 oil tankers</w:t>
      </w:r>
      <w:r w:rsidRPr="006A6BDF">
        <w:rPr>
          <w:sz w:val="22"/>
          <w:szCs w:val="22"/>
          <w:vertAlign w:val="superscript"/>
        </w:rPr>
        <w:endnoteReference w:id="104"/>
      </w:r>
      <w:r w:rsidRPr="006A6BDF">
        <w:rPr>
          <w:sz w:val="22"/>
          <w:szCs w:val="22"/>
          <w:lang w:val="en-GB"/>
        </w:rPr>
        <w:t>. The overall quality of port infrastructure around the Black Sea is still assessed as rather poor in Moldova and Romania (scoring less than 3 on a scale of 7</w:t>
      </w:r>
      <w:r w:rsidRPr="006A6BDF">
        <w:rPr>
          <w:rStyle w:val="FootnoteReference"/>
          <w:sz w:val="22"/>
          <w:szCs w:val="22"/>
          <w:lang w:val="en-GB"/>
        </w:rPr>
        <w:footnoteReference w:id="50"/>
      </w:r>
      <w:r w:rsidRPr="006A6BDF">
        <w:rPr>
          <w:sz w:val="22"/>
          <w:szCs w:val="22"/>
          <w:lang w:val="en-GB"/>
        </w:rPr>
        <w:t>) and as good in Greece, Turkey and Georgia.</w:t>
      </w:r>
    </w:p>
    <w:p w:rsidR="00D16147" w:rsidRDefault="00D16147" w:rsidP="00D16147">
      <w:pPr>
        <w:spacing w:before="120" w:after="0" w:line="252" w:lineRule="auto"/>
        <w:jc w:val="both"/>
        <w:rPr>
          <w:sz w:val="22"/>
          <w:szCs w:val="22"/>
          <w:lang w:val="en-GB"/>
        </w:rPr>
      </w:pPr>
      <w:r w:rsidRPr="004B58D3">
        <w:rPr>
          <w:sz w:val="22"/>
          <w:szCs w:val="22"/>
          <w:lang w:val="en-GB"/>
        </w:rPr>
        <w:t>T</w:t>
      </w:r>
      <w:r>
        <w:rPr>
          <w:sz w:val="22"/>
          <w:szCs w:val="22"/>
          <w:lang w:val="en-GB"/>
        </w:rPr>
        <w:t>he T</w:t>
      </w:r>
      <w:r w:rsidRPr="004B58D3">
        <w:rPr>
          <w:sz w:val="22"/>
          <w:szCs w:val="22"/>
          <w:lang w:val="en-GB"/>
        </w:rPr>
        <w:t xml:space="preserve">rans-Black Sea inter-modal transport network is also gaining more importance in the region with sea ports playing an essential role in connecting land transport lines with maritime </w:t>
      </w:r>
      <w:r>
        <w:rPr>
          <w:sz w:val="22"/>
          <w:szCs w:val="22"/>
          <w:lang w:val="en-GB"/>
        </w:rPr>
        <w:t>li</w:t>
      </w:r>
      <w:r w:rsidRPr="004B58D3">
        <w:rPr>
          <w:sz w:val="22"/>
          <w:szCs w:val="22"/>
          <w:lang w:val="en-GB"/>
        </w:rPr>
        <w:t xml:space="preserve">nes. The ports of the Black Sea region serve not only </w:t>
      </w:r>
      <w:r>
        <w:rPr>
          <w:sz w:val="22"/>
          <w:szCs w:val="22"/>
          <w:lang w:val="en-GB"/>
        </w:rPr>
        <w:t>as</w:t>
      </w:r>
      <w:r w:rsidRPr="004B58D3">
        <w:rPr>
          <w:sz w:val="22"/>
          <w:szCs w:val="22"/>
          <w:lang w:val="en-GB"/>
        </w:rPr>
        <w:t xml:space="preserve"> transport gate</w:t>
      </w:r>
      <w:r>
        <w:rPr>
          <w:sz w:val="22"/>
          <w:szCs w:val="22"/>
          <w:lang w:val="en-GB"/>
        </w:rPr>
        <w:t>way</w:t>
      </w:r>
      <w:r w:rsidRPr="004B58D3">
        <w:rPr>
          <w:sz w:val="22"/>
          <w:szCs w:val="22"/>
          <w:lang w:val="en-GB"/>
        </w:rPr>
        <w:t xml:space="preserve">s for the routes connecting the countries of the region but </w:t>
      </w:r>
      <w:r>
        <w:rPr>
          <w:sz w:val="22"/>
          <w:szCs w:val="22"/>
          <w:lang w:val="en-GB"/>
        </w:rPr>
        <w:t xml:space="preserve">they </w:t>
      </w:r>
      <w:r w:rsidRPr="004B58D3">
        <w:rPr>
          <w:sz w:val="22"/>
          <w:szCs w:val="22"/>
          <w:lang w:val="en-GB"/>
        </w:rPr>
        <w:t xml:space="preserve">also </w:t>
      </w:r>
      <w:r>
        <w:rPr>
          <w:sz w:val="22"/>
          <w:szCs w:val="22"/>
          <w:lang w:val="en-GB"/>
        </w:rPr>
        <w:t>serve</w:t>
      </w:r>
      <w:r w:rsidRPr="004B58D3">
        <w:rPr>
          <w:sz w:val="22"/>
          <w:szCs w:val="22"/>
          <w:lang w:val="en-GB"/>
        </w:rPr>
        <w:t xml:space="preserve"> commodity turnover between the Asian-Pacific region and Europe. Even for Black Sea Basin land-locked countries, maritime transport provides access to the Mediterranean Sea and to ocean transport shipping routes i.e. for intercontinental trade links. The Danube river also plays a strategic role in the Black Sea region connecting the region with the North Sea and the rest of Europe and serving as a central artery for Bulgaria, Moldova, Romania, and Ukraine. </w:t>
      </w:r>
    </w:p>
    <w:p w:rsidR="00D16147" w:rsidRDefault="00D16147" w:rsidP="00D16147">
      <w:pPr>
        <w:spacing w:before="120" w:after="0" w:line="252" w:lineRule="auto"/>
        <w:jc w:val="both"/>
        <w:rPr>
          <w:sz w:val="22"/>
          <w:szCs w:val="22"/>
          <w:lang w:val="en-GB"/>
        </w:rPr>
      </w:pPr>
      <w:r w:rsidRPr="006A6BDF">
        <w:rPr>
          <w:sz w:val="22"/>
          <w:szCs w:val="22"/>
          <w:lang w:val="en-GB"/>
        </w:rPr>
        <w:t>Motorways of the Sea (MoS) have been identified for transnational multimodal axis including the Black Sea region, as an extension of the Trans-European Transport Networks (TEN-T) to EU Neigh</w:t>
      </w:r>
      <w:r w:rsidR="009166BE">
        <w:rPr>
          <w:sz w:val="22"/>
          <w:szCs w:val="22"/>
          <w:lang w:val="en-GB"/>
        </w:rPr>
        <w:t>bouring countries (see figure 30</w:t>
      </w:r>
      <w:r w:rsidRPr="006A6BDF">
        <w:rPr>
          <w:sz w:val="22"/>
          <w:szCs w:val="22"/>
          <w:lang w:val="en-GB"/>
        </w:rPr>
        <w:t xml:space="preserve"> below). The aim is to improve transport connections between the EU and its Eastern neighbours, as well as to improve intermodal freight operations, through the integration of short sea shipping into transport logistics, therefore improving port operations and making hinterland connections more efficient. The reference transport networks include different corridors in the Black Sea and Caspian Sea region, with EU countries being part of the EU TENs connecting with the Black Sea and the Transport Corridor Europe-Caucasus-Asia (TRACECA) linking Black Sea and Caspian Sea countries. Motorways of the Sea (MoS) imply a traffic concentration on sea-based routes and improving existing maritime links or establishing new viable, regular and frequent maritime links (see figures 32-33). Motorways of the Sea (MoS) may be operated by all types of regular shipping services including roll-on/roll off ships, roll-on/roll-off passenger ferries, rail ferries, container vessels and sea river ships. A list of MoS potential pilot projects for the Black Sea was identified in July 2010</w:t>
      </w:r>
      <w:r w:rsidRPr="006A6BDF">
        <w:rPr>
          <w:rStyle w:val="FootnoteReference"/>
          <w:sz w:val="22"/>
          <w:szCs w:val="22"/>
          <w:lang w:val="en-GB"/>
        </w:rPr>
        <w:footnoteReference w:id="51"/>
      </w:r>
      <w:r w:rsidRPr="006A6BDF">
        <w:rPr>
          <w:sz w:val="22"/>
          <w:szCs w:val="22"/>
          <w:lang w:val="en-GB"/>
        </w:rPr>
        <w:t xml:space="preserve"> and five were selected for further EU support.</w:t>
      </w:r>
      <w:r>
        <w:rPr>
          <w:sz w:val="22"/>
          <w:szCs w:val="22"/>
          <w:lang w:val="en-GB"/>
        </w:rPr>
        <w:t xml:space="preserve"> </w:t>
      </w:r>
    </w:p>
    <w:p w:rsidR="00D16147" w:rsidRDefault="00D16147" w:rsidP="00D16147">
      <w:pPr>
        <w:spacing w:before="120" w:after="0" w:line="252" w:lineRule="auto"/>
        <w:jc w:val="both"/>
        <w:rPr>
          <w:sz w:val="22"/>
          <w:szCs w:val="22"/>
          <w:lang w:val="en-GB"/>
        </w:rPr>
      </w:pPr>
    </w:p>
    <w:p w:rsidR="00D16147" w:rsidRDefault="006102F6" w:rsidP="00D16147">
      <w:pPr>
        <w:spacing w:before="120" w:after="0" w:line="252" w:lineRule="auto"/>
        <w:jc w:val="both"/>
        <w:rPr>
          <w:sz w:val="22"/>
          <w:szCs w:val="22"/>
          <w:lang w:val="en-GB"/>
        </w:rPr>
      </w:pPr>
      <w:r>
        <w:rPr>
          <w:noProof/>
          <w:lang w:val="ro-RO" w:eastAsia="ro-RO"/>
        </w:rPr>
        <w:drawing>
          <wp:inline distT="0" distB="0" distL="0" distR="0">
            <wp:extent cx="6505575" cy="4114800"/>
            <wp:effectExtent l="19050" t="0" r="9525" b="0"/>
            <wp:docPr id="3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4"/>
                    <a:srcRect/>
                    <a:stretch>
                      <a:fillRect/>
                    </a:stretch>
                  </pic:blipFill>
                  <pic:spPr bwMode="auto">
                    <a:xfrm>
                      <a:off x="0" y="0"/>
                      <a:ext cx="6505575" cy="4114800"/>
                    </a:xfrm>
                    <a:prstGeom prst="rect">
                      <a:avLst/>
                    </a:prstGeom>
                    <a:noFill/>
                    <a:ln w="9525">
                      <a:noFill/>
                      <a:miter lim="800000"/>
                      <a:headEnd/>
                      <a:tailEnd/>
                    </a:ln>
                  </pic:spPr>
                </pic:pic>
              </a:graphicData>
            </a:graphic>
          </wp:inline>
        </w:drawing>
      </w:r>
    </w:p>
    <w:p w:rsidR="00D16147" w:rsidRPr="006A6BDF" w:rsidRDefault="00957F9B" w:rsidP="00D16147">
      <w:pPr>
        <w:pStyle w:val="Caption"/>
        <w:spacing w:before="120" w:after="0" w:line="252" w:lineRule="auto"/>
        <w:jc w:val="left"/>
        <w:rPr>
          <w:sz w:val="22"/>
          <w:szCs w:val="22"/>
          <w:lang w:val="en-GB"/>
        </w:rPr>
      </w:pPr>
      <w:r>
        <w:rPr>
          <w:sz w:val="22"/>
          <w:szCs w:val="22"/>
          <w:lang w:val="en-GB"/>
        </w:rPr>
        <w:t>Figure 30</w:t>
      </w:r>
      <w:r w:rsidR="00D16147" w:rsidRPr="006A6BDF">
        <w:rPr>
          <w:sz w:val="22"/>
          <w:szCs w:val="22"/>
          <w:lang w:val="en-GB"/>
        </w:rPr>
        <w:t>. Multimodal axis within the Black Sea Basin and beyond, Ten-T network and priority axes, 2005</w:t>
      </w:r>
      <w:r w:rsidR="00D16147" w:rsidRPr="006A6BDF">
        <w:rPr>
          <w:rStyle w:val="EndnoteReference"/>
          <w:sz w:val="22"/>
          <w:szCs w:val="22"/>
          <w:lang w:val="en-GB"/>
        </w:rPr>
        <w:endnoteReference w:id="105"/>
      </w:r>
    </w:p>
    <w:p w:rsidR="00D16147" w:rsidRDefault="006102F6" w:rsidP="00D16147">
      <w:pPr>
        <w:spacing w:before="120" w:after="0" w:line="252" w:lineRule="auto"/>
        <w:jc w:val="both"/>
        <w:rPr>
          <w:sz w:val="22"/>
          <w:szCs w:val="22"/>
          <w:lang w:val="en-GB"/>
        </w:rPr>
      </w:pPr>
      <w:r>
        <w:rPr>
          <w:noProof/>
          <w:lang w:val="ro-RO" w:eastAsia="ro-RO"/>
        </w:rPr>
        <w:drawing>
          <wp:inline distT="0" distB="0" distL="0" distR="0">
            <wp:extent cx="5029200" cy="3486150"/>
            <wp:effectExtent l="19050" t="0" r="0" b="0"/>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5"/>
                    <a:srcRect/>
                    <a:stretch>
                      <a:fillRect/>
                    </a:stretch>
                  </pic:blipFill>
                  <pic:spPr bwMode="auto">
                    <a:xfrm>
                      <a:off x="0" y="0"/>
                      <a:ext cx="5029200" cy="3486150"/>
                    </a:xfrm>
                    <a:prstGeom prst="rect">
                      <a:avLst/>
                    </a:prstGeom>
                    <a:noFill/>
                    <a:ln w="9525">
                      <a:noFill/>
                      <a:miter lim="800000"/>
                      <a:headEnd/>
                      <a:tailEnd/>
                    </a:ln>
                  </pic:spPr>
                </pic:pic>
              </a:graphicData>
            </a:graphic>
          </wp:inline>
        </w:drawing>
      </w:r>
    </w:p>
    <w:p w:rsidR="00D16147" w:rsidRPr="00F41AD2" w:rsidRDefault="00957F9B" w:rsidP="00D16147">
      <w:pPr>
        <w:pStyle w:val="Caption"/>
        <w:spacing w:before="120" w:after="0" w:line="252" w:lineRule="auto"/>
        <w:jc w:val="left"/>
        <w:rPr>
          <w:sz w:val="22"/>
          <w:szCs w:val="22"/>
          <w:lang w:val="en-GB"/>
        </w:rPr>
      </w:pPr>
      <w:r>
        <w:rPr>
          <w:sz w:val="22"/>
          <w:szCs w:val="22"/>
          <w:lang w:val="en-GB"/>
        </w:rPr>
        <w:t>Figure 31</w:t>
      </w:r>
      <w:r w:rsidR="00D16147" w:rsidRPr="00F41AD2">
        <w:rPr>
          <w:sz w:val="22"/>
          <w:szCs w:val="22"/>
          <w:lang w:val="en-GB"/>
        </w:rPr>
        <w:t>. Main maritime routes in the Black Sea, 2010</w:t>
      </w:r>
      <w:r w:rsidR="00D16147" w:rsidRPr="00F41AD2">
        <w:rPr>
          <w:rStyle w:val="EndnoteReference"/>
          <w:sz w:val="22"/>
          <w:szCs w:val="22"/>
          <w:lang w:val="en-GB"/>
        </w:rPr>
        <w:endnoteReference w:id="106"/>
      </w:r>
      <w:r w:rsidR="00D16147" w:rsidRPr="00F41AD2">
        <w:rPr>
          <w:sz w:val="22"/>
          <w:szCs w:val="22"/>
          <w:lang w:val="en-GB"/>
        </w:rPr>
        <w:t>. Lo/Lo (lift-on/lift-off) vessels use a crane to load/unload cargo; Ro/Ro (roll-on/roll-off) vessels carry wheeled cargo (automobile, trucks, etc.) driven on and off the ship on their own wheels.</w:t>
      </w:r>
    </w:p>
    <w:p w:rsidR="00D16147" w:rsidRPr="004B58D3" w:rsidRDefault="00D16147" w:rsidP="00B839A0">
      <w:pPr>
        <w:spacing w:before="240" w:after="0" w:line="252" w:lineRule="auto"/>
        <w:jc w:val="both"/>
        <w:rPr>
          <w:sz w:val="22"/>
          <w:szCs w:val="22"/>
          <w:lang w:val="en-GB"/>
        </w:rPr>
      </w:pPr>
      <w:r>
        <w:rPr>
          <w:sz w:val="22"/>
          <w:szCs w:val="22"/>
          <w:lang w:val="en-GB"/>
        </w:rPr>
        <w:t>C</w:t>
      </w:r>
      <w:r w:rsidRPr="004B58D3">
        <w:rPr>
          <w:sz w:val="22"/>
          <w:szCs w:val="22"/>
          <w:lang w:val="en-GB"/>
        </w:rPr>
        <w:t xml:space="preserve">argoes movement and delivery against a background of increasing volumes of trade flows </w:t>
      </w:r>
      <w:r>
        <w:rPr>
          <w:sz w:val="22"/>
          <w:szCs w:val="22"/>
          <w:lang w:val="en-GB"/>
        </w:rPr>
        <w:t>has become</w:t>
      </w:r>
      <w:r w:rsidRPr="004B58D3">
        <w:rPr>
          <w:sz w:val="22"/>
          <w:szCs w:val="22"/>
          <w:lang w:val="en-GB"/>
        </w:rPr>
        <w:t xml:space="preserve"> a priority for all countries of the region. However a complex of issues and requirements concerning maritime infrastructure, fleet renewal, quality of the services in the seaport, market access to the port services, adjustment to the international environmental standards and improvement of regulations and legislation related to the sea ports remain challenging</w:t>
      </w:r>
      <w:r w:rsidRPr="004320D6">
        <w:rPr>
          <w:rStyle w:val="EndnoteReference"/>
          <w:sz w:val="22"/>
          <w:szCs w:val="22"/>
        </w:rPr>
        <w:endnoteReference w:id="107"/>
      </w:r>
      <w:r w:rsidRPr="004B58D3">
        <w:rPr>
          <w:sz w:val="22"/>
          <w:szCs w:val="22"/>
          <w:lang w:val="en-GB"/>
        </w:rPr>
        <w:t>.</w:t>
      </w:r>
    </w:p>
    <w:p w:rsidR="00D16147" w:rsidRDefault="00D16147" w:rsidP="00D16147">
      <w:pPr>
        <w:spacing w:before="120" w:after="0" w:line="252" w:lineRule="auto"/>
        <w:jc w:val="both"/>
        <w:rPr>
          <w:sz w:val="22"/>
          <w:szCs w:val="22"/>
          <w:lang w:val="en-GB"/>
        </w:rPr>
      </w:pPr>
      <w:r w:rsidRPr="004B58D3">
        <w:rPr>
          <w:sz w:val="22"/>
          <w:szCs w:val="22"/>
          <w:lang w:val="en-GB"/>
        </w:rPr>
        <w:t>Ferry lines cross the Black Sea in both north-south and east-west routes. Other routes also run parallel with the coast. The promotion of passenger, cruise and high speed ferry links coul</w:t>
      </w:r>
      <w:r>
        <w:rPr>
          <w:sz w:val="22"/>
          <w:szCs w:val="22"/>
          <w:lang w:val="en-GB"/>
        </w:rPr>
        <w:t>d play a</w:t>
      </w:r>
      <w:r w:rsidRPr="004B58D3">
        <w:rPr>
          <w:sz w:val="22"/>
          <w:szCs w:val="22"/>
          <w:lang w:val="en-GB"/>
        </w:rPr>
        <w:t>n important role in the development of domestic and international tourism in the Black Sea region</w:t>
      </w:r>
      <w:r w:rsidRPr="004320D6">
        <w:rPr>
          <w:rStyle w:val="EndnoteReference"/>
          <w:sz w:val="22"/>
          <w:szCs w:val="22"/>
        </w:rPr>
        <w:endnoteReference w:id="108"/>
      </w:r>
      <w:r w:rsidRPr="004B58D3">
        <w:rPr>
          <w:sz w:val="22"/>
          <w:szCs w:val="22"/>
          <w:lang w:val="en-GB"/>
        </w:rPr>
        <w:t xml:space="preserve">. </w:t>
      </w:r>
    </w:p>
    <w:p w:rsidR="00D16147" w:rsidRPr="004B58D3" w:rsidRDefault="00D16147" w:rsidP="00D16147">
      <w:pPr>
        <w:spacing w:before="120" w:after="0" w:line="252" w:lineRule="auto"/>
        <w:jc w:val="both"/>
        <w:rPr>
          <w:sz w:val="22"/>
          <w:szCs w:val="22"/>
          <w:lang w:val="en-GB"/>
        </w:rPr>
      </w:pPr>
      <w:r w:rsidRPr="004B58D3">
        <w:rPr>
          <w:sz w:val="22"/>
          <w:szCs w:val="22"/>
          <w:lang w:val="en-GB"/>
        </w:rPr>
        <w:t>An overview of the Black Sea rail, road and and maritime transport framework</w:t>
      </w:r>
      <w:r>
        <w:rPr>
          <w:sz w:val="22"/>
          <w:szCs w:val="22"/>
          <w:lang w:val="en-GB"/>
        </w:rPr>
        <w:t xml:space="preserve">, </w:t>
      </w:r>
      <w:r w:rsidRPr="00E57B62">
        <w:rPr>
          <w:sz w:val="22"/>
          <w:szCs w:val="22"/>
          <w:lang w:val="en-GB"/>
        </w:rPr>
        <w:t>as well as planned TRACECA</w:t>
      </w:r>
      <w:r w:rsidRPr="004B3B4C">
        <w:rPr>
          <w:sz w:val="22"/>
          <w:szCs w:val="22"/>
          <w:highlight w:val="yellow"/>
          <w:lang w:val="en-GB"/>
        </w:rPr>
        <w:t xml:space="preserve"> </w:t>
      </w:r>
      <w:r w:rsidRPr="00F41AD2">
        <w:rPr>
          <w:sz w:val="22"/>
          <w:szCs w:val="22"/>
          <w:lang w:val="en-GB"/>
        </w:rPr>
        <w:t>routes, is provided in the map below.</w:t>
      </w:r>
      <w:r w:rsidRPr="004B58D3">
        <w:rPr>
          <w:sz w:val="22"/>
          <w:szCs w:val="22"/>
          <w:lang w:val="en-GB"/>
        </w:rPr>
        <w:t xml:space="preserve">  </w:t>
      </w:r>
    </w:p>
    <w:tbl>
      <w:tblPr>
        <w:tblW w:w="0" w:type="auto"/>
        <w:tblLook w:val="04A0"/>
      </w:tblPr>
      <w:tblGrid>
        <w:gridCol w:w="11095"/>
      </w:tblGrid>
      <w:tr w:rsidR="00D16147" w:rsidRPr="001368E0" w:rsidTr="001368E0">
        <w:tc>
          <w:tcPr>
            <w:tcW w:w="9936" w:type="dxa"/>
            <w:shd w:val="clear" w:color="auto" w:fill="auto"/>
          </w:tcPr>
          <w:p w:rsidR="00D16147" w:rsidRPr="001368E0" w:rsidRDefault="006102F6" w:rsidP="001368E0">
            <w:pPr>
              <w:keepNext/>
              <w:spacing w:before="120" w:after="0" w:line="252" w:lineRule="auto"/>
              <w:jc w:val="both"/>
            </w:pPr>
            <w:r>
              <w:rPr>
                <w:noProof/>
                <w:lang w:val="ro-RO" w:eastAsia="ro-RO"/>
              </w:rPr>
              <w:drawing>
                <wp:inline distT="0" distB="0" distL="0" distR="0">
                  <wp:extent cx="7029450" cy="2933700"/>
                  <wp:effectExtent l="19050" t="0" r="0" b="0"/>
                  <wp:docPr id="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6"/>
                          <a:srcRect/>
                          <a:stretch>
                            <a:fillRect/>
                          </a:stretch>
                        </pic:blipFill>
                        <pic:spPr bwMode="auto">
                          <a:xfrm>
                            <a:off x="0" y="0"/>
                            <a:ext cx="7029450" cy="2933700"/>
                          </a:xfrm>
                          <a:prstGeom prst="rect">
                            <a:avLst/>
                          </a:prstGeom>
                          <a:noFill/>
                          <a:ln w="9525">
                            <a:noFill/>
                            <a:miter lim="800000"/>
                            <a:headEnd/>
                            <a:tailEnd/>
                          </a:ln>
                        </pic:spPr>
                      </pic:pic>
                    </a:graphicData>
                  </a:graphic>
                </wp:inline>
              </w:drawing>
            </w:r>
          </w:p>
          <w:p w:rsidR="00D16147" w:rsidRPr="001368E0" w:rsidRDefault="006102F6" w:rsidP="001368E0">
            <w:pPr>
              <w:pStyle w:val="Caption"/>
              <w:spacing w:before="120" w:after="0" w:line="252" w:lineRule="auto"/>
              <w:jc w:val="both"/>
              <w:rPr>
                <w:sz w:val="22"/>
                <w:szCs w:val="22"/>
                <w:lang w:val="en-GB"/>
              </w:rPr>
            </w:pPr>
            <w:r>
              <w:rPr>
                <w:noProof/>
                <w:lang w:val="ro-RO" w:eastAsia="ro-RO"/>
              </w:rPr>
              <w:drawing>
                <wp:anchor distT="0" distB="0" distL="114300" distR="114300" simplePos="0" relativeHeight="251652608" behindDoc="0" locked="0" layoutInCell="1" allowOverlap="1">
                  <wp:simplePos x="0" y="0"/>
                  <wp:positionH relativeFrom="margin">
                    <wp:posOffset>5943600</wp:posOffset>
                  </wp:positionH>
                  <wp:positionV relativeFrom="margin">
                    <wp:posOffset>36195</wp:posOffset>
                  </wp:positionV>
                  <wp:extent cx="1028700" cy="1295400"/>
                  <wp:effectExtent l="19050" t="0" r="0" b="0"/>
                  <wp:wrapSquare wrapText="bothSides"/>
                  <wp:docPr id="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7"/>
                          <a:srcRect l="4446" t="8376" r="5502" b="13950"/>
                          <a:stretch>
                            <a:fillRect/>
                          </a:stretch>
                        </pic:blipFill>
                        <pic:spPr bwMode="auto">
                          <a:xfrm>
                            <a:off x="0" y="0"/>
                            <a:ext cx="1028700" cy="1295400"/>
                          </a:xfrm>
                          <a:prstGeom prst="rect">
                            <a:avLst/>
                          </a:prstGeom>
                          <a:noFill/>
                          <a:ln w="9525">
                            <a:noFill/>
                            <a:miter lim="800000"/>
                            <a:headEnd/>
                            <a:tailEnd/>
                          </a:ln>
                        </pic:spPr>
                      </pic:pic>
                    </a:graphicData>
                  </a:graphic>
                </wp:anchor>
              </w:drawing>
            </w:r>
            <w:r w:rsidR="00D16147" w:rsidRPr="001368E0">
              <w:rPr>
                <w:sz w:val="22"/>
                <w:szCs w:val="22"/>
                <w:lang w:val="en-GB"/>
              </w:rPr>
              <w:t xml:space="preserve">Figure </w:t>
            </w:r>
            <w:r w:rsidR="00957F9B" w:rsidRPr="001368E0">
              <w:rPr>
                <w:sz w:val="22"/>
                <w:szCs w:val="22"/>
                <w:lang w:val="en-GB"/>
              </w:rPr>
              <w:t>32</w:t>
            </w:r>
            <w:r w:rsidR="00D16147" w:rsidRPr="001368E0">
              <w:rPr>
                <w:sz w:val="22"/>
                <w:szCs w:val="22"/>
                <w:lang w:val="en-GB"/>
              </w:rPr>
              <w:t>. Overview of Black Sea Basin transport network (existing and planned), including main railways and roads</w:t>
            </w:r>
            <w:r w:rsidR="00D16147" w:rsidRPr="001368E0">
              <w:rPr>
                <w:rStyle w:val="EndnoteReference"/>
                <w:sz w:val="22"/>
                <w:szCs w:val="22"/>
                <w:lang w:val="en-GB"/>
              </w:rPr>
              <w:endnoteReference w:id="109"/>
            </w:r>
            <w:r w:rsidR="00D16147" w:rsidRPr="001368E0">
              <w:rPr>
                <w:sz w:val="22"/>
                <w:szCs w:val="22"/>
                <w:lang w:val="en-GB"/>
              </w:rPr>
              <w:t xml:space="preserve"> </w:t>
            </w:r>
          </w:p>
        </w:tc>
      </w:tr>
    </w:tbl>
    <w:p w:rsidR="00D16147" w:rsidRPr="006E3288" w:rsidRDefault="00D16147" w:rsidP="00B839A0">
      <w:pPr>
        <w:spacing w:before="480" w:after="120"/>
        <w:rPr>
          <w:b/>
          <w:lang w:val="en-GB"/>
        </w:rPr>
      </w:pPr>
      <w:bookmarkStart w:id="51" w:name="_Toc246127442"/>
      <w:r w:rsidRPr="006E3288">
        <w:rPr>
          <w:b/>
          <w:lang w:val="en-GB"/>
        </w:rPr>
        <w:t>Telecommunications, Information and Communication Technologies (ICT)</w:t>
      </w:r>
      <w:bookmarkEnd w:id="51"/>
    </w:p>
    <w:p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Both mobile and internet access have increased by more than 200% since 2005 in all countries of the Black Sea region. Over the last few years, the number of internet users have also multiplied e.g. by more than </w:t>
      </w:r>
      <w:r>
        <w:rPr>
          <w:sz w:val="22"/>
          <w:szCs w:val="22"/>
          <w:lang w:val="en-GB"/>
        </w:rPr>
        <w:t>seven</w:t>
      </w:r>
      <w:r w:rsidRPr="004B58D3">
        <w:rPr>
          <w:sz w:val="22"/>
          <w:szCs w:val="22"/>
          <w:lang w:val="en-GB"/>
        </w:rPr>
        <w:t xml:space="preserve"> in Armenia and Ukraine over the last </w:t>
      </w:r>
      <w:r>
        <w:rPr>
          <w:sz w:val="22"/>
          <w:szCs w:val="22"/>
          <w:lang w:val="en-GB"/>
        </w:rPr>
        <w:t>six</w:t>
      </w:r>
      <w:r w:rsidRPr="004B58D3">
        <w:rPr>
          <w:sz w:val="22"/>
          <w:szCs w:val="22"/>
          <w:lang w:val="en-GB"/>
        </w:rPr>
        <w:t xml:space="preserve"> years, becoming a widespread tool. Thus the digital gap that existed among Black Sea Basin countries has considerably narrowed (see figure</w:t>
      </w:r>
      <w:r w:rsidR="00B839A0">
        <w:rPr>
          <w:sz w:val="22"/>
          <w:szCs w:val="22"/>
          <w:lang w:val="en-GB"/>
        </w:rPr>
        <w:t xml:space="preserve"> 33</w:t>
      </w:r>
      <w:r w:rsidRPr="004B58D3">
        <w:rPr>
          <w:sz w:val="22"/>
          <w:szCs w:val="22"/>
          <w:lang w:val="en-GB"/>
        </w:rPr>
        <w:t xml:space="preserve"> below) though</w:t>
      </w:r>
      <w:r>
        <w:rPr>
          <w:sz w:val="22"/>
          <w:szCs w:val="22"/>
          <w:lang w:val="en-GB"/>
        </w:rPr>
        <w:t>,</w:t>
      </w:r>
      <w:r w:rsidRPr="004B58D3">
        <w:rPr>
          <w:sz w:val="22"/>
          <w:szCs w:val="22"/>
          <w:lang w:val="en-GB"/>
        </w:rPr>
        <w:t xml:space="preserve"> overall</w:t>
      </w:r>
      <w:r>
        <w:rPr>
          <w:sz w:val="22"/>
          <w:szCs w:val="22"/>
          <w:lang w:val="en-GB"/>
        </w:rPr>
        <w:t>,</w:t>
      </w:r>
      <w:r w:rsidRPr="004B58D3">
        <w:rPr>
          <w:sz w:val="22"/>
          <w:szCs w:val="22"/>
          <w:lang w:val="en-GB"/>
        </w:rPr>
        <w:t xml:space="preserve"> still lagging behind the EU average of 75 users per 100 people in 2012</w:t>
      </w:r>
      <w:r w:rsidRPr="004320D6">
        <w:rPr>
          <w:rStyle w:val="EndnoteReference"/>
          <w:sz w:val="22"/>
          <w:szCs w:val="22"/>
        </w:rPr>
        <w:endnoteReference w:id="110"/>
      </w:r>
      <w:r w:rsidRPr="004B58D3">
        <w:rPr>
          <w:sz w:val="22"/>
          <w:szCs w:val="22"/>
          <w:lang w:val="en-GB"/>
        </w:rPr>
        <w:t xml:space="preserve">. </w:t>
      </w:r>
    </w:p>
    <w:p w:rsidR="00D16147" w:rsidRDefault="006102F6" w:rsidP="00D16147">
      <w:pPr>
        <w:keepNext/>
        <w:spacing w:before="120" w:after="0" w:line="252" w:lineRule="auto"/>
      </w:pPr>
      <w:r>
        <w:rPr>
          <w:noProof/>
          <w:lang w:val="ro-RO" w:eastAsia="ro-RO"/>
        </w:rPr>
        <w:drawing>
          <wp:inline distT="0" distB="0" distL="0" distR="0">
            <wp:extent cx="7077075" cy="2400300"/>
            <wp:effectExtent l="19050" t="0" r="9525" b="0"/>
            <wp:docPr id="3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48"/>
                    <a:srcRect/>
                    <a:stretch>
                      <a:fillRect/>
                    </a:stretch>
                  </pic:blipFill>
                  <pic:spPr bwMode="auto">
                    <a:xfrm>
                      <a:off x="0" y="0"/>
                      <a:ext cx="7077075" cy="2400300"/>
                    </a:xfrm>
                    <a:prstGeom prst="rect">
                      <a:avLst/>
                    </a:prstGeom>
                    <a:noFill/>
                    <a:ln w="9525">
                      <a:noFill/>
                      <a:miter lim="800000"/>
                      <a:headEnd/>
                      <a:tailEnd/>
                    </a:ln>
                  </pic:spPr>
                </pic:pic>
              </a:graphicData>
            </a:graphic>
          </wp:inline>
        </w:drawing>
      </w:r>
    </w:p>
    <w:p w:rsidR="00D16147"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957F9B">
        <w:rPr>
          <w:sz w:val="22"/>
          <w:szCs w:val="22"/>
          <w:lang w:val="en-GB"/>
        </w:rPr>
        <w:t>33</w:t>
      </w:r>
      <w:r w:rsidRPr="004B58D3">
        <w:rPr>
          <w:sz w:val="22"/>
          <w:szCs w:val="22"/>
          <w:lang w:val="en-GB"/>
        </w:rPr>
        <w:t>. Internet and mobile phone use, 2012</w:t>
      </w:r>
      <w:r>
        <w:rPr>
          <w:rStyle w:val="EndnoteReference"/>
          <w:sz w:val="22"/>
          <w:szCs w:val="22"/>
        </w:rPr>
        <w:endnoteReference w:id="111"/>
      </w:r>
    </w:p>
    <w:p w:rsidR="00A34868" w:rsidRDefault="00A34868">
      <w:pPr>
        <w:rPr>
          <w:lang w:val="en-GB"/>
        </w:rPr>
      </w:pPr>
      <w:r>
        <w:rPr>
          <w:lang w:val="en-GB"/>
        </w:rPr>
        <w:br w:type="page"/>
      </w:r>
    </w:p>
    <w:tbl>
      <w:tblPr>
        <w:tblW w:w="0" w:type="auto"/>
        <w:tblBorders>
          <w:top w:val="single" w:sz="18" w:space="0" w:color="983620"/>
          <w:left w:val="single" w:sz="18" w:space="0" w:color="983620"/>
          <w:bottom w:val="single" w:sz="18" w:space="0" w:color="983620"/>
          <w:right w:val="single" w:sz="18" w:space="0" w:color="983620"/>
        </w:tblBorders>
        <w:tblLayout w:type="fixed"/>
        <w:tblLook w:val="04A0"/>
      </w:tblPr>
      <w:tblGrid>
        <w:gridCol w:w="5495"/>
        <w:gridCol w:w="5528"/>
      </w:tblGrid>
      <w:tr w:rsidR="00D220D9" w:rsidRPr="001368E0" w:rsidTr="001368E0">
        <w:trPr>
          <w:trHeight w:val="280"/>
        </w:trPr>
        <w:tc>
          <w:tcPr>
            <w:tcW w:w="11023" w:type="dxa"/>
            <w:gridSpan w:val="2"/>
            <w:tcBorders>
              <w:bottom w:val="single" w:sz="12" w:space="0" w:color="FFFFFF"/>
            </w:tcBorders>
            <w:shd w:val="clear" w:color="auto" w:fill="792A19"/>
            <w:noWrap/>
            <w:hideMark/>
          </w:tcPr>
          <w:p w:rsidR="00D220D9" w:rsidRPr="001368E0" w:rsidRDefault="00D220D9" w:rsidP="001368E0">
            <w:pPr>
              <w:spacing w:after="0" w:line="240" w:lineRule="auto"/>
              <w:jc w:val="center"/>
              <w:rPr>
                <w:b/>
                <w:bCs/>
                <w:color w:val="FFFFFF"/>
              </w:rPr>
            </w:pPr>
            <w:r w:rsidRPr="001368E0">
              <w:rPr>
                <w:b/>
                <w:bCs/>
                <w:color w:val="FFFFFF"/>
              </w:rPr>
              <w:t>SWOT – TRANSPORT AND ICT</w:t>
            </w:r>
          </w:p>
        </w:tc>
      </w:tr>
      <w:tr w:rsidR="00D220D9" w:rsidRPr="001368E0" w:rsidTr="001368E0">
        <w:trPr>
          <w:trHeight w:val="280"/>
        </w:trPr>
        <w:tc>
          <w:tcPr>
            <w:tcW w:w="5495" w:type="dxa"/>
            <w:tcBorders>
              <w:right w:val="single" w:sz="4" w:space="0" w:color="983620"/>
            </w:tcBorders>
            <w:shd w:val="clear" w:color="auto" w:fill="A6A6A6"/>
            <w:noWrap/>
            <w:hideMark/>
          </w:tcPr>
          <w:p w:rsidR="00D220D9" w:rsidRPr="001368E0" w:rsidRDefault="00D220D9" w:rsidP="001368E0">
            <w:pPr>
              <w:spacing w:after="0" w:line="240" w:lineRule="auto"/>
              <w:jc w:val="center"/>
              <w:rPr>
                <w:b/>
                <w:bCs/>
                <w:color w:val="000000"/>
                <w:sz w:val="22"/>
                <w:szCs w:val="22"/>
              </w:rPr>
            </w:pPr>
            <w:r w:rsidRPr="001368E0">
              <w:rPr>
                <w:b/>
                <w:bCs/>
                <w:color w:val="000000"/>
                <w:sz w:val="22"/>
                <w:szCs w:val="22"/>
              </w:rPr>
              <w:t>STRENGTHS</w:t>
            </w:r>
          </w:p>
        </w:tc>
        <w:tc>
          <w:tcPr>
            <w:tcW w:w="5528" w:type="dxa"/>
            <w:tcBorders>
              <w:left w:val="single" w:sz="4" w:space="0" w:color="983620"/>
              <w:right w:val="single" w:sz="18" w:space="0" w:color="983620"/>
            </w:tcBorders>
            <w:shd w:val="clear" w:color="auto" w:fill="A6A6A6"/>
            <w:hideMark/>
          </w:tcPr>
          <w:p w:rsidR="00D220D9" w:rsidRPr="001368E0" w:rsidRDefault="00D220D9" w:rsidP="001368E0">
            <w:pPr>
              <w:spacing w:after="0" w:line="240" w:lineRule="auto"/>
              <w:jc w:val="center"/>
              <w:rPr>
                <w:b/>
                <w:color w:val="000000"/>
                <w:sz w:val="22"/>
                <w:szCs w:val="22"/>
              </w:rPr>
            </w:pPr>
            <w:r w:rsidRPr="001368E0">
              <w:rPr>
                <w:b/>
                <w:color w:val="000000"/>
                <w:sz w:val="22"/>
                <w:szCs w:val="22"/>
              </w:rPr>
              <w:t>WEAKNESSES</w:t>
            </w:r>
          </w:p>
        </w:tc>
      </w:tr>
      <w:tr w:rsidR="00D220D9" w:rsidRPr="001368E0" w:rsidTr="001368E0">
        <w:trPr>
          <w:trHeight w:val="3614"/>
        </w:trPr>
        <w:tc>
          <w:tcPr>
            <w:tcW w:w="5495" w:type="dxa"/>
            <w:tcBorders>
              <w:right w:val="single" w:sz="4" w:space="0" w:color="983620"/>
            </w:tcBorders>
            <w:shd w:val="clear" w:color="auto" w:fill="E6E6E6"/>
            <w:hideMark/>
          </w:tcPr>
          <w:tbl>
            <w:tblPr>
              <w:tblW w:w="5387" w:type="dxa"/>
              <w:tblLayout w:type="fixed"/>
              <w:tblCellMar>
                <w:left w:w="70" w:type="dxa"/>
                <w:right w:w="70" w:type="dxa"/>
              </w:tblCellMar>
              <w:tblLook w:val="04A0"/>
            </w:tblPr>
            <w:tblGrid>
              <w:gridCol w:w="5387"/>
            </w:tblGrid>
            <w:tr w:rsidR="00D220D9" w:rsidRPr="001368E0" w:rsidTr="00DA5484">
              <w:trPr>
                <w:trHeight w:val="3640"/>
              </w:trPr>
              <w:tc>
                <w:tcPr>
                  <w:tcW w:w="5387" w:type="dxa"/>
                  <w:tcBorders>
                    <w:top w:val="nil"/>
                    <w:left w:val="nil"/>
                  </w:tcBorders>
                  <w:shd w:val="clear" w:color="auto" w:fill="auto"/>
                  <w:vAlign w:val="center"/>
                  <w:hideMark/>
                </w:tcPr>
                <w:tbl>
                  <w:tblPr>
                    <w:tblW w:w="5317" w:type="dxa"/>
                    <w:tblLayout w:type="fixed"/>
                    <w:tblCellMar>
                      <w:left w:w="70" w:type="dxa"/>
                      <w:right w:w="70" w:type="dxa"/>
                    </w:tblCellMar>
                    <w:tblLook w:val="04A0"/>
                  </w:tblPr>
                  <w:tblGrid>
                    <w:gridCol w:w="5317"/>
                  </w:tblGrid>
                  <w:tr w:rsidR="00D220D9" w:rsidRPr="001368E0" w:rsidTr="00DA5484">
                    <w:trPr>
                      <w:trHeight w:val="3614"/>
                    </w:trPr>
                    <w:tc>
                      <w:tcPr>
                        <w:tcW w:w="5317" w:type="dxa"/>
                        <w:tcBorders>
                          <w:top w:val="nil"/>
                          <w:left w:val="nil"/>
                          <w:right w:val="nil"/>
                        </w:tcBorders>
                        <w:shd w:val="clear" w:color="auto" w:fill="auto"/>
                        <w:vAlign w:val="center"/>
                        <w:hideMark/>
                      </w:tcPr>
                      <w:p w:rsidR="00D220D9" w:rsidRPr="001368E0" w:rsidRDefault="00D220D9" w:rsidP="0028075A">
                        <w:pPr>
                          <w:pStyle w:val="ListParagraph"/>
                          <w:numPr>
                            <w:ilvl w:val="0"/>
                            <w:numId w:val="39"/>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The transport of oil and gas across the Black Sea is a major activity</w:t>
                        </w:r>
                      </w:p>
                      <w:p w:rsidR="00D220D9" w:rsidRPr="001368E0" w:rsidRDefault="00D220D9" w:rsidP="0028075A">
                        <w:pPr>
                          <w:pStyle w:val="ListParagraph"/>
                          <w:numPr>
                            <w:ilvl w:val="0"/>
                            <w:numId w:val="39"/>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Total cargo turnover for the ports of Bulgaria, Georgia, Russia, Romania and Ukraine between 2000 and 2007 increased more than twice</w:t>
                        </w:r>
                      </w:p>
                      <w:p w:rsidR="00D220D9" w:rsidRPr="001368E0" w:rsidRDefault="00D220D9" w:rsidP="0028075A">
                        <w:pPr>
                          <w:pStyle w:val="ListParagraph"/>
                          <w:numPr>
                            <w:ilvl w:val="0"/>
                            <w:numId w:val="39"/>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Overall quality of ports infrastructure around the Black Sea is good in Greece, Turkey and Georgia</w:t>
                        </w:r>
                      </w:p>
                      <w:p w:rsidR="00D220D9" w:rsidRPr="001368E0" w:rsidRDefault="00D220D9" w:rsidP="0028075A">
                        <w:pPr>
                          <w:pStyle w:val="ListParagraph"/>
                          <w:numPr>
                            <w:ilvl w:val="0"/>
                            <w:numId w:val="39"/>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Both mobile and internet access have increased by more than 200% since 2005 in all countries of the Black Sea region</w:t>
                        </w:r>
                      </w:p>
                      <w:p w:rsidR="00D220D9" w:rsidRPr="001368E0" w:rsidRDefault="00D220D9" w:rsidP="0028075A">
                        <w:pPr>
                          <w:pStyle w:val="ListParagraph"/>
                          <w:numPr>
                            <w:ilvl w:val="0"/>
                            <w:numId w:val="39"/>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 xml:space="preserve">The digital gap that existed among Black Sea Basin countries has considerably narrowed </w:t>
                        </w:r>
                      </w:p>
                    </w:tc>
                  </w:tr>
                </w:tbl>
                <w:p w:rsidR="00D220D9" w:rsidRPr="001368E0" w:rsidRDefault="00D220D9" w:rsidP="00DA5484">
                  <w:pPr>
                    <w:pStyle w:val="ListParagraph"/>
                    <w:spacing w:after="120" w:line="240" w:lineRule="auto"/>
                    <w:ind w:left="714"/>
                    <w:rPr>
                      <w:rFonts w:eastAsia="Times New Roman"/>
                      <w:color w:val="000000"/>
                      <w:sz w:val="22"/>
                      <w:szCs w:val="22"/>
                      <w:lang w:val="en-GB"/>
                    </w:rPr>
                  </w:pPr>
                </w:p>
              </w:tc>
            </w:tr>
          </w:tbl>
          <w:p w:rsidR="00D220D9" w:rsidRPr="001368E0" w:rsidRDefault="00D220D9" w:rsidP="001368E0">
            <w:pPr>
              <w:pStyle w:val="ListParagraph"/>
              <w:spacing w:after="0" w:line="240" w:lineRule="auto"/>
              <w:rPr>
                <w:bCs/>
                <w:color w:val="000000"/>
                <w:sz w:val="22"/>
                <w:szCs w:val="22"/>
                <w:lang w:val="en-GB"/>
              </w:rPr>
            </w:pPr>
          </w:p>
        </w:tc>
        <w:tc>
          <w:tcPr>
            <w:tcW w:w="5528" w:type="dxa"/>
            <w:tcBorders>
              <w:left w:val="single" w:sz="4" w:space="0" w:color="983620"/>
            </w:tcBorders>
            <w:shd w:val="clear" w:color="auto" w:fill="E6E6E6"/>
            <w:hideMark/>
          </w:tcPr>
          <w:tbl>
            <w:tblPr>
              <w:tblW w:w="5420" w:type="dxa"/>
              <w:tblLayout w:type="fixed"/>
              <w:tblCellMar>
                <w:left w:w="70" w:type="dxa"/>
                <w:right w:w="70" w:type="dxa"/>
              </w:tblCellMar>
              <w:tblLook w:val="04A0"/>
            </w:tblPr>
            <w:tblGrid>
              <w:gridCol w:w="5420"/>
            </w:tblGrid>
            <w:tr w:rsidR="00D220D9" w:rsidRPr="001368E0" w:rsidTr="00DA5484">
              <w:trPr>
                <w:trHeight w:val="3472"/>
              </w:trPr>
              <w:tc>
                <w:tcPr>
                  <w:tcW w:w="5420" w:type="dxa"/>
                  <w:tcBorders>
                    <w:top w:val="nil"/>
                    <w:left w:val="nil"/>
                    <w:right w:val="nil"/>
                  </w:tcBorders>
                  <w:shd w:val="clear" w:color="auto" w:fill="auto"/>
                  <w:vAlign w:val="center"/>
                  <w:hideMark/>
                </w:tcPr>
                <w:p w:rsidR="00D220D9" w:rsidRPr="001368E0" w:rsidRDefault="00D220D9" w:rsidP="0028075A">
                  <w:pPr>
                    <w:pStyle w:val="ListParagraph"/>
                    <w:numPr>
                      <w:ilvl w:val="0"/>
                      <w:numId w:val="39"/>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Quality of ports infrastructure around the Black Sea is still assessed as rather poor overall in Moldova and Romania. On the western shore, the EU has only one major port, Constanta</w:t>
                  </w:r>
                </w:p>
                <w:p w:rsidR="00D220D9" w:rsidRPr="001368E0" w:rsidRDefault="00D220D9" w:rsidP="0028075A">
                  <w:pPr>
                    <w:pStyle w:val="ListParagraph"/>
                    <w:numPr>
                      <w:ilvl w:val="0"/>
                      <w:numId w:val="39"/>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A complex of issues and requirements concerning maritime infrastructure, fleet renewal, quality of the services in the seaport, market access to the port services, adjustment to the international environmental standards and improvement of regulations and legislation related to the sea ports remain challenging</w:t>
                  </w:r>
                </w:p>
                <w:p w:rsidR="00D220D9" w:rsidRPr="001368E0" w:rsidRDefault="00D220D9" w:rsidP="0028075A">
                  <w:pPr>
                    <w:pStyle w:val="ListParagraph"/>
                    <w:numPr>
                      <w:ilvl w:val="0"/>
                      <w:numId w:val="39"/>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Internet use overall still lagging behind the EU average</w:t>
                  </w:r>
                </w:p>
              </w:tc>
            </w:tr>
          </w:tbl>
          <w:p w:rsidR="00D220D9" w:rsidRPr="001368E0" w:rsidRDefault="00D220D9" w:rsidP="001368E0">
            <w:pPr>
              <w:pStyle w:val="ListParagraph"/>
              <w:spacing w:after="0" w:line="240" w:lineRule="auto"/>
              <w:rPr>
                <w:color w:val="000000"/>
                <w:sz w:val="22"/>
                <w:szCs w:val="22"/>
                <w:lang w:val="en-GB"/>
              </w:rPr>
            </w:pPr>
          </w:p>
        </w:tc>
      </w:tr>
      <w:tr w:rsidR="00D220D9" w:rsidRPr="001368E0" w:rsidTr="001368E0">
        <w:trPr>
          <w:trHeight w:val="280"/>
        </w:trPr>
        <w:tc>
          <w:tcPr>
            <w:tcW w:w="5495" w:type="dxa"/>
            <w:tcBorders>
              <w:right w:val="single" w:sz="4" w:space="0" w:color="983620"/>
            </w:tcBorders>
            <w:shd w:val="clear" w:color="auto" w:fill="A6A6A6"/>
            <w:noWrap/>
            <w:hideMark/>
          </w:tcPr>
          <w:p w:rsidR="00D220D9" w:rsidRPr="001368E0" w:rsidRDefault="00D220D9" w:rsidP="001368E0">
            <w:pPr>
              <w:spacing w:after="0" w:line="240" w:lineRule="auto"/>
              <w:jc w:val="center"/>
              <w:rPr>
                <w:b/>
                <w:bCs/>
                <w:color w:val="000000"/>
                <w:sz w:val="22"/>
                <w:szCs w:val="22"/>
              </w:rPr>
            </w:pPr>
            <w:r w:rsidRPr="001368E0">
              <w:rPr>
                <w:b/>
                <w:bCs/>
                <w:color w:val="000000"/>
                <w:sz w:val="22"/>
                <w:szCs w:val="22"/>
              </w:rPr>
              <w:t>OPPORTUNITIES</w:t>
            </w:r>
          </w:p>
        </w:tc>
        <w:tc>
          <w:tcPr>
            <w:tcW w:w="5528" w:type="dxa"/>
            <w:tcBorders>
              <w:left w:val="single" w:sz="4" w:space="0" w:color="983620"/>
              <w:right w:val="single" w:sz="18" w:space="0" w:color="983620"/>
            </w:tcBorders>
            <w:shd w:val="clear" w:color="auto" w:fill="A6A6A6"/>
            <w:hideMark/>
          </w:tcPr>
          <w:p w:rsidR="00D220D9" w:rsidRPr="001368E0" w:rsidRDefault="00D220D9" w:rsidP="001368E0">
            <w:pPr>
              <w:spacing w:after="0" w:line="240" w:lineRule="auto"/>
              <w:jc w:val="center"/>
              <w:rPr>
                <w:b/>
                <w:color w:val="000000"/>
                <w:sz w:val="22"/>
                <w:szCs w:val="22"/>
              </w:rPr>
            </w:pPr>
            <w:r w:rsidRPr="001368E0">
              <w:rPr>
                <w:b/>
                <w:color w:val="000000"/>
                <w:sz w:val="22"/>
                <w:szCs w:val="22"/>
              </w:rPr>
              <w:t>THREATS</w:t>
            </w:r>
          </w:p>
        </w:tc>
      </w:tr>
      <w:tr w:rsidR="00D220D9" w:rsidRPr="001368E0" w:rsidTr="001368E0">
        <w:trPr>
          <w:trHeight w:val="1076"/>
        </w:trPr>
        <w:tc>
          <w:tcPr>
            <w:tcW w:w="5495" w:type="dxa"/>
            <w:tcBorders>
              <w:right w:val="single" w:sz="4" w:space="0" w:color="983620"/>
            </w:tcBorders>
            <w:shd w:val="clear" w:color="auto" w:fill="E6E6E6"/>
            <w:hideMark/>
          </w:tcPr>
          <w:tbl>
            <w:tblPr>
              <w:tblW w:w="5387" w:type="dxa"/>
              <w:tblLayout w:type="fixed"/>
              <w:tblCellMar>
                <w:left w:w="70" w:type="dxa"/>
                <w:right w:w="70" w:type="dxa"/>
              </w:tblCellMar>
              <w:tblLook w:val="04A0"/>
            </w:tblPr>
            <w:tblGrid>
              <w:gridCol w:w="5387"/>
            </w:tblGrid>
            <w:tr w:rsidR="00D220D9" w:rsidRPr="001368E0" w:rsidTr="00DA5484">
              <w:trPr>
                <w:trHeight w:val="2239"/>
              </w:trPr>
              <w:tc>
                <w:tcPr>
                  <w:tcW w:w="5387" w:type="dxa"/>
                  <w:tcBorders>
                    <w:top w:val="nil"/>
                    <w:left w:val="nil"/>
                  </w:tcBorders>
                  <w:shd w:val="clear" w:color="auto" w:fill="auto"/>
                  <w:vAlign w:val="center"/>
                  <w:hideMark/>
                </w:tcPr>
                <w:p w:rsidR="00D220D9" w:rsidRPr="001368E0" w:rsidRDefault="00D220D9" w:rsidP="0028075A">
                  <w:pPr>
                    <w:pStyle w:val="ListParagraph"/>
                    <w:numPr>
                      <w:ilvl w:val="0"/>
                      <w:numId w:val="40"/>
                    </w:numPr>
                    <w:spacing w:after="0" w:line="240" w:lineRule="auto"/>
                    <w:rPr>
                      <w:rFonts w:eastAsia="Times New Roman"/>
                      <w:color w:val="000000"/>
                      <w:sz w:val="22"/>
                      <w:szCs w:val="22"/>
                      <w:lang w:val="en-GB"/>
                    </w:rPr>
                  </w:pPr>
                  <w:r w:rsidRPr="001368E0">
                    <w:rPr>
                      <w:rFonts w:eastAsia="Times New Roman"/>
                      <w:color w:val="000000"/>
                      <w:sz w:val="22"/>
                      <w:szCs w:val="22"/>
                      <w:lang w:val="en-GB"/>
                    </w:rPr>
                    <w:t>The ports of the Black Sea region serve commodity turnover between the Asian-Pacific region and Europe</w:t>
                  </w:r>
                </w:p>
                <w:p w:rsidR="00D220D9" w:rsidRPr="001368E0" w:rsidRDefault="00D220D9" w:rsidP="0028075A">
                  <w:pPr>
                    <w:pStyle w:val="ListParagraph"/>
                    <w:numPr>
                      <w:ilvl w:val="0"/>
                      <w:numId w:val="40"/>
                    </w:numPr>
                    <w:spacing w:after="0" w:line="240" w:lineRule="auto"/>
                    <w:rPr>
                      <w:rFonts w:eastAsia="Times New Roman"/>
                      <w:color w:val="000000"/>
                      <w:sz w:val="22"/>
                      <w:szCs w:val="22"/>
                      <w:lang w:val="en-GB"/>
                    </w:rPr>
                  </w:pPr>
                  <w:r w:rsidRPr="001368E0">
                    <w:rPr>
                      <w:rFonts w:eastAsia="Times New Roman"/>
                      <w:color w:val="000000"/>
                      <w:sz w:val="22"/>
                      <w:szCs w:val="22"/>
                      <w:lang w:val="en-GB"/>
                    </w:rPr>
                    <w:t>Motorways of the Sea (MoS) have been identified for transnational multimodal axis including the BSB region, as an extension of the Trans-European Transport Networks (TEN-T) to EU Neighbouring countries</w:t>
                  </w:r>
                </w:p>
              </w:tc>
            </w:tr>
          </w:tbl>
          <w:p w:rsidR="00D220D9" w:rsidRPr="001368E0" w:rsidRDefault="00D220D9" w:rsidP="001368E0">
            <w:pPr>
              <w:pStyle w:val="ListParagraph"/>
              <w:spacing w:after="120" w:line="240" w:lineRule="auto"/>
              <w:ind w:left="0"/>
              <w:rPr>
                <w:rFonts w:eastAsia="Times New Roman"/>
                <w:bCs/>
                <w:color w:val="000000"/>
                <w:sz w:val="22"/>
                <w:szCs w:val="22"/>
                <w:lang w:val="en-GB"/>
              </w:rPr>
            </w:pPr>
          </w:p>
        </w:tc>
        <w:tc>
          <w:tcPr>
            <w:tcW w:w="5528" w:type="dxa"/>
            <w:tcBorders>
              <w:left w:val="single" w:sz="4" w:space="0" w:color="983620"/>
            </w:tcBorders>
            <w:shd w:val="clear" w:color="auto" w:fill="E6E6E6"/>
            <w:hideMark/>
          </w:tcPr>
          <w:p w:rsidR="00D220D9" w:rsidRPr="001368E0" w:rsidRDefault="00D220D9" w:rsidP="001368E0">
            <w:pPr>
              <w:pStyle w:val="ListParagraph"/>
              <w:spacing w:after="120" w:line="240" w:lineRule="auto"/>
              <w:rPr>
                <w:color w:val="000000"/>
                <w:sz w:val="22"/>
                <w:szCs w:val="22"/>
                <w:lang w:val="en-GB"/>
              </w:rPr>
            </w:pPr>
          </w:p>
        </w:tc>
      </w:tr>
    </w:tbl>
    <w:p w:rsidR="00D12800" w:rsidRPr="00682784" w:rsidRDefault="00D12800" w:rsidP="00D12800">
      <w:pPr>
        <w:rPr>
          <w:lang w:val="en-GB"/>
        </w:rPr>
      </w:pPr>
    </w:p>
    <w:p w:rsidR="00D16147" w:rsidRPr="0000667E" w:rsidRDefault="00D16147" w:rsidP="0000667E">
      <w:pPr>
        <w:pStyle w:val="Heading3"/>
        <w:rPr>
          <w:b/>
          <w:sz w:val="28"/>
          <w:szCs w:val="28"/>
          <w:lang w:val="en-GB"/>
        </w:rPr>
      </w:pPr>
      <w:bookmarkStart w:id="52" w:name="_Toc246127443"/>
      <w:bookmarkStart w:id="53" w:name="_Toc288133439"/>
      <w:r w:rsidRPr="0000667E">
        <w:rPr>
          <w:b/>
          <w:sz w:val="28"/>
          <w:szCs w:val="28"/>
          <w:lang w:val="en-GB"/>
        </w:rPr>
        <w:t>Culture, civil society and self-government</w:t>
      </w:r>
      <w:bookmarkEnd w:id="52"/>
      <w:bookmarkEnd w:id="53"/>
    </w:p>
    <w:p w:rsidR="00D16147" w:rsidRPr="008242B5" w:rsidRDefault="00D16147" w:rsidP="000D36B6">
      <w:pPr>
        <w:spacing w:before="240" w:after="120"/>
        <w:rPr>
          <w:b/>
          <w:lang w:val="en-GB"/>
        </w:rPr>
      </w:pPr>
      <w:bookmarkStart w:id="54" w:name="_Toc246127444"/>
      <w:r w:rsidRPr="008242B5">
        <w:rPr>
          <w:b/>
          <w:lang w:val="en-GB"/>
        </w:rPr>
        <w:t>Culture</w:t>
      </w:r>
      <w:bookmarkEnd w:id="54"/>
    </w:p>
    <w:p w:rsidR="00D16147" w:rsidRPr="004B58D3" w:rsidRDefault="00D16147" w:rsidP="00D16147">
      <w:pPr>
        <w:spacing w:line="252" w:lineRule="auto"/>
        <w:jc w:val="both"/>
        <w:rPr>
          <w:sz w:val="22"/>
          <w:szCs w:val="22"/>
          <w:lang w:val="en-GB"/>
        </w:rPr>
      </w:pPr>
      <w:r w:rsidRPr="00F41AD2">
        <w:rPr>
          <w:sz w:val="22"/>
          <w:szCs w:val="22"/>
          <w:lang w:val="en-GB"/>
        </w:rPr>
        <w:t>Crossroad of civilisations, the Black Sea Basin has a rich and diverse cultural heritage that needs to be preserved and</w:t>
      </w:r>
      <w:r w:rsidRPr="004B58D3">
        <w:rPr>
          <w:sz w:val="22"/>
          <w:szCs w:val="22"/>
          <w:lang w:val="en-GB"/>
        </w:rPr>
        <w:t xml:space="preserve"> </w:t>
      </w:r>
      <w:r>
        <w:rPr>
          <w:sz w:val="22"/>
          <w:szCs w:val="22"/>
          <w:lang w:val="en-GB"/>
        </w:rPr>
        <w:t xml:space="preserve">it </w:t>
      </w:r>
      <w:r w:rsidRPr="004B58D3">
        <w:rPr>
          <w:sz w:val="22"/>
          <w:szCs w:val="22"/>
          <w:lang w:val="en-GB"/>
        </w:rPr>
        <w:t>retains strong cultural assets in architecture, archeology, arts, music, literature, theatre, and cinematography</w:t>
      </w:r>
      <w:r w:rsidRPr="004320D6">
        <w:rPr>
          <w:rStyle w:val="EndnoteReference"/>
          <w:sz w:val="22"/>
          <w:szCs w:val="22"/>
        </w:rPr>
        <w:endnoteReference w:id="112"/>
      </w:r>
      <w:r w:rsidRPr="004B58D3">
        <w:rPr>
          <w:sz w:val="22"/>
          <w:szCs w:val="22"/>
          <w:lang w:val="en-GB"/>
        </w:rPr>
        <w:t xml:space="preserve">. Outstanding universal value has been recognised by UNESCO </w:t>
      </w:r>
      <w:r>
        <w:rPr>
          <w:sz w:val="22"/>
          <w:szCs w:val="22"/>
          <w:lang w:val="en-GB"/>
        </w:rPr>
        <w:t>for</w:t>
      </w:r>
      <w:r w:rsidRPr="004B58D3">
        <w:rPr>
          <w:sz w:val="22"/>
          <w:szCs w:val="22"/>
          <w:lang w:val="en-GB"/>
        </w:rPr>
        <w:t xml:space="preserve"> 18 cultural places in the Black Sea Basin area including historical cities, religious architecture and archeological sites</w:t>
      </w:r>
      <w:r w:rsidRPr="004320D6">
        <w:rPr>
          <w:rStyle w:val="EndnoteReference"/>
          <w:sz w:val="22"/>
          <w:szCs w:val="22"/>
        </w:rPr>
        <w:endnoteReference w:id="113"/>
      </w:r>
      <w:r w:rsidRPr="004B58D3">
        <w:rPr>
          <w:sz w:val="22"/>
          <w:szCs w:val="22"/>
          <w:lang w:val="en-GB"/>
        </w:rPr>
        <w:t xml:space="preserve">. Several regional intangible cultural assets have additionally been listed as </w:t>
      </w:r>
      <w:r>
        <w:rPr>
          <w:sz w:val="22"/>
          <w:szCs w:val="22"/>
          <w:lang w:val="en-GB"/>
        </w:rPr>
        <w:t xml:space="preserve">the </w:t>
      </w:r>
      <w:r w:rsidRPr="004B58D3">
        <w:rPr>
          <w:sz w:val="22"/>
          <w:szCs w:val="22"/>
          <w:lang w:val="en-GB"/>
        </w:rPr>
        <w:t>heritage of humanity such as polyphonic songs (Georgia), musical instruments (Armenia, Azerbaijan), poems and storytellers (Armenia, Romania, Turkey), craftsmanship and arts (Armenia, Azerbaijan), traditional ceremonies and festivities (Azerbaijan, Bulgaria, Turkey) and diet (Greece). This wealth of cultural variety offers considerable opportunities for cooperation.</w:t>
      </w:r>
    </w:p>
    <w:p w:rsidR="00D16147" w:rsidRPr="008242B5" w:rsidRDefault="00D16147" w:rsidP="000D36B6">
      <w:pPr>
        <w:spacing w:before="240" w:after="120"/>
        <w:rPr>
          <w:b/>
          <w:lang w:val="en-GB"/>
        </w:rPr>
      </w:pPr>
      <w:bookmarkStart w:id="55" w:name="_Toc246127445"/>
      <w:r w:rsidRPr="008242B5">
        <w:rPr>
          <w:b/>
          <w:lang w:val="en-GB"/>
        </w:rPr>
        <w:t>Civil society and local self-government</w:t>
      </w:r>
      <w:bookmarkEnd w:id="55"/>
    </w:p>
    <w:p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In the last decade, civil society and civic movements, mostly informal, have been particularly active in the Black Sea region, notably in Georgia, Ukraine and Moldova. The number of NGOs increased throughout the </w:t>
      </w:r>
      <w:r w:rsidR="00EF1770" w:rsidRPr="004B58D3">
        <w:rPr>
          <w:sz w:val="22"/>
          <w:szCs w:val="22"/>
          <w:lang w:val="en-GB"/>
        </w:rPr>
        <w:t>region;</w:t>
      </w:r>
      <w:r w:rsidRPr="004B58D3">
        <w:rPr>
          <w:sz w:val="22"/>
          <w:szCs w:val="22"/>
          <w:lang w:val="en-GB"/>
        </w:rPr>
        <w:t xml:space="preserve"> nonetheless they often remain poorly anchored in society, with low membership and volunteering levels and even lower levels of individual donations, relying mostly on foreign or public funds (e.g. individual donations to NGOs in Moldova is ten times lower than to Churches)</w:t>
      </w:r>
      <w:r w:rsidRPr="004320D6">
        <w:rPr>
          <w:sz w:val="22"/>
          <w:szCs w:val="22"/>
          <w:vertAlign w:val="superscript"/>
        </w:rPr>
        <w:endnoteReference w:id="114"/>
      </w:r>
      <w:r w:rsidRPr="004B58D3">
        <w:rPr>
          <w:sz w:val="22"/>
          <w:szCs w:val="22"/>
          <w:lang w:val="en-GB"/>
        </w:rPr>
        <w:t xml:space="preserve">. With strong competition for funding, local NGOs often remain organization-centered rather than joining forces in coalitions and networks around issues. However, there are also positive initiatives of collective action, e.g. recently in Ukraine where an anti-tobacco coalition (gathering notably 40 NGOs) united so the Parliament passed a law banning smoking in public places. Even so, fostering a collaborative spirit among NGOs and connecting them to the wider society remains a challenge in large parts of the Black Sea Basin area. </w:t>
      </w:r>
    </w:p>
    <w:p w:rsidR="00D16147" w:rsidRPr="004B58D3" w:rsidRDefault="00D16147" w:rsidP="00D16147">
      <w:pPr>
        <w:spacing w:before="120" w:after="0" w:line="252" w:lineRule="auto"/>
        <w:jc w:val="both"/>
        <w:rPr>
          <w:sz w:val="22"/>
          <w:szCs w:val="22"/>
          <w:lang w:val="en-GB"/>
        </w:rPr>
      </w:pPr>
      <w:r w:rsidRPr="004B58D3">
        <w:rPr>
          <w:sz w:val="22"/>
          <w:szCs w:val="22"/>
          <w:lang w:val="en-GB"/>
        </w:rPr>
        <w:t>At the level of the Black Sea Basin, NGO cooperation has developped within the Black Sea NGO Forum, which met regularly since its launch in Bucharest in 2008. The Eastern Partnership Civil Society Forum also provides a medium for cooperation among NGOs, from both sides of the EU external borders, on reforms in Black Sea Partner Countries</w:t>
      </w:r>
      <w:r w:rsidRPr="004320D6">
        <w:rPr>
          <w:rStyle w:val="FootnoteReference"/>
          <w:sz w:val="22"/>
          <w:szCs w:val="22"/>
        </w:rPr>
        <w:footnoteReference w:id="52"/>
      </w:r>
      <w:r w:rsidRPr="004B58D3">
        <w:rPr>
          <w:sz w:val="22"/>
          <w:szCs w:val="22"/>
          <w:lang w:val="en-GB"/>
        </w:rPr>
        <w:t>.</w:t>
      </w:r>
    </w:p>
    <w:p w:rsidR="00D16147" w:rsidRPr="004B58D3" w:rsidRDefault="00D16147" w:rsidP="00D16147">
      <w:pPr>
        <w:spacing w:before="120" w:after="0" w:line="252" w:lineRule="auto"/>
        <w:jc w:val="both"/>
        <w:rPr>
          <w:sz w:val="22"/>
          <w:szCs w:val="22"/>
          <w:lang w:val="en-GB"/>
        </w:rPr>
      </w:pPr>
      <w:r w:rsidRPr="004B58D3">
        <w:rPr>
          <w:sz w:val="22"/>
          <w:szCs w:val="22"/>
          <w:lang w:val="en-GB"/>
        </w:rPr>
        <w:t>All the countries in the Black Sea Basin region are members of the Council of Europe and signatories of the European Charter on local self-government, which was supplemented in 2009 by an additional protocol on citizen participation. They all take part in the Council of Europe Congress of the Local and Regional Authorities that promotes the principles of local democracy</w:t>
      </w:r>
      <w:r w:rsidRPr="004320D6">
        <w:rPr>
          <w:sz w:val="22"/>
          <w:szCs w:val="22"/>
          <w:vertAlign w:val="superscript"/>
        </w:rPr>
        <w:endnoteReference w:id="115"/>
      </w:r>
      <w:r w:rsidRPr="004B58D3">
        <w:rPr>
          <w:sz w:val="22"/>
          <w:szCs w:val="22"/>
          <w:lang w:val="en-GB"/>
        </w:rPr>
        <w:t xml:space="preserve">. </w:t>
      </w:r>
    </w:p>
    <w:p w:rsidR="00D16147" w:rsidRPr="004B58D3" w:rsidRDefault="00D16147" w:rsidP="00D16147">
      <w:pPr>
        <w:spacing w:before="120" w:after="0" w:line="252" w:lineRule="auto"/>
        <w:jc w:val="both"/>
        <w:rPr>
          <w:sz w:val="22"/>
          <w:szCs w:val="22"/>
          <w:lang w:val="en-GB"/>
        </w:rPr>
      </w:pPr>
      <w:r w:rsidRPr="004B58D3">
        <w:rPr>
          <w:sz w:val="22"/>
          <w:szCs w:val="22"/>
          <w:lang w:val="en-GB"/>
        </w:rPr>
        <w:t>The Assembly of European Regions (AER) provides also an active forum for interregional cooperation at a wider Europe level, and membership at regional level from all the Black Sea Basin countries is widespread</w:t>
      </w:r>
      <w:r w:rsidRPr="004320D6">
        <w:rPr>
          <w:sz w:val="22"/>
          <w:szCs w:val="22"/>
          <w:vertAlign w:val="superscript"/>
        </w:rPr>
        <w:endnoteReference w:id="116"/>
      </w:r>
      <w:r w:rsidRPr="004B58D3">
        <w:rPr>
          <w:sz w:val="22"/>
          <w:szCs w:val="22"/>
          <w:lang w:val="en-GB"/>
        </w:rPr>
        <w:t xml:space="preserve">. In 2011, the EU Committee of the Regions established a Conference of the Regional and Local Authorities for the Eastern Partnership (CORLEAP) that provides a platform for dialogue between local and regional authorities from the EU and the Partner Countries. At Black Sea Basin level, cooperation between local and regional authorities was promoted through the creation in 2008 of the Black Sea Euroregion, though it still </w:t>
      </w:r>
      <w:r>
        <w:rPr>
          <w:sz w:val="22"/>
          <w:szCs w:val="22"/>
          <w:lang w:val="en-GB"/>
        </w:rPr>
        <w:t>has a</w:t>
      </w:r>
      <w:r w:rsidRPr="004B58D3">
        <w:rPr>
          <w:sz w:val="22"/>
          <w:szCs w:val="22"/>
          <w:lang w:val="en-GB"/>
        </w:rPr>
        <w:t xml:space="preserve"> limited membership. </w:t>
      </w:r>
    </w:p>
    <w:p w:rsidR="00133D4D" w:rsidRDefault="00D16147" w:rsidP="00133D4D">
      <w:pPr>
        <w:spacing w:before="120" w:after="0" w:line="252" w:lineRule="auto"/>
        <w:jc w:val="both"/>
        <w:rPr>
          <w:sz w:val="22"/>
          <w:szCs w:val="22"/>
          <w:lang w:val="en-GB"/>
        </w:rPr>
      </w:pPr>
      <w:r w:rsidRPr="004B58D3">
        <w:rPr>
          <w:sz w:val="22"/>
          <w:szCs w:val="22"/>
          <w:lang w:val="en-GB"/>
        </w:rPr>
        <w:t>The Black Sea Forum for Dialogue and Partnership, created in 2006 and designed as a regional platform for</w:t>
      </w:r>
      <w:r w:rsidR="005D47A4">
        <w:rPr>
          <w:sz w:val="22"/>
          <w:szCs w:val="22"/>
          <w:lang w:val="en-GB"/>
        </w:rPr>
        <w:t xml:space="preserve"> </w:t>
      </w:r>
      <w:r w:rsidR="005D47A4" w:rsidRPr="004B58D3">
        <w:rPr>
          <w:sz w:val="22"/>
          <w:szCs w:val="22"/>
          <w:lang w:val="en-GB"/>
        </w:rPr>
        <w:t>international and regional organisations as well as state structures, appears to be affected by regional tensions</w:t>
      </w:r>
      <w:r w:rsidR="005D47A4" w:rsidRPr="004320D6">
        <w:rPr>
          <w:sz w:val="22"/>
          <w:szCs w:val="22"/>
          <w:vertAlign w:val="superscript"/>
        </w:rPr>
        <w:endnoteReference w:id="117"/>
      </w:r>
      <w:r w:rsidR="005D47A4" w:rsidRPr="004B58D3">
        <w:rPr>
          <w:sz w:val="22"/>
          <w:szCs w:val="22"/>
          <w:lang w:val="en-GB"/>
        </w:rPr>
        <w:t>.</w:t>
      </w:r>
    </w:p>
    <w:p w:rsidR="00133D4D" w:rsidRPr="00133D4D" w:rsidRDefault="00133D4D" w:rsidP="00133D4D">
      <w:pPr>
        <w:spacing w:before="120" w:after="0" w:line="252" w:lineRule="auto"/>
        <w:jc w:val="both"/>
        <w:rPr>
          <w:sz w:val="22"/>
          <w:szCs w:val="22"/>
          <w:lang w:val="en-GB"/>
        </w:rPr>
      </w:pPr>
    </w:p>
    <w:tbl>
      <w:tblPr>
        <w:tblW w:w="0" w:type="auto"/>
        <w:tblBorders>
          <w:top w:val="single" w:sz="18" w:space="0" w:color="983620"/>
          <w:left w:val="single" w:sz="18" w:space="0" w:color="983620"/>
          <w:bottom w:val="single" w:sz="18" w:space="0" w:color="983620"/>
          <w:right w:val="single" w:sz="18" w:space="0" w:color="983620"/>
        </w:tblBorders>
        <w:tblLayout w:type="fixed"/>
        <w:tblLook w:val="04A0"/>
      </w:tblPr>
      <w:tblGrid>
        <w:gridCol w:w="6629"/>
        <w:gridCol w:w="4394"/>
      </w:tblGrid>
      <w:tr w:rsidR="00D220D9" w:rsidRPr="001368E0" w:rsidTr="001368E0">
        <w:trPr>
          <w:trHeight w:val="280"/>
        </w:trPr>
        <w:tc>
          <w:tcPr>
            <w:tcW w:w="11023" w:type="dxa"/>
            <w:gridSpan w:val="2"/>
            <w:tcBorders>
              <w:bottom w:val="single" w:sz="12" w:space="0" w:color="FFFFFF"/>
            </w:tcBorders>
            <w:shd w:val="clear" w:color="auto" w:fill="792A19"/>
            <w:noWrap/>
            <w:hideMark/>
          </w:tcPr>
          <w:p w:rsidR="00D220D9" w:rsidRPr="001368E0" w:rsidRDefault="00D220D9" w:rsidP="001368E0">
            <w:pPr>
              <w:spacing w:after="0" w:line="240" w:lineRule="auto"/>
              <w:jc w:val="center"/>
              <w:rPr>
                <w:b/>
                <w:bCs/>
                <w:color w:val="FFFFFF"/>
                <w:lang w:val="en-GB"/>
              </w:rPr>
            </w:pPr>
            <w:r w:rsidRPr="001368E0">
              <w:rPr>
                <w:b/>
                <w:bCs/>
                <w:color w:val="FFFFFF"/>
                <w:lang w:val="en-GB"/>
              </w:rPr>
              <w:t>SWOT – CULTURE AND CIVIL SOCIETY</w:t>
            </w:r>
          </w:p>
        </w:tc>
      </w:tr>
      <w:tr w:rsidR="00D220D9" w:rsidRPr="001368E0" w:rsidTr="001368E0">
        <w:trPr>
          <w:trHeight w:val="280"/>
        </w:trPr>
        <w:tc>
          <w:tcPr>
            <w:tcW w:w="6629" w:type="dxa"/>
            <w:tcBorders>
              <w:right w:val="single" w:sz="4" w:space="0" w:color="983620"/>
            </w:tcBorders>
            <w:shd w:val="clear" w:color="auto" w:fill="A6A6A6"/>
            <w:noWrap/>
            <w:hideMark/>
          </w:tcPr>
          <w:p w:rsidR="00D220D9" w:rsidRPr="001368E0" w:rsidRDefault="00D220D9" w:rsidP="001368E0">
            <w:pPr>
              <w:spacing w:after="0" w:line="240" w:lineRule="auto"/>
              <w:jc w:val="center"/>
              <w:rPr>
                <w:b/>
                <w:bCs/>
                <w:color w:val="000000"/>
                <w:sz w:val="22"/>
                <w:szCs w:val="22"/>
              </w:rPr>
            </w:pPr>
            <w:r w:rsidRPr="001368E0">
              <w:rPr>
                <w:b/>
                <w:bCs/>
                <w:color w:val="000000"/>
                <w:sz w:val="22"/>
                <w:szCs w:val="22"/>
              </w:rPr>
              <w:t>STRENGTHS</w:t>
            </w:r>
          </w:p>
        </w:tc>
        <w:tc>
          <w:tcPr>
            <w:tcW w:w="4394" w:type="dxa"/>
            <w:tcBorders>
              <w:left w:val="single" w:sz="4" w:space="0" w:color="983620"/>
              <w:right w:val="single" w:sz="18" w:space="0" w:color="983620"/>
            </w:tcBorders>
            <w:shd w:val="clear" w:color="auto" w:fill="A6A6A6"/>
            <w:hideMark/>
          </w:tcPr>
          <w:p w:rsidR="00D220D9" w:rsidRPr="001368E0" w:rsidRDefault="00D220D9" w:rsidP="001368E0">
            <w:pPr>
              <w:spacing w:after="0" w:line="240" w:lineRule="auto"/>
              <w:jc w:val="center"/>
              <w:rPr>
                <w:b/>
                <w:color w:val="000000"/>
                <w:sz w:val="22"/>
                <w:szCs w:val="22"/>
              </w:rPr>
            </w:pPr>
            <w:r w:rsidRPr="001368E0">
              <w:rPr>
                <w:b/>
                <w:color w:val="000000"/>
                <w:sz w:val="22"/>
                <w:szCs w:val="22"/>
              </w:rPr>
              <w:t>WEAKNESSES</w:t>
            </w:r>
          </w:p>
        </w:tc>
      </w:tr>
      <w:tr w:rsidR="00D220D9" w:rsidRPr="001368E0" w:rsidTr="001368E0">
        <w:trPr>
          <w:trHeight w:val="3946"/>
        </w:trPr>
        <w:tc>
          <w:tcPr>
            <w:tcW w:w="6629" w:type="dxa"/>
            <w:tcBorders>
              <w:right w:val="single" w:sz="4" w:space="0" w:color="983620"/>
            </w:tcBorders>
            <w:shd w:val="clear" w:color="auto" w:fill="E6E6E6"/>
            <w:hideMark/>
          </w:tcPr>
          <w:tbl>
            <w:tblPr>
              <w:tblW w:w="6379" w:type="dxa"/>
              <w:tblLayout w:type="fixed"/>
              <w:tblCellMar>
                <w:left w:w="70" w:type="dxa"/>
                <w:right w:w="70" w:type="dxa"/>
              </w:tblCellMar>
              <w:tblLook w:val="04A0"/>
            </w:tblPr>
            <w:tblGrid>
              <w:gridCol w:w="6379"/>
            </w:tblGrid>
            <w:tr w:rsidR="00D220D9" w:rsidRPr="001368E0" w:rsidTr="008E282C">
              <w:trPr>
                <w:trHeight w:val="3640"/>
              </w:trPr>
              <w:tc>
                <w:tcPr>
                  <w:tcW w:w="6379" w:type="dxa"/>
                  <w:tcBorders>
                    <w:top w:val="nil"/>
                    <w:left w:val="nil"/>
                  </w:tcBorders>
                  <w:shd w:val="clear" w:color="auto" w:fill="auto"/>
                  <w:vAlign w:val="center"/>
                  <w:hideMark/>
                </w:tcPr>
                <w:tbl>
                  <w:tblPr>
                    <w:tblW w:w="6451" w:type="dxa"/>
                    <w:tblLayout w:type="fixed"/>
                    <w:tblCellMar>
                      <w:left w:w="70" w:type="dxa"/>
                      <w:right w:w="70" w:type="dxa"/>
                    </w:tblCellMar>
                    <w:tblLook w:val="04A0"/>
                  </w:tblPr>
                  <w:tblGrid>
                    <w:gridCol w:w="6451"/>
                  </w:tblGrid>
                  <w:tr w:rsidR="008E282C" w:rsidRPr="001368E0" w:rsidTr="008E282C">
                    <w:trPr>
                      <w:trHeight w:val="3614"/>
                    </w:trPr>
                    <w:tc>
                      <w:tcPr>
                        <w:tcW w:w="6451" w:type="dxa"/>
                        <w:tcBorders>
                          <w:top w:val="nil"/>
                          <w:left w:val="nil"/>
                          <w:right w:val="nil"/>
                        </w:tcBorders>
                        <w:shd w:val="clear" w:color="auto" w:fill="auto"/>
                        <w:vAlign w:val="center"/>
                        <w:hideMark/>
                      </w:tcPr>
                      <w:tbl>
                        <w:tblPr>
                          <w:tblW w:w="6534" w:type="dxa"/>
                          <w:tblLayout w:type="fixed"/>
                          <w:tblCellMar>
                            <w:left w:w="70" w:type="dxa"/>
                            <w:right w:w="70" w:type="dxa"/>
                          </w:tblCellMar>
                          <w:tblLook w:val="04A0"/>
                        </w:tblPr>
                        <w:tblGrid>
                          <w:gridCol w:w="6534"/>
                        </w:tblGrid>
                        <w:tr w:rsidR="008E282C" w:rsidRPr="001368E0" w:rsidTr="008E282C">
                          <w:trPr>
                            <w:trHeight w:val="3844"/>
                          </w:trPr>
                          <w:tc>
                            <w:tcPr>
                              <w:tcW w:w="6534" w:type="dxa"/>
                              <w:tcBorders>
                                <w:top w:val="nil"/>
                                <w:left w:val="nil"/>
                                <w:right w:val="nil"/>
                              </w:tcBorders>
                              <w:shd w:val="clear" w:color="auto" w:fill="auto"/>
                              <w:vAlign w:val="center"/>
                              <w:hideMark/>
                            </w:tcPr>
                            <w:p w:rsidR="008E282C" w:rsidRPr="001368E0" w:rsidRDefault="008E282C" w:rsidP="0028075A">
                              <w:pPr>
                                <w:pStyle w:val="ListParagraph"/>
                                <w:numPr>
                                  <w:ilvl w:val="0"/>
                                  <w:numId w:val="41"/>
                                </w:numPr>
                                <w:spacing w:after="120" w:line="240" w:lineRule="auto"/>
                                <w:ind w:right="213" w:hanging="223"/>
                                <w:rPr>
                                  <w:rFonts w:eastAsia="Times New Roman"/>
                                  <w:color w:val="000000"/>
                                  <w:sz w:val="22"/>
                                  <w:szCs w:val="22"/>
                                  <w:lang w:val="en-GB"/>
                                </w:rPr>
                              </w:pPr>
                              <w:r w:rsidRPr="001368E0">
                                <w:rPr>
                                  <w:rFonts w:eastAsia="Times New Roman"/>
                                  <w:color w:val="000000"/>
                                  <w:sz w:val="22"/>
                                  <w:szCs w:val="22"/>
                                  <w:lang w:val="en-GB"/>
                                </w:rPr>
                                <w:t>BSB rich cultural heritage and strong cultural assets in architecture, archeology, arts, music, literature, theatre and cinematography</w:t>
                              </w:r>
                            </w:p>
                            <w:p w:rsidR="008E282C" w:rsidRPr="001368E0" w:rsidRDefault="008E282C" w:rsidP="0028075A">
                              <w:pPr>
                                <w:pStyle w:val="ListParagraph"/>
                                <w:numPr>
                                  <w:ilvl w:val="0"/>
                                  <w:numId w:val="41"/>
                                </w:numPr>
                                <w:spacing w:after="120" w:line="240" w:lineRule="auto"/>
                                <w:ind w:right="213" w:hanging="223"/>
                                <w:rPr>
                                  <w:rFonts w:eastAsia="Times New Roman"/>
                                  <w:color w:val="000000"/>
                                  <w:sz w:val="22"/>
                                  <w:szCs w:val="22"/>
                                  <w:lang w:val="en-GB"/>
                                </w:rPr>
                              </w:pPr>
                              <w:r w:rsidRPr="001368E0">
                                <w:rPr>
                                  <w:rFonts w:eastAsia="Times New Roman"/>
                                  <w:color w:val="000000"/>
                                  <w:sz w:val="22"/>
                                  <w:szCs w:val="22"/>
                                  <w:lang w:val="en-GB"/>
                                </w:rPr>
                                <w:t>Outstanding universal value recognised by UNESCO for 18 cultural places in BSB area (historical cities, religious architecture and archeological sites)</w:t>
                              </w:r>
                            </w:p>
                            <w:p w:rsidR="008E282C" w:rsidRPr="001368E0" w:rsidRDefault="008E282C" w:rsidP="0028075A">
                              <w:pPr>
                                <w:pStyle w:val="ListParagraph"/>
                                <w:numPr>
                                  <w:ilvl w:val="0"/>
                                  <w:numId w:val="41"/>
                                </w:numPr>
                                <w:spacing w:after="120" w:line="240" w:lineRule="auto"/>
                                <w:ind w:right="213" w:hanging="223"/>
                                <w:rPr>
                                  <w:rFonts w:eastAsia="Times New Roman"/>
                                  <w:color w:val="000000"/>
                                  <w:sz w:val="22"/>
                                  <w:szCs w:val="22"/>
                                  <w:lang w:val="en-GB"/>
                                </w:rPr>
                              </w:pPr>
                              <w:r w:rsidRPr="001368E0">
                                <w:rPr>
                                  <w:rFonts w:eastAsia="Times New Roman"/>
                                  <w:color w:val="000000"/>
                                  <w:sz w:val="22"/>
                                  <w:szCs w:val="22"/>
                                  <w:lang w:val="en-GB"/>
                                </w:rPr>
                                <w:t>Wealth of cultural variety, with numerous traditional craftmanship and other intangible cultural assets listed as heritage of humanity</w:t>
                              </w:r>
                            </w:p>
                            <w:p w:rsidR="008E282C" w:rsidRPr="001368E0" w:rsidRDefault="008E282C" w:rsidP="0028075A">
                              <w:pPr>
                                <w:pStyle w:val="ListParagraph"/>
                                <w:numPr>
                                  <w:ilvl w:val="0"/>
                                  <w:numId w:val="41"/>
                                </w:numPr>
                                <w:spacing w:after="120" w:line="240" w:lineRule="auto"/>
                                <w:ind w:right="213" w:hanging="223"/>
                                <w:rPr>
                                  <w:rFonts w:eastAsia="Times New Roman"/>
                                  <w:color w:val="000000"/>
                                  <w:sz w:val="22"/>
                                  <w:szCs w:val="22"/>
                                  <w:lang w:val="en-GB"/>
                                </w:rPr>
                              </w:pPr>
                              <w:r w:rsidRPr="001368E0">
                                <w:rPr>
                                  <w:rFonts w:eastAsia="Times New Roman"/>
                                  <w:color w:val="000000"/>
                                  <w:sz w:val="22"/>
                                  <w:szCs w:val="22"/>
                                  <w:lang w:val="en-GB"/>
                                </w:rPr>
                                <w:t>Civil society and civic movements, mostly informal, h</w:t>
                              </w:r>
                              <w:r w:rsidR="0024496E" w:rsidRPr="001368E0">
                                <w:rPr>
                                  <w:rFonts w:eastAsia="Times New Roman"/>
                                  <w:color w:val="000000"/>
                                  <w:sz w:val="22"/>
                                  <w:szCs w:val="22"/>
                                  <w:lang w:val="en-GB"/>
                                </w:rPr>
                                <w:t>ave been particularly active - t</w:t>
                              </w:r>
                              <w:r w:rsidRPr="001368E0">
                                <w:rPr>
                                  <w:rFonts w:eastAsia="Times New Roman"/>
                                  <w:color w:val="000000"/>
                                  <w:sz w:val="22"/>
                                  <w:szCs w:val="22"/>
                                  <w:lang w:val="en-GB"/>
                                </w:rPr>
                                <w:t>he number of NGOs increased throughout the region</w:t>
                              </w:r>
                            </w:p>
                            <w:p w:rsidR="008E282C" w:rsidRPr="001368E0" w:rsidRDefault="008E282C" w:rsidP="0028075A">
                              <w:pPr>
                                <w:pStyle w:val="ListParagraph"/>
                                <w:numPr>
                                  <w:ilvl w:val="0"/>
                                  <w:numId w:val="41"/>
                                </w:numPr>
                                <w:spacing w:after="120" w:line="240" w:lineRule="auto"/>
                                <w:ind w:right="213" w:hanging="223"/>
                                <w:rPr>
                                  <w:rFonts w:eastAsia="Times New Roman"/>
                                  <w:color w:val="000000"/>
                                  <w:sz w:val="22"/>
                                  <w:szCs w:val="22"/>
                                  <w:lang w:val="en-GB"/>
                                </w:rPr>
                              </w:pPr>
                              <w:r w:rsidRPr="001368E0">
                                <w:rPr>
                                  <w:rFonts w:eastAsia="Times New Roman"/>
                                  <w:color w:val="000000"/>
                                  <w:sz w:val="22"/>
                                  <w:szCs w:val="22"/>
                                  <w:lang w:val="en-GB"/>
                                </w:rPr>
                                <w:t>Creation in 2008 of the Black Sea Euroregion</w:t>
                              </w:r>
                            </w:p>
                            <w:p w:rsidR="008E282C" w:rsidRPr="001368E0" w:rsidRDefault="008E282C" w:rsidP="0028075A">
                              <w:pPr>
                                <w:pStyle w:val="ListParagraph"/>
                                <w:numPr>
                                  <w:ilvl w:val="0"/>
                                  <w:numId w:val="41"/>
                                </w:numPr>
                                <w:spacing w:after="120" w:line="240" w:lineRule="auto"/>
                                <w:ind w:right="213" w:hanging="223"/>
                                <w:rPr>
                                  <w:rFonts w:eastAsia="Times New Roman"/>
                                  <w:color w:val="000000"/>
                                  <w:sz w:val="22"/>
                                  <w:szCs w:val="22"/>
                                  <w:lang w:val="en-GB"/>
                                </w:rPr>
                              </w:pPr>
                              <w:r w:rsidRPr="001368E0">
                                <w:rPr>
                                  <w:rFonts w:eastAsia="Times New Roman"/>
                                  <w:color w:val="000000"/>
                                  <w:sz w:val="22"/>
                                  <w:szCs w:val="22"/>
                                  <w:lang w:val="en-GB"/>
                                </w:rPr>
                                <w:t>Black Sea NGO forum meets regularly</w:t>
                              </w:r>
                            </w:p>
                          </w:tc>
                        </w:tr>
                      </w:tbl>
                      <w:p w:rsidR="008E282C" w:rsidRPr="001368E0" w:rsidRDefault="008E282C" w:rsidP="00A535CC">
                        <w:pPr>
                          <w:pStyle w:val="ListParagraph"/>
                          <w:spacing w:after="120" w:line="240" w:lineRule="auto"/>
                          <w:ind w:left="0"/>
                          <w:rPr>
                            <w:rFonts w:eastAsia="Times New Roman"/>
                            <w:color w:val="000000"/>
                            <w:sz w:val="22"/>
                            <w:szCs w:val="22"/>
                            <w:lang w:val="en-GB"/>
                          </w:rPr>
                        </w:pPr>
                      </w:p>
                    </w:tc>
                  </w:tr>
                </w:tbl>
                <w:p w:rsidR="00D220D9" w:rsidRPr="001368E0" w:rsidRDefault="00D220D9" w:rsidP="00A535CC">
                  <w:pPr>
                    <w:pStyle w:val="ListParagraph"/>
                    <w:spacing w:after="120" w:line="240" w:lineRule="auto"/>
                    <w:ind w:left="714"/>
                    <w:rPr>
                      <w:rFonts w:eastAsia="Times New Roman"/>
                      <w:color w:val="000000"/>
                      <w:sz w:val="22"/>
                      <w:szCs w:val="22"/>
                      <w:lang w:val="en-GB"/>
                    </w:rPr>
                  </w:pPr>
                </w:p>
              </w:tc>
            </w:tr>
          </w:tbl>
          <w:p w:rsidR="00D220D9" w:rsidRPr="001368E0" w:rsidRDefault="00D220D9" w:rsidP="001368E0">
            <w:pPr>
              <w:pStyle w:val="ListParagraph"/>
              <w:spacing w:after="120" w:line="240" w:lineRule="auto"/>
              <w:rPr>
                <w:bCs/>
                <w:color w:val="000000"/>
                <w:sz w:val="22"/>
                <w:szCs w:val="22"/>
                <w:lang w:val="en-GB"/>
              </w:rPr>
            </w:pPr>
          </w:p>
        </w:tc>
        <w:tc>
          <w:tcPr>
            <w:tcW w:w="4394" w:type="dxa"/>
            <w:tcBorders>
              <w:left w:val="single" w:sz="4" w:space="0" w:color="983620"/>
            </w:tcBorders>
            <w:shd w:val="clear" w:color="auto" w:fill="E6E6E6"/>
            <w:hideMark/>
          </w:tcPr>
          <w:p w:rsidR="00EC4E04" w:rsidRPr="001368E0" w:rsidRDefault="00EC4E04" w:rsidP="001368E0">
            <w:pPr>
              <w:pStyle w:val="ListParagraph"/>
              <w:numPr>
                <w:ilvl w:val="0"/>
                <w:numId w:val="42"/>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NGOs often remain poorly anchored in society, with low membership and volunteering levels</w:t>
            </w:r>
          </w:p>
          <w:p w:rsidR="00EC4E04" w:rsidRPr="001368E0" w:rsidRDefault="00EC4E04" w:rsidP="001368E0">
            <w:pPr>
              <w:pStyle w:val="ListParagraph"/>
              <w:numPr>
                <w:ilvl w:val="0"/>
                <w:numId w:val="42"/>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NGOs often remain organization-centered rather than joining forces in coalitions and networks around issues</w:t>
            </w:r>
          </w:p>
          <w:p w:rsidR="00EC4E04" w:rsidRPr="001368E0" w:rsidRDefault="00EC4E04" w:rsidP="001368E0">
            <w:pPr>
              <w:pStyle w:val="ListParagraph"/>
              <w:numPr>
                <w:ilvl w:val="0"/>
                <w:numId w:val="42"/>
              </w:numPr>
              <w:spacing w:after="120" w:line="240" w:lineRule="auto"/>
              <w:ind w:left="714" w:hanging="357"/>
              <w:rPr>
                <w:rFonts w:eastAsia="Times New Roman"/>
                <w:color w:val="000000"/>
                <w:sz w:val="22"/>
                <w:szCs w:val="22"/>
                <w:lang w:val="en-GB"/>
              </w:rPr>
            </w:pPr>
            <w:r w:rsidRPr="001368E0">
              <w:rPr>
                <w:rFonts w:eastAsia="Times New Roman"/>
                <w:color w:val="000000"/>
                <w:sz w:val="22"/>
                <w:szCs w:val="22"/>
                <w:lang w:val="en-GB"/>
              </w:rPr>
              <w:t>Black Sea Euroregion still gathers limited membership</w:t>
            </w:r>
          </w:p>
          <w:p w:rsidR="00D220D9" w:rsidRPr="001368E0" w:rsidRDefault="00EC4E04" w:rsidP="001368E0">
            <w:pPr>
              <w:pStyle w:val="ListParagraph"/>
              <w:numPr>
                <w:ilvl w:val="0"/>
                <w:numId w:val="42"/>
              </w:numPr>
              <w:spacing w:after="120" w:line="240" w:lineRule="auto"/>
              <w:rPr>
                <w:color w:val="000000"/>
                <w:sz w:val="22"/>
                <w:szCs w:val="22"/>
                <w:lang w:val="en-GB"/>
              </w:rPr>
            </w:pPr>
            <w:r w:rsidRPr="001368E0">
              <w:rPr>
                <w:rFonts w:eastAsia="Times New Roman"/>
                <w:color w:val="000000"/>
                <w:sz w:val="22"/>
                <w:szCs w:val="22"/>
                <w:lang w:val="en-GB"/>
              </w:rPr>
              <w:t>Black Sea Forum for Dialogue and Partnership affected by regional tensions</w:t>
            </w:r>
          </w:p>
        </w:tc>
      </w:tr>
      <w:tr w:rsidR="00D220D9" w:rsidRPr="001368E0" w:rsidTr="001368E0">
        <w:trPr>
          <w:trHeight w:val="280"/>
        </w:trPr>
        <w:tc>
          <w:tcPr>
            <w:tcW w:w="6629" w:type="dxa"/>
            <w:tcBorders>
              <w:right w:val="single" w:sz="4" w:space="0" w:color="983620"/>
            </w:tcBorders>
            <w:shd w:val="clear" w:color="auto" w:fill="A6A6A6"/>
            <w:noWrap/>
            <w:hideMark/>
          </w:tcPr>
          <w:p w:rsidR="00D220D9" w:rsidRPr="001368E0" w:rsidRDefault="00D220D9" w:rsidP="001368E0">
            <w:pPr>
              <w:spacing w:after="0" w:line="240" w:lineRule="auto"/>
              <w:jc w:val="center"/>
              <w:rPr>
                <w:b/>
                <w:bCs/>
                <w:color w:val="000000"/>
                <w:sz w:val="22"/>
                <w:szCs w:val="22"/>
              </w:rPr>
            </w:pPr>
            <w:r w:rsidRPr="001368E0">
              <w:rPr>
                <w:b/>
                <w:bCs/>
                <w:color w:val="000000"/>
                <w:sz w:val="22"/>
                <w:szCs w:val="22"/>
              </w:rPr>
              <w:t>OPPORTUNITIES</w:t>
            </w:r>
          </w:p>
        </w:tc>
        <w:tc>
          <w:tcPr>
            <w:tcW w:w="4394" w:type="dxa"/>
            <w:tcBorders>
              <w:left w:val="single" w:sz="4" w:space="0" w:color="983620"/>
              <w:right w:val="single" w:sz="18" w:space="0" w:color="983620"/>
            </w:tcBorders>
            <w:shd w:val="clear" w:color="auto" w:fill="A6A6A6"/>
            <w:hideMark/>
          </w:tcPr>
          <w:p w:rsidR="00D220D9" w:rsidRPr="001368E0" w:rsidRDefault="00D220D9" w:rsidP="001368E0">
            <w:pPr>
              <w:spacing w:after="0" w:line="240" w:lineRule="auto"/>
              <w:jc w:val="center"/>
              <w:rPr>
                <w:b/>
                <w:color w:val="000000"/>
                <w:sz w:val="22"/>
                <w:szCs w:val="22"/>
              </w:rPr>
            </w:pPr>
            <w:r w:rsidRPr="001368E0">
              <w:rPr>
                <w:b/>
                <w:color w:val="000000"/>
                <w:sz w:val="22"/>
                <w:szCs w:val="22"/>
              </w:rPr>
              <w:t>THREATS</w:t>
            </w:r>
          </w:p>
        </w:tc>
      </w:tr>
      <w:tr w:rsidR="00D220D9" w:rsidRPr="001368E0" w:rsidTr="001368E0">
        <w:trPr>
          <w:trHeight w:val="1837"/>
        </w:trPr>
        <w:tc>
          <w:tcPr>
            <w:tcW w:w="6629" w:type="dxa"/>
            <w:tcBorders>
              <w:right w:val="single" w:sz="4" w:space="0" w:color="983620"/>
            </w:tcBorders>
            <w:shd w:val="clear" w:color="auto" w:fill="E6E6E6"/>
            <w:hideMark/>
          </w:tcPr>
          <w:tbl>
            <w:tblPr>
              <w:tblW w:w="6237" w:type="dxa"/>
              <w:tblLayout w:type="fixed"/>
              <w:tblCellMar>
                <w:left w:w="70" w:type="dxa"/>
                <w:right w:w="70" w:type="dxa"/>
              </w:tblCellMar>
              <w:tblLook w:val="04A0"/>
            </w:tblPr>
            <w:tblGrid>
              <w:gridCol w:w="6237"/>
            </w:tblGrid>
            <w:tr w:rsidR="00A535CC" w:rsidRPr="001368E0" w:rsidTr="00A535CC">
              <w:trPr>
                <w:trHeight w:val="2120"/>
              </w:trPr>
              <w:tc>
                <w:tcPr>
                  <w:tcW w:w="6237" w:type="dxa"/>
                  <w:tcBorders>
                    <w:top w:val="nil"/>
                    <w:left w:val="nil"/>
                  </w:tcBorders>
                  <w:shd w:val="clear" w:color="auto" w:fill="auto"/>
                  <w:vAlign w:val="center"/>
                  <w:hideMark/>
                </w:tcPr>
                <w:tbl>
                  <w:tblPr>
                    <w:tblW w:w="6167" w:type="dxa"/>
                    <w:tblLayout w:type="fixed"/>
                    <w:tblCellMar>
                      <w:left w:w="70" w:type="dxa"/>
                      <w:right w:w="70" w:type="dxa"/>
                    </w:tblCellMar>
                    <w:tblLook w:val="04A0"/>
                  </w:tblPr>
                  <w:tblGrid>
                    <w:gridCol w:w="6167"/>
                  </w:tblGrid>
                  <w:tr w:rsidR="00A535CC" w:rsidRPr="001368E0" w:rsidTr="00A535CC">
                    <w:trPr>
                      <w:trHeight w:val="1525"/>
                    </w:trPr>
                    <w:tc>
                      <w:tcPr>
                        <w:tcW w:w="6167" w:type="dxa"/>
                        <w:tcBorders>
                          <w:top w:val="nil"/>
                          <w:left w:val="nil"/>
                        </w:tcBorders>
                        <w:shd w:val="clear" w:color="auto" w:fill="auto"/>
                        <w:vAlign w:val="center"/>
                        <w:hideMark/>
                      </w:tcPr>
                      <w:p w:rsidR="00A535CC" w:rsidRPr="001368E0" w:rsidRDefault="00EC4E04" w:rsidP="00EC4E04">
                        <w:pPr>
                          <w:pStyle w:val="ListParagraph"/>
                          <w:numPr>
                            <w:ilvl w:val="0"/>
                            <w:numId w:val="42"/>
                          </w:numPr>
                          <w:spacing w:after="120"/>
                          <w:rPr>
                            <w:rFonts w:eastAsia="Times New Roman"/>
                            <w:color w:val="000000"/>
                            <w:sz w:val="22"/>
                            <w:szCs w:val="22"/>
                            <w:lang w:val="en-GB"/>
                          </w:rPr>
                        </w:pPr>
                        <w:r w:rsidRPr="001368E0">
                          <w:rPr>
                            <w:rFonts w:eastAsia="Times New Roman"/>
                            <w:color w:val="000000"/>
                            <w:sz w:val="22"/>
                            <w:szCs w:val="22"/>
                            <w:lang w:val="en-GB"/>
                          </w:rPr>
                          <w:t>Council of Europe Congress of the Local and Regional Authorities, Assembly of European Regions (AER), as well as more recently EU Committee of the Regions Conference of the Regional and Local Authorities for the Eastern Partnership (CORLEAP) provide platforms for dialogue and cooperation</w:t>
                        </w:r>
                      </w:p>
                    </w:tc>
                  </w:tr>
                </w:tbl>
                <w:p w:rsidR="00A535CC" w:rsidRPr="001368E0" w:rsidRDefault="00A535CC" w:rsidP="00A535CC">
                  <w:pPr>
                    <w:pStyle w:val="ListParagraph"/>
                    <w:spacing w:after="120" w:line="240" w:lineRule="auto"/>
                    <w:ind w:left="0"/>
                    <w:rPr>
                      <w:rFonts w:eastAsia="Times New Roman"/>
                      <w:color w:val="000000"/>
                      <w:sz w:val="22"/>
                      <w:szCs w:val="22"/>
                      <w:lang w:val="en-GB"/>
                    </w:rPr>
                  </w:pPr>
                </w:p>
              </w:tc>
            </w:tr>
          </w:tbl>
          <w:p w:rsidR="00D220D9" w:rsidRPr="001368E0" w:rsidRDefault="00D220D9" w:rsidP="001368E0">
            <w:pPr>
              <w:pStyle w:val="ListParagraph"/>
              <w:spacing w:after="120" w:line="240" w:lineRule="auto"/>
              <w:ind w:left="0"/>
              <w:rPr>
                <w:rFonts w:eastAsia="Times New Roman"/>
                <w:bCs/>
                <w:color w:val="000000"/>
                <w:sz w:val="22"/>
                <w:szCs w:val="22"/>
                <w:lang w:val="en-GB"/>
              </w:rPr>
            </w:pPr>
          </w:p>
        </w:tc>
        <w:tc>
          <w:tcPr>
            <w:tcW w:w="4394" w:type="dxa"/>
            <w:tcBorders>
              <w:left w:val="single" w:sz="4" w:space="0" w:color="983620"/>
            </w:tcBorders>
            <w:shd w:val="clear" w:color="auto" w:fill="E6E6E6"/>
            <w:hideMark/>
          </w:tcPr>
          <w:p w:rsidR="00D220D9" w:rsidRPr="001368E0" w:rsidRDefault="00D220D9" w:rsidP="001368E0">
            <w:pPr>
              <w:pStyle w:val="ListParagraph"/>
              <w:spacing w:after="120" w:line="240" w:lineRule="auto"/>
              <w:rPr>
                <w:color w:val="000000"/>
                <w:sz w:val="22"/>
                <w:szCs w:val="22"/>
                <w:lang w:val="en-GB"/>
              </w:rPr>
            </w:pPr>
          </w:p>
        </w:tc>
      </w:tr>
    </w:tbl>
    <w:p w:rsidR="00DD025B" w:rsidRPr="00DD025B" w:rsidRDefault="00DD025B" w:rsidP="00DD025B">
      <w:pPr>
        <w:pStyle w:val="Heading2"/>
        <w:spacing w:after="0" w:line="252" w:lineRule="auto"/>
        <w:jc w:val="left"/>
        <w:rPr>
          <w:sz w:val="10"/>
          <w:szCs w:val="10"/>
          <w:lang w:val="en-GB"/>
        </w:rPr>
      </w:pPr>
      <w:r>
        <w:rPr>
          <w:lang w:val="en-GB"/>
        </w:rPr>
        <w:br w:type="column"/>
      </w:r>
    </w:p>
    <w:p w:rsidR="001353D6" w:rsidRDefault="001353D6" w:rsidP="00DD025B">
      <w:pPr>
        <w:pStyle w:val="Heading1"/>
        <w:numPr>
          <w:ilvl w:val="1"/>
          <w:numId w:val="3"/>
        </w:numPr>
        <w:spacing w:before="200" w:after="0" w:line="252" w:lineRule="auto"/>
        <w:ind w:left="1434" w:hanging="357"/>
        <w:jc w:val="left"/>
        <w:rPr>
          <w:sz w:val="40"/>
          <w:szCs w:val="40"/>
          <w:lang w:val="en-GB"/>
        </w:rPr>
      </w:pPr>
      <w:bookmarkStart w:id="56" w:name="_Toc288133440"/>
      <w:r>
        <w:rPr>
          <w:sz w:val="40"/>
          <w:szCs w:val="40"/>
          <w:lang w:val="en-GB"/>
        </w:rPr>
        <w:t xml:space="preserve">Black Sea Basin </w:t>
      </w:r>
      <w:r w:rsidR="00C316A8">
        <w:rPr>
          <w:sz w:val="40"/>
          <w:szCs w:val="40"/>
          <w:lang w:val="en-GB"/>
        </w:rPr>
        <w:t>strategic</w:t>
      </w:r>
      <w:r w:rsidR="0051368D">
        <w:rPr>
          <w:sz w:val="40"/>
          <w:szCs w:val="40"/>
          <w:lang w:val="en-GB"/>
        </w:rPr>
        <w:t xml:space="preserve"> analysi</w:t>
      </w:r>
      <w:r>
        <w:rPr>
          <w:sz w:val="40"/>
          <w:szCs w:val="40"/>
          <w:lang w:val="en-GB"/>
        </w:rPr>
        <w:t>s and consultations</w:t>
      </w:r>
      <w:bookmarkEnd w:id="56"/>
    </w:p>
    <w:p w:rsidR="001353D6" w:rsidRDefault="001353D6" w:rsidP="00EE604A">
      <w:pPr>
        <w:widowControl w:val="0"/>
        <w:autoSpaceDE w:val="0"/>
        <w:autoSpaceDN w:val="0"/>
        <w:adjustRightInd w:val="0"/>
        <w:spacing w:after="0" w:line="264" w:lineRule="auto"/>
        <w:jc w:val="both"/>
        <w:rPr>
          <w:rFonts w:eastAsia="Times New Roman"/>
          <w:sz w:val="22"/>
          <w:szCs w:val="22"/>
          <w:lang w:val="en-GB"/>
        </w:rPr>
      </w:pPr>
    </w:p>
    <w:p w:rsidR="007B3966" w:rsidRPr="004408A1" w:rsidRDefault="00E326B7" w:rsidP="00EE604A">
      <w:pPr>
        <w:widowControl w:val="0"/>
        <w:autoSpaceDE w:val="0"/>
        <w:autoSpaceDN w:val="0"/>
        <w:adjustRightInd w:val="0"/>
        <w:spacing w:after="0" w:line="264" w:lineRule="auto"/>
        <w:jc w:val="both"/>
        <w:rPr>
          <w:rFonts w:eastAsia="Times New Roman"/>
          <w:i/>
          <w:sz w:val="22"/>
          <w:szCs w:val="22"/>
          <w:lang w:val="en-GB"/>
        </w:rPr>
      </w:pPr>
      <w:r w:rsidRPr="002C30C5">
        <w:rPr>
          <w:rFonts w:eastAsia="Times New Roman"/>
          <w:sz w:val="22"/>
          <w:szCs w:val="22"/>
          <w:lang w:val="en-GB"/>
        </w:rPr>
        <w:t>After identifying the key strengths, weaknesses, opportunities and threats within the cooperation area, analysis for</w:t>
      </w:r>
      <w:r w:rsidR="00090F4A" w:rsidRPr="002C30C5">
        <w:rPr>
          <w:rFonts w:eastAsia="Times New Roman"/>
          <w:sz w:val="22"/>
          <w:szCs w:val="22"/>
          <w:lang w:val="en-GB"/>
        </w:rPr>
        <w:t xml:space="preserve"> the programme</w:t>
      </w:r>
      <w:r w:rsidRPr="002C30C5">
        <w:rPr>
          <w:rFonts w:eastAsia="Times New Roman"/>
          <w:sz w:val="22"/>
          <w:szCs w:val="22"/>
          <w:lang w:val="en-GB"/>
        </w:rPr>
        <w:t xml:space="preserve"> strategy development further focused on past experience and lessons learnt</w:t>
      </w:r>
      <w:r w:rsidR="008D24CE" w:rsidRPr="002C30C5">
        <w:rPr>
          <w:rFonts w:eastAsia="Times New Roman"/>
          <w:sz w:val="22"/>
          <w:szCs w:val="22"/>
          <w:lang w:val="en-GB"/>
        </w:rPr>
        <w:t xml:space="preserve">. </w:t>
      </w:r>
      <w:r w:rsidR="00CA1791" w:rsidRPr="002C30C5">
        <w:rPr>
          <w:rFonts w:eastAsia="Times New Roman"/>
          <w:sz w:val="22"/>
          <w:szCs w:val="22"/>
          <w:lang w:val="en-GB"/>
        </w:rPr>
        <w:t xml:space="preserve">Broad stakeholders consultations were organised in the programme area in order to </w:t>
      </w:r>
      <w:r w:rsidR="00DF558C" w:rsidRPr="002C30C5">
        <w:rPr>
          <w:rFonts w:eastAsia="Times New Roman"/>
          <w:sz w:val="22"/>
          <w:szCs w:val="22"/>
          <w:lang w:val="en-GB"/>
        </w:rPr>
        <w:t xml:space="preserve">validate the SWOT and reflect on possible priorities. </w:t>
      </w:r>
      <w:r w:rsidR="008D24CE" w:rsidRPr="002C30C5">
        <w:rPr>
          <w:rFonts w:eastAsia="Times New Roman"/>
          <w:sz w:val="22"/>
          <w:szCs w:val="22"/>
          <w:lang w:val="en-GB"/>
        </w:rPr>
        <w:t>A review of other EU financial instruments was also carried out to ensure the strategy would not include elements that could more suitably be funded under other EU programmes.</w:t>
      </w:r>
      <w:r w:rsidR="008D24CE" w:rsidRPr="004408A1">
        <w:rPr>
          <w:rFonts w:eastAsia="Times New Roman"/>
          <w:sz w:val="22"/>
          <w:szCs w:val="22"/>
          <w:lang w:val="en-GB"/>
        </w:rPr>
        <w:t xml:space="preserve">  </w:t>
      </w:r>
    </w:p>
    <w:p w:rsidR="00AD4AF2" w:rsidRPr="0025034F" w:rsidRDefault="00AD4AF2" w:rsidP="00EE604A">
      <w:pPr>
        <w:pStyle w:val="Heading3"/>
        <w:spacing w:before="240" w:after="240" w:line="264" w:lineRule="auto"/>
        <w:rPr>
          <w:b/>
          <w:sz w:val="28"/>
          <w:szCs w:val="28"/>
          <w:lang w:val="en-GB"/>
        </w:rPr>
      </w:pPr>
      <w:bookmarkStart w:id="57" w:name="_Toc288133441"/>
      <w:r w:rsidRPr="0025034F">
        <w:rPr>
          <w:b/>
          <w:sz w:val="28"/>
          <w:szCs w:val="28"/>
          <w:lang w:val="en-GB"/>
        </w:rPr>
        <w:t>Past experience analysis</w:t>
      </w:r>
      <w:bookmarkEnd w:id="57"/>
    </w:p>
    <w:p w:rsidR="008E2BD5" w:rsidRDefault="00434E44" w:rsidP="00EE604A">
      <w:pPr>
        <w:spacing w:after="60" w:line="264" w:lineRule="auto"/>
        <w:jc w:val="both"/>
        <w:rPr>
          <w:sz w:val="22"/>
          <w:szCs w:val="22"/>
          <w:lang w:val="en-GB"/>
        </w:rPr>
      </w:pPr>
      <w:r w:rsidRPr="00D8564C">
        <w:rPr>
          <w:b/>
          <w:sz w:val="22"/>
          <w:szCs w:val="22"/>
          <w:lang w:val="en-GB"/>
        </w:rPr>
        <w:t xml:space="preserve">A review of </w:t>
      </w:r>
      <w:r w:rsidR="00FD7BAE">
        <w:rPr>
          <w:b/>
          <w:sz w:val="22"/>
          <w:szCs w:val="22"/>
          <w:lang w:val="en-GB"/>
        </w:rPr>
        <w:t xml:space="preserve">lessons </w:t>
      </w:r>
      <w:r w:rsidR="00825A83">
        <w:rPr>
          <w:b/>
          <w:sz w:val="22"/>
          <w:szCs w:val="22"/>
          <w:lang w:val="en-GB"/>
        </w:rPr>
        <w:t xml:space="preserve">learned </w:t>
      </w:r>
      <w:r w:rsidR="00FD7BAE">
        <w:rPr>
          <w:b/>
          <w:sz w:val="22"/>
          <w:szCs w:val="22"/>
          <w:lang w:val="en-GB"/>
        </w:rPr>
        <w:t xml:space="preserve">from </w:t>
      </w:r>
      <w:r w:rsidR="00892485">
        <w:rPr>
          <w:b/>
          <w:sz w:val="22"/>
          <w:szCs w:val="22"/>
          <w:lang w:val="en-GB"/>
        </w:rPr>
        <w:t xml:space="preserve">Black Sea </w:t>
      </w:r>
      <w:r w:rsidR="00FD7BAE">
        <w:rPr>
          <w:b/>
          <w:sz w:val="22"/>
          <w:szCs w:val="22"/>
          <w:lang w:val="en-GB"/>
        </w:rPr>
        <w:t xml:space="preserve">Basin 2007-13 </w:t>
      </w:r>
      <w:r w:rsidRPr="00D8564C">
        <w:rPr>
          <w:b/>
          <w:sz w:val="22"/>
          <w:szCs w:val="22"/>
          <w:lang w:val="en-GB"/>
        </w:rPr>
        <w:t>programme</w:t>
      </w:r>
      <w:r w:rsidR="00B7609F" w:rsidRPr="00D8564C">
        <w:rPr>
          <w:b/>
          <w:sz w:val="22"/>
          <w:szCs w:val="22"/>
          <w:lang w:val="en-GB"/>
        </w:rPr>
        <w:t xml:space="preserve"> </w:t>
      </w:r>
      <w:r w:rsidR="00B7609F" w:rsidRPr="008C6029">
        <w:rPr>
          <w:sz w:val="22"/>
          <w:szCs w:val="22"/>
          <w:lang w:val="en-GB"/>
        </w:rPr>
        <w:t>m</w:t>
      </w:r>
      <w:r w:rsidR="00DC5F64" w:rsidRPr="008C6029">
        <w:rPr>
          <w:sz w:val="22"/>
          <w:szCs w:val="22"/>
          <w:lang w:val="en-GB"/>
        </w:rPr>
        <w:t>onitoring rep</w:t>
      </w:r>
      <w:r w:rsidR="00E5430F" w:rsidRPr="008C6029">
        <w:rPr>
          <w:sz w:val="22"/>
          <w:szCs w:val="22"/>
          <w:lang w:val="en-GB"/>
        </w:rPr>
        <w:t xml:space="preserve">orts </w:t>
      </w:r>
      <w:r w:rsidRPr="008C6029">
        <w:rPr>
          <w:sz w:val="22"/>
          <w:szCs w:val="22"/>
          <w:lang w:val="en-GB"/>
        </w:rPr>
        <w:t xml:space="preserve">(2012, 2013) </w:t>
      </w:r>
      <w:r w:rsidR="00E5430F" w:rsidRPr="008C6029">
        <w:rPr>
          <w:sz w:val="22"/>
          <w:szCs w:val="22"/>
          <w:lang w:val="en-GB"/>
        </w:rPr>
        <w:t>and EC mid-term evaluation</w:t>
      </w:r>
      <w:r>
        <w:rPr>
          <w:sz w:val="22"/>
          <w:szCs w:val="22"/>
          <w:lang w:val="en-GB"/>
        </w:rPr>
        <w:t xml:space="preserve"> provide</w:t>
      </w:r>
      <w:r w:rsidR="00916E1A">
        <w:rPr>
          <w:sz w:val="22"/>
          <w:szCs w:val="22"/>
          <w:lang w:val="en-GB"/>
        </w:rPr>
        <w:t>d</w:t>
      </w:r>
      <w:r>
        <w:rPr>
          <w:sz w:val="22"/>
          <w:szCs w:val="22"/>
          <w:lang w:val="en-GB"/>
        </w:rPr>
        <w:t xml:space="preserve"> </w:t>
      </w:r>
      <w:r w:rsidR="003A5E0C">
        <w:rPr>
          <w:sz w:val="22"/>
          <w:szCs w:val="22"/>
          <w:lang w:val="en-GB"/>
        </w:rPr>
        <w:t>the following information</w:t>
      </w:r>
      <w:r w:rsidR="00603665">
        <w:rPr>
          <w:sz w:val="22"/>
          <w:szCs w:val="22"/>
          <w:lang w:val="en-GB"/>
        </w:rPr>
        <w:t xml:space="preserve"> for the strategy development</w:t>
      </w:r>
      <w:r w:rsidR="008E2BD5">
        <w:rPr>
          <w:sz w:val="22"/>
          <w:szCs w:val="22"/>
          <w:lang w:val="en-GB"/>
        </w:rPr>
        <w:t>:</w:t>
      </w:r>
    </w:p>
    <w:p w:rsidR="008E2BD5" w:rsidRDefault="005B1E9C" w:rsidP="007426FD">
      <w:pPr>
        <w:pStyle w:val="ListParagraph"/>
        <w:numPr>
          <w:ilvl w:val="0"/>
          <w:numId w:val="4"/>
        </w:numPr>
        <w:spacing w:line="264" w:lineRule="auto"/>
        <w:jc w:val="both"/>
        <w:rPr>
          <w:sz w:val="22"/>
          <w:szCs w:val="22"/>
          <w:lang w:val="en-GB"/>
        </w:rPr>
      </w:pPr>
      <w:r>
        <w:rPr>
          <w:sz w:val="22"/>
          <w:szCs w:val="22"/>
          <w:lang w:val="en-GB"/>
        </w:rPr>
        <w:t>The</w:t>
      </w:r>
      <w:r w:rsidRPr="008E2BD5">
        <w:rPr>
          <w:sz w:val="22"/>
          <w:szCs w:val="22"/>
          <w:lang w:val="en-GB"/>
        </w:rPr>
        <w:t xml:space="preserve"> </w:t>
      </w:r>
      <w:r w:rsidR="008E2BD5" w:rsidRPr="008E2BD5">
        <w:rPr>
          <w:sz w:val="22"/>
          <w:szCs w:val="22"/>
          <w:lang w:val="en-GB"/>
        </w:rPr>
        <w:t xml:space="preserve">strong relevance of the programme and its </w:t>
      </w:r>
      <w:r w:rsidR="0041439E">
        <w:rPr>
          <w:sz w:val="22"/>
          <w:szCs w:val="22"/>
          <w:lang w:val="en-GB"/>
        </w:rPr>
        <w:t xml:space="preserve">current </w:t>
      </w:r>
      <w:r w:rsidR="008E2BD5" w:rsidRPr="008E2BD5">
        <w:rPr>
          <w:sz w:val="22"/>
          <w:szCs w:val="22"/>
          <w:lang w:val="en-GB"/>
        </w:rPr>
        <w:t xml:space="preserve">priorities </w:t>
      </w:r>
      <w:r w:rsidR="00892485">
        <w:rPr>
          <w:sz w:val="22"/>
          <w:szCs w:val="22"/>
          <w:lang w:val="en-GB"/>
        </w:rPr>
        <w:t>for all participating countries;</w:t>
      </w:r>
      <w:r w:rsidR="008E2BD5" w:rsidRPr="008E2BD5">
        <w:rPr>
          <w:sz w:val="22"/>
          <w:szCs w:val="22"/>
          <w:lang w:val="en-GB"/>
        </w:rPr>
        <w:t xml:space="preserve"> </w:t>
      </w:r>
      <w:r w:rsidR="009E304F">
        <w:rPr>
          <w:sz w:val="22"/>
          <w:szCs w:val="22"/>
          <w:lang w:val="en-GB"/>
        </w:rPr>
        <w:t xml:space="preserve">programme priorities are </w:t>
      </w:r>
      <w:r w:rsidR="00CF41E4" w:rsidRPr="00CF41E4">
        <w:rPr>
          <w:sz w:val="22"/>
          <w:szCs w:val="22"/>
          <w:lang w:val="en-GB"/>
        </w:rPr>
        <w:t xml:space="preserve">in line with </w:t>
      </w:r>
      <w:r w:rsidR="0085309B">
        <w:rPr>
          <w:sz w:val="22"/>
          <w:szCs w:val="22"/>
          <w:lang w:val="en-GB"/>
        </w:rPr>
        <w:t>the needs of the programme area</w:t>
      </w:r>
      <w:r w:rsidR="00CF41E4" w:rsidRPr="00CF41E4">
        <w:rPr>
          <w:sz w:val="22"/>
          <w:szCs w:val="22"/>
          <w:lang w:val="en-GB"/>
        </w:rPr>
        <w:t xml:space="preserve"> with the greatest alignment being with </w:t>
      </w:r>
      <w:r w:rsidR="008A1E8B">
        <w:rPr>
          <w:sz w:val="22"/>
          <w:szCs w:val="22"/>
          <w:lang w:val="en-GB"/>
        </w:rPr>
        <w:t>O</w:t>
      </w:r>
      <w:r w:rsidR="00CF41E4" w:rsidRPr="00CF41E4">
        <w:rPr>
          <w:sz w:val="22"/>
          <w:szCs w:val="22"/>
          <w:lang w:val="en-GB"/>
        </w:rPr>
        <w:t>bjective</w:t>
      </w:r>
      <w:r w:rsidR="009E304F">
        <w:rPr>
          <w:sz w:val="22"/>
          <w:szCs w:val="22"/>
          <w:lang w:val="en-GB"/>
        </w:rPr>
        <w:t xml:space="preserve"> 1 (</w:t>
      </w:r>
      <w:r w:rsidR="00CF41E4" w:rsidRPr="00CF41E4">
        <w:rPr>
          <w:sz w:val="22"/>
          <w:szCs w:val="22"/>
          <w:lang w:val="en-GB"/>
        </w:rPr>
        <w:t>Promote economic and social development in regions on both sides of common borders</w:t>
      </w:r>
      <w:r w:rsidR="009E304F">
        <w:rPr>
          <w:sz w:val="22"/>
          <w:szCs w:val="22"/>
          <w:lang w:val="en-GB"/>
        </w:rPr>
        <w:t>)</w:t>
      </w:r>
      <w:r w:rsidR="00CF41E4" w:rsidRPr="00CF41E4">
        <w:rPr>
          <w:sz w:val="22"/>
          <w:szCs w:val="22"/>
          <w:lang w:val="en-GB"/>
        </w:rPr>
        <w:t>;</w:t>
      </w:r>
    </w:p>
    <w:p w:rsidR="004A161A" w:rsidRDefault="005B1E9C" w:rsidP="007426FD">
      <w:pPr>
        <w:pStyle w:val="ListParagraph"/>
        <w:numPr>
          <w:ilvl w:val="0"/>
          <w:numId w:val="4"/>
        </w:numPr>
        <w:spacing w:line="264" w:lineRule="auto"/>
        <w:jc w:val="both"/>
        <w:rPr>
          <w:sz w:val="22"/>
          <w:szCs w:val="22"/>
          <w:lang w:val="en-GB"/>
        </w:rPr>
      </w:pPr>
      <w:r>
        <w:rPr>
          <w:sz w:val="22"/>
          <w:szCs w:val="22"/>
          <w:lang w:val="en-GB"/>
        </w:rPr>
        <w:t>Recognition of t</w:t>
      </w:r>
      <w:r w:rsidR="003715F9">
        <w:rPr>
          <w:sz w:val="22"/>
          <w:szCs w:val="22"/>
          <w:lang w:val="en-GB"/>
        </w:rPr>
        <w:t>he programme</w:t>
      </w:r>
      <w:r w:rsidR="008E2BD5">
        <w:rPr>
          <w:sz w:val="22"/>
          <w:szCs w:val="22"/>
          <w:lang w:val="en-GB"/>
        </w:rPr>
        <w:t xml:space="preserve"> as an</w:t>
      </w:r>
      <w:r w:rsidR="00C110F2">
        <w:rPr>
          <w:sz w:val="22"/>
          <w:szCs w:val="22"/>
          <w:lang w:val="en-GB"/>
        </w:rPr>
        <w:t xml:space="preserve"> instrument for facilitatin</w:t>
      </w:r>
      <w:r>
        <w:rPr>
          <w:sz w:val="22"/>
          <w:szCs w:val="22"/>
          <w:lang w:val="en-GB"/>
        </w:rPr>
        <w:t>g</w:t>
      </w:r>
      <w:r w:rsidR="00C110F2">
        <w:rPr>
          <w:sz w:val="22"/>
          <w:szCs w:val="22"/>
          <w:lang w:val="en-GB"/>
        </w:rPr>
        <w:t xml:space="preserve"> </w:t>
      </w:r>
      <w:r w:rsidR="004A161A">
        <w:rPr>
          <w:sz w:val="22"/>
          <w:szCs w:val="22"/>
          <w:lang w:val="en-GB"/>
        </w:rPr>
        <w:t>cross-border cooperation</w:t>
      </w:r>
      <w:r w:rsidR="00892485">
        <w:rPr>
          <w:sz w:val="22"/>
          <w:szCs w:val="22"/>
          <w:lang w:val="en-GB"/>
        </w:rPr>
        <w:t>;</w:t>
      </w:r>
    </w:p>
    <w:p w:rsidR="004A161A" w:rsidRPr="004A161A" w:rsidRDefault="004A161A" w:rsidP="007426FD">
      <w:pPr>
        <w:pStyle w:val="ListParagraph"/>
        <w:numPr>
          <w:ilvl w:val="0"/>
          <w:numId w:val="4"/>
        </w:numPr>
        <w:spacing w:line="264" w:lineRule="auto"/>
        <w:jc w:val="both"/>
        <w:rPr>
          <w:sz w:val="22"/>
          <w:szCs w:val="22"/>
          <w:lang w:val="en-GB"/>
        </w:rPr>
      </w:pPr>
      <w:r w:rsidRPr="004A161A">
        <w:rPr>
          <w:sz w:val="22"/>
          <w:szCs w:val="22"/>
          <w:lang w:val="en-GB"/>
        </w:rPr>
        <w:t>Over-ambitious, unrealistic indicators at programme level</w:t>
      </w:r>
      <w:r w:rsidR="00892485">
        <w:rPr>
          <w:sz w:val="22"/>
          <w:szCs w:val="22"/>
          <w:lang w:val="en-GB"/>
        </w:rPr>
        <w:t>;</w:t>
      </w:r>
    </w:p>
    <w:p w:rsidR="008E2BD5" w:rsidRPr="00821B60" w:rsidRDefault="005E1B89" w:rsidP="007426FD">
      <w:pPr>
        <w:pStyle w:val="ListParagraph"/>
        <w:numPr>
          <w:ilvl w:val="0"/>
          <w:numId w:val="4"/>
        </w:numPr>
        <w:spacing w:line="264" w:lineRule="auto"/>
        <w:jc w:val="both"/>
        <w:rPr>
          <w:sz w:val="22"/>
          <w:szCs w:val="22"/>
          <w:lang w:val="en-GB"/>
        </w:rPr>
      </w:pPr>
      <w:r>
        <w:rPr>
          <w:sz w:val="22"/>
          <w:szCs w:val="22"/>
          <w:lang w:val="en-GB"/>
        </w:rPr>
        <w:t xml:space="preserve">Some </w:t>
      </w:r>
      <w:r w:rsidR="005B1E9C">
        <w:rPr>
          <w:sz w:val="22"/>
          <w:szCs w:val="22"/>
          <w:lang w:val="en-GB"/>
        </w:rPr>
        <w:t xml:space="preserve">performance </w:t>
      </w:r>
      <w:r>
        <w:rPr>
          <w:sz w:val="22"/>
          <w:szCs w:val="22"/>
          <w:lang w:val="en-GB"/>
        </w:rPr>
        <w:t xml:space="preserve">difficulties </w:t>
      </w:r>
      <w:r w:rsidR="005B1E9C">
        <w:rPr>
          <w:sz w:val="22"/>
          <w:szCs w:val="22"/>
          <w:lang w:val="en-GB"/>
        </w:rPr>
        <w:t xml:space="preserve">for projects </w:t>
      </w:r>
      <w:r>
        <w:rPr>
          <w:sz w:val="22"/>
          <w:szCs w:val="22"/>
          <w:lang w:val="en-GB"/>
        </w:rPr>
        <w:t xml:space="preserve">under the first </w:t>
      </w:r>
      <w:r w:rsidRPr="00EF6373">
        <w:rPr>
          <w:sz w:val="22"/>
          <w:szCs w:val="22"/>
          <w:lang w:val="en-GB"/>
        </w:rPr>
        <w:t>priority (</w:t>
      </w:r>
      <w:r w:rsidR="00EF6373" w:rsidRPr="00EE604A">
        <w:rPr>
          <w:sz w:val="22"/>
          <w:szCs w:val="22"/>
          <w:lang w:val="en-GB"/>
        </w:rPr>
        <w:t>some projects focused on promoting economic cooperation and establishing complicated systems, such as multi-country information databases on companies and products, without having sufficient experience in the</w:t>
      </w:r>
      <w:r w:rsidR="00EF6373" w:rsidRPr="00EF6373">
        <w:rPr>
          <w:sz w:val="22"/>
          <w:szCs w:val="22"/>
          <w:lang w:val="en-GB"/>
        </w:rPr>
        <w:t xml:space="preserve"> area</w:t>
      </w:r>
      <w:r w:rsidRPr="00EF6373">
        <w:rPr>
          <w:sz w:val="22"/>
          <w:szCs w:val="22"/>
          <w:lang w:val="en-GB"/>
        </w:rPr>
        <w:t>).</w:t>
      </w:r>
      <w:r>
        <w:rPr>
          <w:sz w:val="22"/>
          <w:szCs w:val="22"/>
          <w:lang w:val="en-GB"/>
        </w:rPr>
        <w:t xml:space="preserve"> Some </w:t>
      </w:r>
      <w:r w:rsidR="00825A83">
        <w:rPr>
          <w:sz w:val="22"/>
          <w:szCs w:val="22"/>
          <w:lang w:val="en-GB"/>
        </w:rPr>
        <w:t xml:space="preserve">internal, </w:t>
      </w:r>
      <w:r w:rsidR="00B33B80" w:rsidRPr="004408A1">
        <w:rPr>
          <w:sz w:val="22"/>
          <w:szCs w:val="22"/>
          <w:lang w:val="en-GB"/>
        </w:rPr>
        <w:t xml:space="preserve">administrative impediments in the second priority </w:t>
      </w:r>
      <w:r w:rsidR="00DB0615" w:rsidRPr="004408A1">
        <w:rPr>
          <w:sz w:val="22"/>
          <w:szCs w:val="22"/>
          <w:lang w:val="en-GB"/>
        </w:rPr>
        <w:t>for the ENPI East countries</w:t>
      </w:r>
      <w:r w:rsidR="00B33B80" w:rsidRPr="004408A1">
        <w:rPr>
          <w:sz w:val="22"/>
          <w:szCs w:val="22"/>
          <w:lang w:val="en-GB"/>
        </w:rPr>
        <w:t xml:space="preserve"> (</w:t>
      </w:r>
      <w:r w:rsidR="00DB0615" w:rsidRPr="004408A1">
        <w:rPr>
          <w:sz w:val="22"/>
          <w:szCs w:val="22"/>
          <w:lang w:val="en-GB"/>
        </w:rPr>
        <w:t>complexity of off</w:t>
      </w:r>
      <w:r w:rsidR="001D1691" w:rsidRPr="004408A1">
        <w:rPr>
          <w:sz w:val="22"/>
          <w:szCs w:val="22"/>
          <w:lang w:val="en-GB"/>
        </w:rPr>
        <w:t>icial mutual recognition of study programmes/</w:t>
      </w:r>
      <w:r w:rsidR="00EA35E3" w:rsidRPr="004408A1">
        <w:rPr>
          <w:sz w:val="22"/>
          <w:szCs w:val="22"/>
          <w:lang w:val="en-GB"/>
        </w:rPr>
        <w:t>diplomas/material</w:t>
      </w:r>
      <w:r w:rsidR="00957FDB" w:rsidRPr="004408A1">
        <w:rPr>
          <w:sz w:val="22"/>
          <w:szCs w:val="22"/>
          <w:lang w:val="en-GB"/>
        </w:rPr>
        <w:t>s</w:t>
      </w:r>
      <w:r w:rsidR="00B33B80" w:rsidRPr="004408A1">
        <w:rPr>
          <w:sz w:val="22"/>
          <w:szCs w:val="22"/>
          <w:lang w:val="en-GB"/>
        </w:rPr>
        <w:t>)</w:t>
      </w:r>
      <w:r w:rsidR="008A010D" w:rsidRPr="004408A1">
        <w:rPr>
          <w:sz w:val="22"/>
          <w:szCs w:val="22"/>
          <w:lang w:val="en-GB"/>
        </w:rPr>
        <w:t>.</w:t>
      </w:r>
      <w:r w:rsidR="008A010D" w:rsidRPr="004408A1">
        <w:rPr>
          <w:lang w:val="en-GB"/>
        </w:rPr>
        <w:t xml:space="preserve"> </w:t>
      </w:r>
      <w:r w:rsidR="008A010D" w:rsidRPr="004408A1">
        <w:rPr>
          <w:sz w:val="22"/>
          <w:szCs w:val="22"/>
          <w:lang w:val="en-GB"/>
        </w:rPr>
        <w:t>Some projects implied improvement of national policies, amendments in legislation (beyond the scope of the project);</w:t>
      </w:r>
    </w:p>
    <w:p w:rsidR="00821B60" w:rsidRDefault="00DC6A7C" w:rsidP="007426FD">
      <w:pPr>
        <w:pStyle w:val="ListParagraph"/>
        <w:numPr>
          <w:ilvl w:val="0"/>
          <w:numId w:val="4"/>
        </w:numPr>
        <w:spacing w:line="264" w:lineRule="auto"/>
        <w:jc w:val="both"/>
        <w:rPr>
          <w:sz w:val="22"/>
          <w:szCs w:val="22"/>
          <w:lang w:val="en-GB"/>
        </w:rPr>
      </w:pPr>
      <w:r w:rsidRPr="004408A1">
        <w:rPr>
          <w:sz w:val="22"/>
          <w:szCs w:val="22"/>
          <w:lang w:val="en-GB"/>
        </w:rPr>
        <w:t>Often problematic</w:t>
      </w:r>
      <w:r w:rsidR="00821B60" w:rsidRPr="004408A1">
        <w:rPr>
          <w:sz w:val="22"/>
          <w:szCs w:val="22"/>
          <w:lang w:val="en-GB"/>
        </w:rPr>
        <w:t xml:space="preserve"> financial sustainability/</w:t>
      </w:r>
      <w:r w:rsidR="005438BA" w:rsidRPr="004408A1">
        <w:rPr>
          <w:sz w:val="22"/>
          <w:szCs w:val="22"/>
          <w:lang w:val="en-GB"/>
        </w:rPr>
        <w:t xml:space="preserve">lack of </w:t>
      </w:r>
      <w:r w:rsidR="00821B60" w:rsidRPr="004408A1">
        <w:rPr>
          <w:sz w:val="22"/>
          <w:szCs w:val="22"/>
          <w:lang w:val="en-GB"/>
        </w:rPr>
        <w:t>exit str</w:t>
      </w:r>
      <w:r w:rsidRPr="004408A1">
        <w:rPr>
          <w:sz w:val="22"/>
          <w:szCs w:val="22"/>
          <w:lang w:val="en-GB"/>
        </w:rPr>
        <w:t>ategies</w:t>
      </w:r>
      <w:r w:rsidR="00821B60" w:rsidRPr="004408A1">
        <w:rPr>
          <w:sz w:val="22"/>
          <w:szCs w:val="22"/>
          <w:lang w:val="en-GB"/>
        </w:rPr>
        <w:t xml:space="preserve"> a</w:t>
      </w:r>
      <w:r w:rsidR="00142D94">
        <w:rPr>
          <w:sz w:val="22"/>
          <w:szCs w:val="22"/>
          <w:lang w:val="en-GB"/>
        </w:rPr>
        <w:t>t project level</w:t>
      </w:r>
      <w:r w:rsidR="00892485" w:rsidRPr="004408A1">
        <w:rPr>
          <w:sz w:val="22"/>
          <w:szCs w:val="22"/>
          <w:lang w:val="en-GB"/>
        </w:rPr>
        <w:t>;</w:t>
      </w:r>
    </w:p>
    <w:p w:rsidR="00123B4F" w:rsidRPr="00123B4F" w:rsidRDefault="00123B4F" w:rsidP="00123B4F">
      <w:pPr>
        <w:pStyle w:val="ListParagraph"/>
        <w:numPr>
          <w:ilvl w:val="0"/>
          <w:numId w:val="4"/>
        </w:numPr>
        <w:spacing w:line="264" w:lineRule="auto"/>
        <w:jc w:val="both"/>
        <w:rPr>
          <w:sz w:val="22"/>
          <w:szCs w:val="22"/>
          <w:lang w:val="en-GB"/>
        </w:rPr>
      </w:pPr>
      <w:r w:rsidRPr="00123B4F">
        <w:rPr>
          <w:sz w:val="22"/>
          <w:szCs w:val="22"/>
          <w:lang w:val="en-GB"/>
        </w:rPr>
        <w:t xml:space="preserve">Result oriented monitoring system must be developed in order to assess the success of implementation at project level; </w:t>
      </w:r>
    </w:p>
    <w:p w:rsidR="005A42FC" w:rsidRDefault="005A42FC" w:rsidP="007426FD">
      <w:pPr>
        <w:pStyle w:val="ListParagraph"/>
        <w:numPr>
          <w:ilvl w:val="0"/>
          <w:numId w:val="4"/>
        </w:numPr>
        <w:spacing w:line="264" w:lineRule="auto"/>
        <w:jc w:val="both"/>
        <w:rPr>
          <w:sz w:val="22"/>
          <w:szCs w:val="22"/>
          <w:lang w:val="en-GB"/>
        </w:rPr>
      </w:pPr>
      <w:r w:rsidRPr="004408A1">
        <w:rPr>
          <w:sz w:val="22"/>
          <w:szCs w:val="22"/>
          <w:lang w:val="en-GB"/>
        </w:rPr>
        <w:t>24-month intervention is</w:t>
      </w:r>
      <w:r w:rsidR="00097060" w:rsidRPr="004408A1">
        <w:rPr>
          <w:sz w:val="22"/>
          <w:szCs w:val="22"/>
          <w:lang w:val="en-GB"/>
        </w:rPr>
        <w:t xml:space="preserve"> </w:t>
      </w:r>
      <w:r w:rsidRPr="004408A1">
        <w:rPr>
          <w:sz w:val="22"/>
          <w:szCs w:val="22"/>
          <w:lang w:val="en-GB"/>
        </w:rPr>
        <w:t xml:space="preserve">too short for </w:t>
      </w:r>
      <w:r w:rsidR="00097060" w:rsidRPr="004408A1">
        <w:rPr>
          <w:sz w:val="22"/>
          <w:szCs w:val="22"/>
          <w:lang w:val="en-GB"/>
        </w:rPr>
        <w:t>some actions</w:t>
      </w:r>
      <w:r w:rsidR="00892485" w:rsidRPr="004408A1">
        <w:rPr>
          <w:sz w:val="22"/>
          <w:szCs w:val="22"/>
          <w:lang w:val="en-GB"/>
        </w:rPr>
        <w:t>;</w:t>
      </w:r>
    </w:p>
    <w:p w:rsidR="00123B4F" w:rsidRPr="00DE4734" w:rsidRDefault="00123B4F" w:rsidP="007426FD">
      <w:pPr>
        <w:pStyle w:val="ListParagraph"/>
        <w:numPr>
          <w:ilvl w:val="0"/>
          <w:numId w:val="4"/>
        </w:numPr>
        <w:spacing w:line="264" w:lineRule="auto"/>
        <w:jc w:val="both"/>
        <w:rPr>
          <w:sz w:val="22"/>
          <w:szCs w:val="22"/>
          <w:lang w:val="en-GB"/>
        </w:rPr>
      </w:pPr>
      <w:r w:rsidRPr="00123B4F">
        <w:rPr>
          <w:sz w:val="22"/>
          <w:szCs w:val="22"/>
          <w:lang w:val="en-GB"/>
        </w:rPr>
        <w:t>Visibility requirements are fulfilled but attention must be paid to the dissemination of project results;</w:t>
      </w:r>
    </w:p>
    <w:p w:rsidR="00821B60" w:rsidRPr="00821B60" w:rsidRDefault="00DE4734" w:rsidP="007426FD">
      <w:pPr>
        <w:pStyle w:val="ListParagraph"/>
        <w:numPr>
          <w:ilvl w:val="0"/>
          <w:numId w:val="4"/>
        </w:numPr>
        <w:spacing w:line="264" w:lineRule="auto"/>
        <w:jc w:val="both"/>
        <w:rPr>
          <w:sz w:val="22"/>
          <w:szCs w:val="22"/>
          <w:lang w:val="en-GB"/>
        </w:rPr>
      </w:pPr>
      <w:r w:rsidRPr="0015403A">
        <w:rPr>
          <w:sz w:val="22"/>
          <w:szCs w:val="22"/>
          <w:lang w:val="en-GB"/>
        </w:rPr>
        <w:t xml:space="preserve">No correlation between projects under the </w:t>
      </w:r>
      <w:r w:rsidR="0015403A">
        <w:rPr>
          <w:sz w:val="22"/>
          <w:szCs w:val="22"/>
          <w:lang w:val="en-GB"/>
        </w:rPr>
        <w:t>same priority (t</w:t>
      </w:r>
      <w:r w:rsidRPr="0015403A">
        <w:rPr>
          <w:sz w:val="22"/>
          <w:szCs w:val="22"/>
          <w:lang w:val="en-GB"/>
        </w:rPr>
        <w:t>he projects tend to be implemented on</w:t>
      </w:r>
      <w:r w:rsidR="0015403A">
        <w:rPr>
          <w:sz w:val="22"/>
          <w:szCs w:val="22"/>
          <w:lang w:val="en-GB"/>
        </w:rPr>
        <w:t xml:space="preserve"> a</w:t>
      </w:r>
      <w:r w:rsidRPr="0015403A">
        <w:rPr>
          <w:sz w:val="22"/>
          <w:szCs w:val="22"/>
          <w:lang w:val="en-GB"/>
        </w:rPr>
        <w:t xml:space="preserve"> </w:t>
      </w:r>
      <w:r w:rsidR="008A1E8B">
        <w:rPr>
          <w:sz w:val="22"/>
          <w:szCs w:val="22"/>
          <w:lang w:val="en-GB"/>
        </w:rPr>
        <w:t>‘</w:t>
      </w:r>
      <w:r w:rsidRPr="0015403A">
        <w:rPr>
          <w:sz w:val="22"/>
          <w:szCs w:val="22"/>
          <w:lang w:val="en-GB"/>
        </w:rPr>
        <w:t>individual bas</w:t>
      </w:r>
      <w:r w:rsidR="008A1E8B">
        <w:rPr>
          <w:sz w:val="22"/>
          <w:szCs w:val="22"/>
          <w:lang w:val="en-GB"/>
        </w:rPr>
        <w:t>is’</w:t>
      </w:r>
      <w:r w:rsidRPr="0015403A">
        <w:rPr>
          <w:sz w:val="22"/>
          <w:szCs w:val="22"/>
          <w:lang w:val="en-GB"/>
        </w:rPr>
        <w:t xml:space="preserve">, without having the bigger </w:t>
      </w:r>
      <w:r w:rsidR="008A1E8B">
        <w:rPr>
          <w:sz w:val="22"/>
          <w:szCs w:val="22"/>
          <w:lang w:val="en-GB"/>
        </w:rPr>
        <w:t>p</w:t>
      </w:r>
      <w:r w:rsidRPr="0015403A">
        <w:rPr>
          <w:sz w:val="22"/>
          <w:szCs w:val="22"/>
          <w:lang w:val="en-GB"/>
        </w:rPr>
        <w:t>rogramme picture</w:t>
      </w:r>
      <w:r w:rsidR="0015403A">
        <w:rPr>
          <w:sz w:val="22"/>
          <w:szCs w:val="22"/>
          <w:lang w:val="en-GB"/>
        </w:rPr>
        <w:t>)</w:t>
      </w:r>
      <w:r w:rsidR="00892485">
        <w:rPr>
          <w:sz w:val="22"/>
          <w:szCs w:val="22"/>
          <w:lang w:val="en-GB"/>
        </w:rPr>
        <w:t>;</w:t>
      </w:r>
    </w:p>
    <w:p w:rsidR="00AC7079" w:rsidRDefault="005559CF" w:rsidP="007426FD">
      <w:pPr>
        <w:pStyle w:val="ListParagraph"/>
        <w:numPr>
          <w:ilvl w:val="0"/>
          <w:numId w:val="4"/>
        </w:numPr>
        <w:spacing w:line="264" w:lineRule="auto"/>
        <w:jc w:val="both"/>
        <w:rPr>
          <w:sz w:val="22"/>
          <w:szCs w:val="22"/>
          <w:lang w:val="en-GB"/>
        </w:rPr>
      </w:pPr>
      <w:r>
        <w:rPr>
          <w:sz w:val="22"/>
          <w:szCs w:val="22"/>
          <w:lang w:val="en-GB"/>
        </w:rPr>
        <w:t>Excellent cooperation among partner countries leading</w:t>
      </w:r>
      <w:r w:rsidR="00CF004E">
        <w:rPr>
          <w:sz w:val="22"/>
          <w:szCs w:val="22"/>
          <w:lang w:val="en-GB"/>
        </w:rPr>
        <w:t xml:space="preserve"> to stable</w:t>
      </w:r>
      <w:r>
        <w:rPr>
          <w:sz w:val="22"/>
          <w:szCs w:val="22"/>
          <w:lang w:val="en-GB"/>
        </w:rPr>
        <w:t xml:space="preserve"> partnerships</w:t>
      </w:r>
      <w:r w:rsidR="000B71FE">
        <w:rPr>
          <w:sz w:val="22"/>
          <w:szCs w:val="22"/>
          <w:lang w:val="en-GB"/>
        </w:rPr>
        <w:t xml:space="preserve"> (among </w:t>
      </w:r>
      <w:r w:rsidR="008A1E8B">
        <w:rPr>
          <w:sz w:val="22"/>
          <w:szCs w:val="22"/>
          <w:lang w:val="en-GB"/>
        </w:rPr>
        <w:t>u</w:t>
      </w:r>
      <w:r w:rsidR="000B71FE">
        <w:rPr>
          <w:sz w:val="22"/>
          <w:szCs w:val="22"/>
          <w:lang w:val="en-GB"/>
        </w:rPr>
        <w:t>niversities and research centers, local administrations, NGOs…)</w:t>
      </w:r>
      <w:r>
        <w:rPr>
          <w:sz w:val="22"/>
          <w:szCs w:val="22"/>
          <w:lang w:val="en-GB"/>
        </w:rPr>
        <w:t>.</w:t>
      </w:r>
    </w:p>
    <w:p w:rsidR="00916E1A" w:rsidRDefault="00614F06" w:rsidP="00EE604A">
      <w:pPr>
        <w:widowControl w:val="0"/>
        <w:autoSpaceDE w:val="0"/>
        <w:autoSpaceDN w:val="0"/>
        <w:adjustRightInd w:val="0"/>
        <w:spacing w:after="60" w:line="264" w:lineRule="auto"/>
        <w:jc w:val="both"/>
        <w:rPr>
          <w:sz w:val="22"/>
          <w:szCs w:val="22"/>
          <w:lang w:val="en-GB"/>
        </w:rPr>
      </w:pPr>
      <w:r>
        <w:rPr>
          <w:b/>
          <w:sz w:val="22"/>
          <w:szCs w:val="22"/>
          <w:lang w:val="en-GB"/>
        </w:rPr>
        <w:t xml:space="preserve">A mapping of </w:t>
      </w:r>
      <w:r w:rsidR="001C12DE" w:rsidRPr="00D8564C">
        <w:rPr>
          <w:b/>
          <w:sz w:val="22"/>
          <w:szCs w:val="22"/>
          <w:lang w:val="en-GB"/>
        </w:rPr>
        <w:t>projects</w:t>
      </w:r>
      <w:r>
        <w:rPr>
          <w:b/>
          <w:sz w:val="22"/>
          <w:szCs w:val="22"/>
          <w:lang w:val="en-GB"/>
        </w:rPr>
        <w:t xml:space="preserve"> </w:t>
      </w:r>
      <w:r w:rsidR="00FD7BAE">
        <w:rPr>
          <w:b/>
          <w:sz w:val="22"/>
          <w:szCs w:val="22"/>
          <w:lang w:val="en-GB"/>
        </w:rPr>
        <w:t>awarded under the Black Sea Basin 2007-13 two</w:t>
      </w:r>
      <w:r w:rsidR="00420BF4">
        <w:rPr>
          <w:b/>
          <w:sz w:val="22"/>
          <w:szCs w:val="22"/>
          <w:lang w:val="en-GB"/>
        </w:rPr>
        <w:t xml:space="preserve"> </w:t>
      </w:r>
      <w:r>
        <w:rPr>
          <w:b/>
          <w:sz w:val="22"/>
          <w:szCs w:val="22"/>
          <w:lang w:val="en-GB"/>
        </w:rPr>
        <w:t>call</w:t>
      </w:r>
      <w:r w:rsidR="00420BF4">
        <w:rPr>
          <w:b/>
          <w:sz w:val="22"/>
          <w:szCs w:val="22"/>
          <w:lang w:val="en-GB"/>
        </w:rPr>
        <w:t>s</w:t>
      </w:r>
      <w:r>
        <w:rPr>
          <w:b/>
          <w:sz w:val="22"/>
          <w:szCs w:val="22"/>
          <w:lang w:val="en-GB"/>
        </w:rPr>
        <w:t xml:space="preserve"> for proposals</w:t>
      </w:r>
      <w:r w:rsidR="00500E6E">
        <w:rPr>
          <w:b/>
          <w:sz w:val="22"/>
          <w:szCs w:val="22"/>
          <w:lang w:val="en-GB"/>
        </w:rPr>
        <w:t xml:space="preserve"> </w:t>
      </w:r>
      <w:r w:rsidR="00420BF4">
        <w:rPr>
          <w:sz w:val="22"/>
          <w:szCs w:val="22"/>
          <w:lang w:val="en-GB"/>
        </w:rPr>
        <w:t>according to key themes</w:t>
      </w:r>
      <w:r w:rsidR="00500E6E">
        <w:rPr>
          <w:rStyle w:val="FootnoteReference"/>
          <w:b/>
          <w:sz w:val="22"/>
          <w:szCs w:val="22"/>
          <w:lang w:val="en-GB"/>
        </w:rPr>
        <w:footnoteReference w:id="53"/>
      </w:r>
      <w:r w:rsidR="00420BF4">
        <w:rPr>
          <w:sz w:val="22"/>
          <w:szCs w:val="22"/>
          <w:lang w:val="en-GB"/>
        </w:rPr>
        <w:t xml:space="preserve"> </w:t>
      </w:r>
      <w:r w:rsidR="001C12DE">
        <w:rPr>
          <w:sz w:val="22"/>
          <w:szCs w:val="22"/>
          <w:lang w:val="en-GB"/>
        </w:rPr>
        <w:t xml:space="preserve">allowed </w:t>
      </w:r>
      <w:r w:rsidR="008A1E8B">
        <w:rPr>
          <w:sz w:val="22"/>
          <w:szCs w:val="22"/>
          <w:lang w:val="en-GB"/>
        </w:rPr>
        <w:t xml:space="preserve">the identification of </w:t>
      </w:r>
      <w:r w:rsidR="001C12DE">
        <w:rPr>
          <w:sz w:val="22"/>
          <w:szCs w:val="22"/>
          <w:lang w:val="en-GB"/>
        </w:rPr>
        <w:t xml:space="preserve">the </w:t>
      </w:r>
      <w:r w:rsidR="00420BF4">
        <w:rPr>
          <w:sz w:val="22"/>
          <w:szCs w:val="22"/>
          <w:lang w:val="en-GB"/>
        </w:rPr>
        <w:t>main</w:t>
      </w:r>
      <w:r>
        <w:rPr>
          <w:sz w:val="22"/>
          <w:szCs w:val="22"/>
          <w:lang w:val="en-GB"/>
        </w:rPr>
        <w:t xml:space="preserve"> </w:t>
      </w:r>
      <w:r w:rsidR="00825A83">
        <w:rPr>
          <w:sz w:val="22"/>
          <w:szCs w:val="22"/>
          <w:lang w:val="en-GB"/>
        </w:rPr>
        <w:t xml:space="preserve">areas </w:t>
      </w:r>
      <w:r w:rsidR="001C12DE">
        <w:rPr>
          <w:sz w:val="22"/>
          <w:szCs w:val="22"/>
          <w:lang w:val="en-GB"/>
        </w:rPr>
        <w:t xml:space="preserve">of interest </w:t>
      </w:r>
      <w:r w:rsidR="008A1E8B">
        <w:rPr>
          <w:sz w:val="22"/>
          <w:szCs w:val="22"/>
          <w:lang w:val="en-GB"/>
        </w:rPr>
        <w:t xml:space="preserve">for </w:t>
      </w:r>
      <w:r w:rsidR="009C325E">
        <w:rPr>
          <w:sz w:val="22"/>
          <w:szCs w:val="22"/>
          <w:lang w:val="en-GB"/>
        </w:rPr>
        <w:t>project beneficiaries and partners</w:t>
      </w:r>
      <w:r w:rsidR="009D6FBE">
        <w:rPr>
          <w:sz w:val="22"/>
          <w:szCs w:val="22"/>
          <w:lang w:val="en-GB"/>
        </w:rPr>
        <w:t xml:space="preserve"> within the programme priorities</w:t>
      </w:r>
      <w:r w:rsidR="00825A83">
        <w:rPr>
          <w:sz w:val="22"/>
          <w:szCs w:val="22"/>
          <w:lang w:val="en-GB"/>
        </w:rPr>
        <w:t xml:space="preserve"> and action already taken in particular fields</w:t>
      </w:r>
      <w:r w:rsidR="0063702A">
        <w:rPr>
          <w:sz w:val="22"/>
          <w:szCs w:val="22"/>
          <w:lang w:val="en-GB"/>
        </w:rPr>
        <w:t xml:space="preserve">. It also provided information on </w:t>
      </w:r>
      <w:r w:rsidR="008A1E8B">
        <w:rPr>
          <w:sz w:val="22"/>
          <w:szCs w:val="22"/>
          <w:lang w:val="en-GB"/>
        </w:rPr>
        <w:t xml:space="preserve">the </w:t>
      </w:r>
      <w:r w:rsidR="009D6FBE">
        <w:rPr>
          <w:sz w:val="22"/>
          <w:szCs w:val="22"/>
          <w:lang w:val="en-GB"/>
        </w:rPr>
        <w:t xml:space="preserve">fields of competence </w:t>
      </w:r>
      <w:r w:rsidR="008A1E8B">
        <w:rPr>
          <w:sz w:val="22"/>
          <w:szCs w:val="22"/>
          <w:lang w:val="en-GB"/>
        </w:rPr>
        <w:t xml:space="preserve">among </w:t>
      </w:r>
      <w:r w:rsidR="0063702A">
        <w:rPr>
          <w:sz w:val="22"/>
          <w:szCs w:val="22"/>
          <w:lang w:val="en-GB"/>
        </w:rPr>
        <w:t>regional</w:t>
      </w:r>
      <w:r w:rsidR="009C325E">
        <w:rPr>
          <w:sz w:val="22"/>
          <w:szCs w:val="22"/>
          <w:lang w:val="en-GB"/>
        </w:rPr>
        <w:t xml:space="preserve"> stakeholders</w:t>
      </w:r>
      <w:r w:rsidR="0063702A">
        <w:rPr>
          <w:sz w:val="22"/>
          <w:szCs w:val="22"/>
          <w:lang w:val="en-GB"/>
        </w:rPr>
        <w:t>,</w:t>
      </w:r>
      <w:r w:rsidR="00C5523B">
        <w:rPr>
          <w:sz w:val="22"/>
          <w:szCs w:val="22"/>
          <w:lang w:val="en-GB"/>
        </w:rPr>
        <w:t xml:space="preserve"> as only successful applications were </w:t>
      </w:r>
      <w:r w:rsidR="0063702A">
        <w:rPr>
          <w:sz w:val="22"/>
          <w:szCs w:val="22"/>
          <w:lang w:val="en-GB"/>
        </w:rPr>
        <w:t>analysed</w:t>
      </w:r>
      <w:r w:rsidR="001C12DE">
        <w:rPr>
          <w:sz w:val="22"/>
          <w:szCs w:val="22"/>
          <w:lang w:val="en-GB"/>
        </w:rPr>
        <w:t xml:space="preserve">. </w:t>
      </w:r>
    </w:p>
    <w:p w:rsidR="00614F06" w:rsidRDefault="00614F06" w:rsidP="00EE604A">
      <w:pPr>
        <w:spacing w:before="120" w:after="60" w:line="264" w:lineRule="auto"/>
        <w:jc w:val="both"/>
        <w:rPr>
          <w:sz w:val="22"/>
          <w:szCs w:val="22"/>
          <w:lang w:val="en-GB"/>
        </w:rPr>
      </w:pPr>
      <w:r>
        <w:rPr>
          <w:b/>
          <w:sz w:val="22"/>
          <w:szCs w:val="22"/>
          <w:lang w:val="en-GB"/>
        </w:rPr>
        <w:t>A s</w:t>
      </w:r>
      <w:r w:rsidRPr="00D8564C">
        <w:rPr>
          <w:b/>
          <w:sz w:val="22"/>
          <w:szCs w:val="22"/>
          <w:lang w:val="en-GB"/>
        </w:rPr>
        <w:t>urvey on current priorities and future needs</w:t>
      </w:r>
      <w:r w:rsidR="00D627A6">
        <w:rPr>
          <w:rStyle w:val="FootnoteReference"/>
          <w:b/>
          <w:sz w:val="22"/>
          <w:szCs w:val="22"/>
          <w:lang w:val="en-GB"/>
        </w:rPr>
        <w:footnoteReference w:id="54"/>
      </w:r>
      <w:r w:rsidR="00420BF4">
        <w:rPr>
          <w:sz w:val="22"/>
          <w:szCs w:val="22"/>
          <w:lang w:val="en-GB"/>
        </w:rPr>
        <w:t xml:space="preserve">, carried out via a questionnaire forwarded </w:t>
      </w:r>
      <w:r w:rsidR="00916E1A">
        <w:rPr>
          <w:sz w:val="22"/>
          <w:szCs w:val="22"/>
          <w:lang w:val="en-GB"/>
        </w:rPr>
        <w:t xml:space="preserve">in June 2013 </w:t>
      </w:r>
      <w:r w:rsidR="00EF56D2">
        <w:rPr>
          <w:sz w:val="22"/>
          <w:szCs w:val="22"/>
          <w:lang w:val="en-GB"/>
        </w:rPr>
        <w:t>to the National Info Points, Joint Monitoring Committee</w:t>
      </w:r>
      <w:r w:rsidR="00420BF4" w:rsidRPr="007D0872">
        <w:rPr>
          <w:sz w:val="22"/>
          <w:szCs w:val="22"/>
          <w:lang w:val="en-GB"/>
        </w:rPr>
        <w:t xml:space="preserve"> members, </w:t>
      </w:r>
      <w:r w:rsidR="00916E1A" w:rsidRPr="007D0872">
        <w:rPr>
          <w:sz w:val="22"/>
          <w:szCs w:val="22"/>
          <w:lang w:val="en-GB"/>
        </w:rPr>
        <w:t>current beneficiaries and partners and potential applicants</w:t>
      </w:r>
      <w:r w:rsidR="00D166DB">
        <w:rPr>
          <w:sz w:val="22"/>
          <w:szCs w:val="22"/>
          <w:lang w:val="en-GB"/>
        </w:rPr>
        <w:t xml:space="preserve"> </w:t>
      </w:r>
      <w:r w:rsidR="00825A83">
        <w:rPr>
          <w:sz w:val="22"/>
          <w:szCs w:val="22"/>
          <w:lang w:val="en-GB"/>
        </w:rPr>
        <w:t>provided</w:t>
      </w:r>
      <w:r w:rsidR="00BF7D2D">
        <w:rPr>
          <w:sz w:val="22"/>
          <w:szCs w:val="22"/>
          <w:lang w:val="en-GB"/>
        </w:rPr>
        <w:t xml:space="preserve"> information on the relevance</w:t>
      </w:r>
      <w:r w:rsidR="00420BF4">
        <w:rPr>
          <w:sz w:val="22"/>
          <w:szCs w:val="22"/>
          <w:lang w:val="en-GB"/>
        </w:rPr>
        <w:t xml:space="preserve"> of the current programme strategy and </w:t>
      </w:r>
      <w:r w:rsidR="00BF7D2D">
        <w:rPr>
          <w:sz w:val="22"/>
          <w:szCs w:val="22"/>
          <w:lang w:val="en-GB"/>
        </w:rPr>
        <w:t xml:space="preserve">of </w:t>
      </w:r>
      <w:r w:rsidR="00420BF4">
        <w:rPr>
          <w:sz w:val="22"/>
          <w:szCs w:val="22"/>
          <w:lang w:val="en-GB"/>
        </w:rPr>
        <w:t>further fields of interest</w:t>
      </w:r>
      <w:r w:rsidR="00C81E6D">
        <w:rPr>
          <w:sz w:val="22"/>
          <w:szCs w:val="22"/>
          <w:lang w:val="en-GB"/>
        </w:rPr>
        <w:t xml:space="preserve"> for </w:t>
      </w:r>
      <w:r w:rsidR="00C327AE">
        <w:rPr>
          <w:sz w:val="22"/>
          <w:szCs w:val="22"/>
          <w:lang w:val="en-GB"/>
        </w:rPr>
        <w:t xml:space="preserve">cross-border </w:t>
      </w:r>
      <w:r w:rsidR="00C81E6D">
        <w:rPr>
          <w:sz w:val="22"/>
          <w:szCs w:val="22"/>
          <w:lang w:val="en-GB"/>
        </w:rPr>
        <w:t>cooperation</w:t>
      </w:r>
      <w:r w:rsidR="00420BF4">
        <w:rPr>
          <w:sz w:val="22"/>
          <w:szCs w:val="22"/>
          <w:lang w:val="en-GB"/>
        </w:rPr>
        <w:t>.</w:t>
      </w:r>
    </w:p>
    <w:p w:rsidR="00657E63" w:rsidRPr="00657E63" w:rsidRDefault="00892485" w:rsidP="00657E63">
      <w:pPr>
        <w:spacing w:before="120" w:after="0" w:line="240" w:lineRule="auto"/>
        <w:jc w:val="both"/>
        <w:rPr>
          <w:sz w:val="22"/>
          <w:szCs w:val="22"/>
          <w:lang w:val="en-GB"/>
        </w:rPr>
      </w:pPr>
      <w:r w:rsidRPr="009D6FBE">
        <w:rPr>
          <w:b/>
          <w:sz w:val="22"/>
          <w:szCs w:val="22"/>
          <w:lang w:val="en-GB"/>
        </w:rPr>
        <w:t xml:space="preserve">The outcomes of past experience analysis were combined with the results of the SWOT analysis and compared </w:t>
      </w:r>
      <w:r w:rsidR="00825A83">
        <w:rPr>
          <w:b/>
          <w:sz w:val="22"/>
          <w:szCs w:val="22"/>
          <w:lang w:val="en-GB"/>
        </w:rPr>
        <w:t>with</w:t>
      </w:r>
      <w:r w:rsidR="00825A83" w:rsidRPr="009D6FBE">
        <w:rPr>
          <w:b/>
          <w:sz w:val="22"/>
          <w:szCs w:val="22"/>
          <w:lang w:val="en-GB"/>
        </w:rPr>
        <w:t xml:space="preserve"> </w:t>
      </w:r>
      <w:r w:rsidR="005E2AB9">
        <w:rPr>
          <w:b/>
          <w:sz w:val="22"/>
          <w:szCs w:val="22"/>
          <w:lang w:val="en-GB"/>
        </w:rPr>
        <w:t xml:space="preserve">the list of ENI </w:t>
      </w:r>
      <w:r w:rsidRPr="009D6FBE">
        <w:rPr>
          <w:b/>
          <w:sz w:val="22"/>
          <w:szCs w:val="22"/>
          <w:lang w:val="en-GB"/>
        </w:rPr>
        <w:t>CBC thematic objectives and indicative priorities</w:t>
      </w:r>
      <w:r w:rsidR="00A5047C">
        <w:rPr>
          <w:rStyle w:val="FootnoteReference"/>
          <w:b/>
          <w:sz w:val="22"/>
          <w:szCs w:val="22"/>
          <w:lang w:val="en-GB"/>
        </w:rPr>
        <w:footnoteReference w:id="55"/>
      </w:r>
      <w:r w:rsidR="009D6FBE">
        <w:rPr>
          <w:b/>
          <w:sz w:val="22"/>
          <w:szCs w:val="22"/>
          <w:lang w:val="en-GB"/>
        </w:rPr>
        <w:t xml:space="preserve"> </w:t>
      </w:r>
      <w:r w:rsidR="00657E63">
        <w:rPr>
          <w:sz w:val="22"/>
          <w:szCs w:val="22"/>
          <w:lang w:val="en-GB"/>
        </w:rPr>
        <w:t xml:space="preserve">- </w:t>
      </w:r>
      <w:r w:rsidR="009D6FBE" w:rsidRPr="00C429DD">
        <w:rPr>
          <w:sz w:val="22"/>
          <w:szCs w:val="22"/>
          <w:lang w:val="en-GB"/>
        </w:rPr>
        <w:t>see table below</w:t>
      </w:r>
      <w:r w:rsidR="008A1E8B">
        <w:rPr>
          <w:sz w:val="22"/>
          <w:szCs w:val="22"/>
          <w:lang w:val="en-GB"/>
        </w:rPr>
        <w:t>.</w:t>
      </w:r>
      <w:r w:rsidR="00657E63" w:rsidRPr="00657E63">
        <w:rPr>
          <w:rFonts w:eastAsia="Times New Roman"/>
          <w:color w:val="000000"/>
          <w:sz w:val="22"/>
          <w:szCs w:val="22"/>
          <w:lang w:val="en-GB"/>
        </w:rPr>
        <w:t xml:space="preserve"> </w:t>
      </w:r>
      <w:r w:rsidR="008A1E8B">
        <w:rPr>
          <w:rFonts w:eastAsia="Times New Roman"/>
          <w:color w:val="000000"/>
          <w:sz w:val="22"/>
          <w:szCs w:val="22"/>
          <w:lang w:val="en-GB"/>
        </w:rPr>
        <w:t>I</w:t>
      </w:r>
      <w:r w:rsidR="00657E63" w:rsidRPr="00657E63">
        <w:rPr>
          <w:rFonts w:eastAsia="Times New Roman"/>
          <w:color w:val="000000"/>
          <w:sz w:val="22"/>
          <w:szCs w:val="22"/>
          <w:lang w:val="en-GB"/>
        </w:rPr>
        <w:t>ndicative priorities justified by at least two analyses, including strongly by one are highlighted in light green</w:t>
      </w:r>
      <w:r w:rsidR="008A1E8B">
        <w:rPr>
          <w:rFonts w:eastAsia="Times New Roman"/>
          <w:color w:val="000000"/>
          <w:sz w:val="22"/>
          <w:szCs w:val="22"/>
          <w:lang w:val="en-GB"/>
        </w:rPr>
        <w:t>.</w:t>
      </w:r>
      <w:r w:rsidR="00657E63" w:rsidRPr="00657E63">
        <w:rPr>
          <w:rFonts w:eastAsia="Times New Roman"/>
          <w:color w:val="000000"/>
          <w:sz w:val="22"/>
          <w:szCs w:val="22"/>
          <w:lang w:val="en-GB"/>
        </w:rPr>
        <w:t xml:space="preserve"> </w:t>
      </w:r>
      <w:r w:rsidR="008A1E8B">
        <w:rPr>
          <w:rFonts w:eastAsia="Times New Roman"/>
          <w:color w:val="000000"/>
          <w:sz w:val="22"/>
          <w:szCs w:val="22"/>
          <w:lang w:val="en-GB"/>
        </w:rPr>
        <w:t>W</w:t>
      </w:r>
      <w:r w:rsidR="00657E63" w:rsidRPr="00657E63">
        <w:rPr>
          <w:rFonts w:eastAsia="Times New Roman"/>
          <w:color w:val="000000"/>
          <w:sz w:val="22"/>
          <w:szCs w:val="22"/>
          <w:lang w:val="en-GB"/>
        </w:rPr>
        <w:t xml:space="preserve">hen strongly justified by at least two analyses, priorities are highlighted in dark green. </w:t>
      </w:r>
    </w:p>
    <w:p w:rsidR="005E22F7" w:rsidRPr="00541CA7" w:rsidRDefault="005E22F7" w:rsidP="002C01EA">
      <w:pPr>
        <w:spacing w:before="120" w:after="0" w:line="252" w:lineRule="auto"/>
        <w:jc w:val="both"/>
        <w:rPr>
          <w:sz w:val="6"/>
          <w:szCs w:val="6"/>
          <w:lang w:val="en-GB"/>
        </w:rPr>
      </w:pPr>
    </w:p>
    <w:tbl>
      <w:tblPr>
        <w:tblW w:w="10930" w:type="dxa"/>
        <w:tblInd w:w="55" w:type="dxa"/>
        <w:tblLayout w:type="fixed"/>
        <w:tblCellMar>
          <w:left w:w="70" w:type="dxa"/>
          <w:right w:w="70" w:type="dxa"/>
        </w:tblCellMar>
        <w:tblLook w:val="04A0"/>
      </w:tblPr>
      <w:tblGrid>
        <w:gridCol w:w="3134"/>
        <w:gridCol w:w="7796"/>
      </w:tblGrid>
      <w:tr w:rsidR="00EE4813" w:rsidRPr="001368E0" w:rsidTr="008C2056">
        <w:trPr>
          <w:trHeight w:val="320"/>
        </w:trPr>
        <w:tc>
          <w:tcPr>
            <w:tcW w:w="3134" w:type="dxa"/>
            <w:tcBorders>
              <w:top w:val="single" w:sz="4" w:space="0" w:color="auto"/>
              <w:left w:val="single" w:sz="4" w:space="0" w:color="4F81BD"/>
              <w:bottom w:val="nil"/>
              <w:right w:val="nil"/>
            </w:tcBorders>
            <w:shd w:val="clear" w:color="4F81BD" w:fill="4F81BD"/>
            <w:noWrap/>
            <w:vAlign w:val="bottom"/>
            <w:hideMark/>
          </w:tcPr>
          <w:p w:rsidR="00EE4813" w:rsidRPr="00EE4813" w:rsidRDefault="00EE4813" w:rsidP="00205FC0">
            <w:pPr>
              <w:spacing w:after="0" w:line="240" w:lineRule="auto"/>
              <w:rPr>
                <w:rFonts w:ascii="Calibri" w:eastAsia="Times New Roman" w:hAnsi="Calibri"/>
                <w:b/>
                <w:bCs/>
                <w:color w:val="FFFFFF"/>
                <w:sz w:val="20"/>
                <w:szCs w:val="20"/>
              </w:rPr>
            </w:pPr>
            <w:r w:rsidRPr="00EE4813">
              <w:rPr>
                <w:rFonts w:ascii="Calibri" w:eastAsia="Times New Roman" w:hAnsi="Calibri"/>
                <w:b/>
                <w:bCs/>
                <w:color w:val="FFFFFF"/>
                <w:sz w:val="20"/>
                <w:szCs w:val="20"/>
              </w:rPr>
              <w:t>Thematic Objectives</w:t>
            </w:r>
          </w:p>
        </w:tc>
        <w:tc>
          <w:tcPr>
            <w:tcW w:w="7796" w:type="dxa"/>
            <w:tcBorders>
              <w:top w:val="single" w:sz="4" w:space="0" w:color="auto"/>
              <w:left w:val="nil"/>
              <w:bottom w:val="nil"/>
              <w:right w:val="single" w:sz="4" w:space="0" w:color="4F81BD"/>
            </w:tcBorders>
            <w:shd w:val="clear" w:color="4F81BD" w:fill="4F81BD"/>
            <w:noWrap/>
            <w:vAlign w:val="bottom"/>
            <w:hideMark/>
          </w:tcPr>
          <w:p w:rsidR="00EE4813" w:rsidRPr="00EE4813" w:rsidRDefault="00EE4813" w:rsidP="00205FC0">
            <w:pPr>
              <w:spacing w:after="0" w:line="240" w:lineRule="auto"/>
              <w:rPr>
                <w:rFonts w:ascii="Calibri" w:eastAsia="Times New Roman" w:hAnsi="Calibri"/>
                <w:b/>
                <w:bCs/>
                <w:color w:val="FFFFFF"/>
                <w:sz w:val="20"/>
                <w:szCs w:val="20"/>
              </w:rPr>
            </w:pPr>
            <w:r w:rsidRPr="00EE4813">
              <w:rPr>
                <w:rFonts w:ascii="Calibri" w:eastAsia="Times New Roman" w:hAnsi="Calibri"/>
                <w:b/>
                <w:bCs/>
                <w:color w:val="FFFFFF"/>
                <w:sz w:val="20"/>
                <w:szCs w:val="20"/>
              </w:rPr>
              <w:t>Indicative priorities</w:t>
            </w:r>
          </w:p>
        </w:tc>
      </w:tr>
      <w:tr w:rsidR="00EE4813" w:rsidRPr="001368E0" w:rsidTr="00825A83">
        <w:trPr>
          <w:trHeight w:val="219"/>
        </w:trPr>
        <w:tc>
          <w:tcPr>
            <w:tcW w:w="3134" w:type="dxa"/>
            <w:vMerge w:val="restart"/>
            <w:tcBorders>
              <w:top w:val="single" w:sz="8" w:space="0" w:color="auto"/>
              <w:left w:val="single" w:sz="8" w:space="0" w:color="auto"/>
              <w:right w:val="single" w:sz="4" w:space="0" w:color="auto"/>
            </w:tcBorders>
            <w:shd w:val="clear" w:color="auto" w:fill="auto"/>
            <w:vAlign w:val="center"/>
            <w:hideMark/>
          </w:tcPr>
          <w:p w:rsidR="00EE4813" w:rsidRPr="00D43759" w:rsidRDefault="00EE4813" w:rsidP="00825A83">
            <w:pPr>
              <w:spacing w:after="0" w:line="240" w:lineRule="auto"/>
              <w:rPr>
                <w:rFonts w:ascii="Calibri" w:eastAsia="Times New Roman" w:hAnsi="Calibri"/>
                <w:sz w:val="20"/>
                <w:szCs w:val="20"/>
              </w:rPr>
            </w:pPr>
            <w:r w:rsidRPr="00D43759">
              <w:rPr>
                <w:rFonts w:ascii="Calibri" w:eastAsia="Times New Roman" w:hAnsi="Calibri"/>
                <w:sz w:val="20"/>
                <w:szCs w:val="20"/>
              </w:rPr>
              <w:t xml:space="preserve">1. Business and SME development </w:t>
            </w:r>
          </w:p>
        </w:tc>
        <w:tc>
          <w:tcPr>
            <w:tcW w:w="7796" w:type="dxa"/>
            <w:tcBorders>
              <w:top w:val="single" w:sz="8" w:space="0" w:color="auto"/>
              <w:left w:val="nil"/>
              <w:bottom w:val="single" w:sz="4" w:space="0" w:color="auto"/>
              <w:right w:val="single" w:sz="8" w:space="0" w:color="auto"/>
            </w:tcBorders>
            <w:shd w:val="clear" w:color="auto" w:fill="auto"/>
            <w:vAlign w:val="bottom"/>
            <w:hideMark/>
          </w:tcPr>
          <w:p w:rsidR="00EE4813" w:rsidRPr="004408A1" w:rsidRDefault="00EE4813" w:rsidP="00205FC0">
            <w:pPr>
              <w:spacing w:after="0" w:line="200" w:lineRule="atLeast"/>
              <w:rPr>
                <w:rFonts w:ascii="Calibri" w:eastAsia="Times New Roman" w:hAnsi="Calibri"/>
                <w:color w:val="000000"/>
                <w:sz w:val="18"/>
                <w:szCs w:val="18"/>
                <w:lang w:val="en-GB"/>
              </w:rPr>
            </w:pPr>
            <w:r w:rsidRPr="004408A1">
              <w:rPr>
                <w:rFonts w:ascii="Calibri" w:eastAsia="Times New Roman" w:hAnsi="Calibri"/>
                <w:color w:val="000000"/>
                <w:sz w:val="18"/>
                <w:szCs w:val="18"/>
                <w:lang w:val="en-GB"/>
              </w:rPr>
              <w:t>Fostering cooperation between public and private sector</w:t>
            </w:r>
          </w:p>
        </w:tc>
      </w:tr>
      <w:tr w:rsidR="00EE4813" w:rsidRPr="001368E0" w:rsidTr="008C2056">
        <w:trPr>
          <w:trHeight w:val="191"/>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nil"/>
              <w:left w:val="nil"/>
              <w:bottom w:val="single" w:sz="4" w:space="0" w:color="auto"/>
              <w:right w:val="single" w:sz="8" w:space="0" w:color="auto"/>
            </w:tcBorders>
            <w:shd w:val="clear" w:color="auto" w:fill="auto"/>
            <w:vAlign w:val="bottom"/>
            <w:hideMark/>
          </w:tcPr>
          <w:p w:rsidR="00EE4813" w:rsidRPr="008C2056" w:rsidRDefault="00EE4813" w:rsidP="00205FC0">
            <w:pPr>
              <w:spacing w:after="0" w:line="200" w:lineRule="atLeast"/>
              <w:rPr>
                <w:rFonts w:ascii="Calibri" w:eastAsia="Times New Roman" w:hAnsi="Calibri"/>
                <w:color w:val="000000"/>
                <w:sz w:val="18"/>
                <w:szCs w:val="18"/>
              </w:rPr>
            </w:pPr>
            <w:r w:rsidRPr="008C2056">
              <w:rPr>
                <w:rFonts w:ascii="Calibri" w:eastAsia="Times New Roman" w:hAnsi="Calibri"/>
                <w:color w:val="000000"/>
                <w:sz w:val="18"/>
                <w:szCs w:val="18"/>
              </w:rPr>
              <w:t>Strenghtening economic clusters</w:t>
            </w:r>
          </w:p>
        </w:tc>
      </w:tr>
      <w:tr w:rsidR="00EE4813" w:rsidRPr="001368E0" w:rsidTr="008C2056">
        <w:trPr>
          <w:trHeight w:val="192"/>
        </w:trPr>
        <w:tc>
          <w:tcPr>
            <w:tcW w:w="3134" w:type="dxa"/>
            <w:vMerge/>
            <w:tcBorders>
              <w:left w:val="single" w:sz="8" w:space="0" w:color="auto"/>
              <w:right w:val="single" w:sz="4" w:space="0" w:color="auto"/>
            </w:tcBorders>
            <w:shd w:val="clear" w:color="auto" w:fill="auto"/>
            <w:vAlign w:val="bottom"/>
            <w:hideMark/>
          </w:tcPr>
          <w:p w:rsidR="00EE4813" w:rsidRPr="00D43759" w:rsidRDefault="00EE4813" w:rsidP="00205FC0">
            <w:pPr>
              <w:spacing w:after="0" w:line="240" w:lineRule="auto"/>
              <w:rPr>
                <w:rFonts w:ascii="Calibri" w:eastAsia="Times New Roman" w:hAnsi="Calibri"/>
                <w:sz w:val="20"/>
                <w:szCs w:val="20"/>
              </w:rPr>
            </w:pPr>
          </w:p>
        </w:tc>
        <w:tc>
          <w:tcPr>
            <w:tcW w:w="7796" w:type="dxa"/>
            <w:tcBorders>
              <w:top w:val="nil"/>
              <w:left w:val="nil"/>
              <w:bottom w:val="single" w:sz="4" w:space="0" w:color="auto"/>
              <w:right w:val="single" w:sz="8" w:space="0" w:color="auto"/>
            </w:tcBorders>
            <w:shd w:val="clear" w:color="auto" w:fill="auto"/>
            <w:vAlign w:val="bottom"/>
            <w:hideMark/>
          </w:tcPr>
          <w:p w:rsidR="00EE4813" w:rsidRPr="008C2056" w:rsidRDefault="00EE4813" w:rsidP="00205FC0">
            <w:pPr>
              <w:spacing w:after="0" w:line="200" w:lineRule="atLeast"/>
              <w:rPr>
                <w:rFonts w:ascii="Calibri" w:eastAsia="Times New Roman" w:hAnsi="Calibri"/>
                <w:color w:val="000000"/>
                <w:sz w:val="18"/>
                <w:szCs w:val="18"/>
              </w:rPr>
            </w:pPr>
            <w:r w:rsidRPr="008C2056">
              <w:rPr>
                <w:rFonts w:ascii="Calibri" w:eastAsia="Times New Roman" w:hAnsi="Calibri"/>
                <w:color w:val="000000"/>
                <w:sz w:val="18"/>
                <w:szCs w:val="18"/>
              </w:rPr>
              <w:t>Enhancement of competitiveness</w:t>
            </w:r>
          </w:p>
        </w:tc>
      </w:tr>
      <w:tr w:rsidR="00EE4813" w:rsidRPr="001368E0" w:rsidTr="008C2056">
        <w:trPr>
          <w:trHeight w:val="110"/>
        </w:trPr>
        <w:tc>
          <w:tcPr>
            <w:tcW w:w="3134" w:type="dxa"/>
            <w:vMerge/>
            <w:tcBorders>
              <w:left w:val="single" w:sz="8" w:space="0" w:color="auto"/>
              <w:right w:val="single" w:sz="4" w:space="0" w:color="auto"/>
            </w:tcBorders>
            <w:shd w:val="clear" w:color="auto" w:fill="auto"/>
            <w:vAlign w:val="bottom"/>
            <w:hideMark/>
          </w:tcPr>
          <w:p w:rsidR="00EE4813" w:rsidRPr="00D43759" w:rsidRDefault="00EE4813" w:rsidP="00205FC0">
            <w:pPr>
              <w:spacing w:after="0" w:line="240" w:lineRule="auto"/>
              <w:rPr>
                <w:rFonts w:ascii="Calibri" w:eastAsia="Times New Roman" w:hAnsi="Calibri"/>
                <w:sz w:val="20"/>
                <w:szCs w:val="20"/>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Promotion of and support to entrepreneurship</w:t>
            </w:r>
          </w:p>
        </w:tc>
      </w:tr>
      <w:tr w:rsidR="00EE4813" w:rsidRPr="001368E0" w:rsidTr="008C2056">
        <w:trPr>
          <w:trHeight w:val="260"/>
        </w:trPr>
        <w:tc>
          <w:tcPr>
            <w:tcW w:w="3134" w:type="dxa"/>
            <w:vMerge/>
            <w:tcBorders>
              <w:left w:val="single" w:sz="8" w:space="0" w:color="auto"/>
              <w:bottom w:val="double" w:sz="6"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9BBB59"/>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Support to the development and modernisation of businesses in specific sectors (eg tourism, agriculture)</w:t>
            </w:r>
          </w:p>
        </w:tc>
      </w:tr>
      <w:tr w:rsidR="00EE4813" w:rsidRPr="001368E0" w:rsidTr="00394215">
        <w:trPr>
          <w:trHeight w:val="371"/>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rsidR="00EE4813" w:rsidRPr="004408A1" w:rsidRDefault="00EE4813" w:rsidP="00394215">
            <w:pPr>
              <w:spacing w:after="0" w:line="240" w:lineRule="auto"/>
              <w:rPr>
                <w:rFonts w:ascii="Calibri" w:eastAsia="Times New Roman" w:hAnsi="Calibri"/>
                <w:sz w:val="20"/>
                <w:szCs w:val="20"/>
                <w:lang w:val="en-GB"/>
              </w:rPr>
            </w:pPr>
            <w:r w:rsidRPr="004408A1">
              <w:rPr>
                <w:rFonts w:ascii="Calibri" w:eastAsia="Times New Roman" w:hAnsi="Calibri"/>
                <w:sz w:val="20"/>
                <w:szCs w:val="20"/>
                <w:lang w:val="en-GB"/>
              </w:rPr>
              <w:t>2. Support to education, research, technological development and innovation </w:t>
            </w:r>
          </w:p>
        </w:tc>
        <w:tc>
          <w:tcPr>
            <w:tcW w:w="7796" w:type="dxa"/>
            <w:tcBorders>
              <w:top w:val="single" w:sz="4" w:space="0" w:color="4F81BD"/>
              <w:left w:val="single" w:sz="4" w:space="0" w:color="auto"/>
              <w:bottom w:val="single" w:sz="4" w:space="0" w:color="auto"/>
              <w:right w:val="single" w:sz="8" w:space="0" w:color="auto"/>
            </w:tcBorders>
            <w:shd w:val="clear" w:color="auto" w:fill="auto"/>
            <w:vAlign w:val="bottom"/>
            <w:hideMark/>
          </w:tcPr>
          <w:p w:rsidR="00EE4813" w:rsidRPr="004408A1" w:rsidRDefault="00EE4813" w:rsidP="00205FC0">
            <w:pPr>
              <w:spacing w:after="0" w:line="200" w:lineRule="atLeast"/>
              <w:rPr>
                <w:rFonts w:ascii="Calibri" w:eastAsia="Times New Roman" w:hAnsi="Calibri"/>
                <w:color w:val="000000"/>
                <w:sz w:val="18"/>
                <w:szCs w:val="18"/>
                <w:lang w:val="en-GB"/>
              </w:rPr>
            </w:pPr>
            <w:r w:rsidRPr="004408A1">
              <w:rPr>
                <w:rFonts w:ascii="Calibri" w:eastAsia="Times New Roman" w:hAnsi="Calibri"/>
                <w:color w:val="000000"/>
                <w:sz w:val="18"/>
                <w:szCs w:val="18"/>
                <w:lang w:val="en-GB"/>
              </w:rPr>
              <w:t>Fostering cooperation between businesses and training institutions for innovation and R&amp;D, joint educational planning</w:t>
            </w:r>
          </w:p>
        </w:tc>
      </w:tr>
      <w:tr w:rsidR="00EE4813" w:rsidRPr="001368E0" w:rsidTr="008C2056">
        <w:trPr>
          <w:trHeight w:val="215"/>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Promotion of skills development and lifelong learning</w:t>
            </w:r>
          </w:p>
        </w:tc>
      </w:tr>
      <w:tr w:rsidR="00EE4813" w:rsidRPr="001368E0" w:rsidTr="008C2056">
        <w:trPr>
          <w:trHeight w:val="190"/>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nil"/>
              <w:left w:val="nil"/>
              <w:bottom w:val="single" w:sz="4" w:space="0" w:color="auto"/>
              <w:right w:val="single" w:sz="8" w:space="0" w:color="auto"/>
            </w:tcBorders>
            <w:shd w:val="clear" w:color="auto" w:fill="auto"/>
            <w:vAlign w:val="bottom"/>
            <w:hideMark/>
          </w:tcPr>
          <w:p w:rsidR="00EE4813" w:rsidRPr="004408A1" w:rsidRDefault="00EE4813" w:rsidP="00205FC0">
            <w:pPr>
              <w:spacing w:after="0" w:line="200" w:lineRule="atLeast"/>
              <w:rPr>
                <w:rFonts w:ascii="Calibri" w:eastAsia="Times New Roman" w:hAnsi="Calibri"/>
                <w:color w:val="000000"/>
                <w:sz w:val="18"/>
                <w:szCs w:val="18"/>
                <w:lang w:val="en-GB"/>
              </w:rPr>
            </w:pPr>
            <w:r w:rsidRPr="004408A1">
              <w:rPr>
                <w:rFonts w:ascii="Calibri" w:eastAsia="Times New Roman" w:hAnsi="Calibri"/>
                <w:color w:val="000000"/>
                <w:sz w:val="18"/>
                <w:szCs w:val="18"/>
                <w:lang w:val="en-GB"/>
              </w:rPr>
              <w:t>Supporting local cooperation in education</w:t>
            </w:r>
          </w:p>
        </w:tc>
      </w:tr>
      <w:tr w:rsidR="00EE4813" w:rsidRPr="001368E0" w:rsidTr="008C2056">
        <w:trPr>
          <w:trHeight w:val="236"/>
        </w:trPr>
        <w:tc>
          <w:tcPr>
            <w:tcW w:w="3134" w:type="dxa"/>
            <w:vMerge/>
            <w:tcBorders>
              <w:left w:val="single" w:sz="8" w:space="0" w:color="auto"/>
              <w:bottom w:val="double" w:sz="6"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9BBB59"/>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Promotion of and support to research and innovation</w:t>
            </w:r>
          </w:p>
        </w:tc>
      </w:tr>
      <w:tr w:rsidR="00EE4813" w:rsidRPr="001368E0" w:rsidTr="00394215">
        <w:trPr>
          <w:trHeight w:val="185"/>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rsidR="00EE4813" w:rsidRPr="004408A1" w:rsidRDefault="00EE4813" w:rsidP="00394215">
            <w:pPr>
              <w:spacing w:after="0" w:line="240" w:lineRule="auto"/>
              <w:rPr>
                <w:rFonts w:ascii="Calibri" w:eastAsia="Times New Roman" w:hAnsi="Calibri"/>
                <w:sz w:val="20"/>
                <w:szCs w:val="20"/>
                <w:lang w:val="en-GB"/>
              </w:rPr>
            </w:pPr>
            <w:r w:rsidRPr="004408A1">
              <w:rPr>
                <w:rFonts w:ascii="Calibri" w:eastAsia="Times New Roman" w:hAnsi="Calibri"/>
                <w:sz w:val="20"/>
                <w:szCs w:val="20"/>
                <w:lang w:val="en-GB"/>
              </w:rPr>
              <w:t>3. Promotion of local culture and preservation of historical heritage </w:t>
            </w:r>
          </w:p>
        </w:tc>
        <w:tc>
          <w:tcPr>
            <w:tcW w:w="7796" w:type="dxa"/>
            <w:tcBorders>
              <w:top w:val="single" w:sz="4" w:space="0" w:color="4F81BD"/>
              <w:left w:val="single" w:sz="4" w:space="0" w:color="auto"/>
              <w:bottom w:val="single" w:sz="4" w:space="0" w:color="auto"/>
              <w:right w:val="single" w:sz="8" w:space="0" w:color="auto"/>
            </w:tcBorders>
            <w:shd w:val="clear" w:color="000000" w:fill="9BBB59"/>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Promoting local culture and history</w:t>
            </w:r>
          </w:p>
        </w:tc>
      </w:tr>
      <w:tr w:rsidR="00EE4813" w:rsidRPr="001368E0" w:rsidTr="008C2056">
        <w:trPr>
          <w:trHeight w:val="226"/>
        </w:trPr>
        <w:tc>
          <w:tcPr>
            <w:tcW w:w="3134" w:type="dxa"/>
            <w:vMerge/>
            <w:tcBorders>
              <w:left w:val="single" w:sz="8" w:space="0" w:color="auto"/>
              <w:bottom w:val="double" w:sz="6"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nil"/>
              <w:left w:val="nil"/>
              <w:bottom w:val="double" w:sz="6" w:space="0" w:color="auto"/>
              <w:right w:val="single" w:sz="8" w:space="0" w:color="auto"/>
            </w:tcBorders>
            <w:shd w:val="clear" w:color="auto" w:fill="auto"/>
            <w:vAlign w:val="bottom"/>
            <w:hideMark/>
          </w:tcPr>
          <w:p w:rsidR="00EE4813" w:rsidRPr="004408A1" w:rsidRDefault="00EE4813" w:rsidP="00205FC0">
            <w:pPr>
              <w:spacing w:after="0" w:line="200" w:lineRule="atLeast"/>
              <w:rPr>
                <w:rFonts w:ascii="Calibri" w:eastAsia="Times New Roman" w:hAnsi="Calibri"/>
                <w:color w:val="000000"/>
                <w:sz w:val="18"/>
                <w:szCs w:val="18"/>
                <w:lang w:val="en-GB"/>
              </w:rPr>
            </w:pPr>
            <w:r w:rsidRPr="004408A1">
              <w:rPr>
                <w:rFonts w:ascii="Calibri" w:eastAsia="Times New Roman" w:hAnsi="Calibri"/>
                <w:color w:val="000000"/>
                <w:sz w:val="18"/>
                <w:szCs w:val="18"/>
                <w:lang w:val="en-GB"/>
              </w:rPr>
              <w:t>Supporting traditional skills for local economic development</w:t>
            </w:r>
          </w:p>
        </w:tc>
      </w:tr>
      <w:tr w:rsidR="00EE4813" w:rsidRPr="001368E0" w:rsidTr="00394215">
        <w:trPr>
          <w:trHeight w:val="20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rsidR="00EE4813" w:rsidRPr="004408A1" w:rsidRDefault="00EE4813" w:rsidP="00394215">
            <w:pPr>
              <w:spacing w:after="0" w:line="240" w:lineRule="auto"/>
              <w:rPr>
                <w:rFonts w:ascii="Calibri" w:eastAsia="Times New Roman" w:hAnsi="Calibri"/>
                <w:sz w:val="20"/>
                <w:szCs w:val="20"/>
                <w:lang w:val="en-GB"/>
              </w:rPr>
            </w:pPr>
            <w:r w:rsidRPr="004408A1">
              <w:rPr>
                <w:rFonts w:ascii="Calibri" w:eastAsia="Times New Roman" w:hAnsi="Calibri"/>
                <w:sz w:val="20"/>
                <w:szCs w:val="20"/>
                <w:lang w:val="en-GB"/>
              </w:rPr>
              <w:t>4. Promotion of social inclusion and fight against poverty </w:t>
            </w:r>
          </w:p>
        </w:tc>
        <w:tc>
          <w:tcPr>
            <w:tcW w:w="7796" w:type="dxa"/>
            <w:tcBorders>
              <w:top w:val="single" w:sz="4" w:space="0" w:color="4F81BD"/>
              <w:left w:val="single" w:sz="4" w:space="0" w:color="auto"/>
              <w:bottom w:val="single" w:sz="4" w:space="0" w:color="auto"/>
              <w:right w:val="single" w:sz="8" w:space="0" w:color="auto"/>
            </w:tcBorders>
            <w:shd w:val="clear" w:color="000000" w:fill="9BBB59"/>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Support to the development of social services</w:t>
            </w:r>
          </w:p>
        </w:tc>
      </w:tr>
      <w:tr w:rsidR="00EE4813" w:rsidRPr="001368E0" w:rsidTr="002F7CE7">
        <w:trPr>
          <w:trHeight w:val="248"/>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Enhancing the access to social services</w:t>
            </w:r>
          </w:p>
        </w:tc>
      </w:tr>
      <w:tr w:rsidR="00EE4813" w:rsidRPr="001368E0" w:rsidTr="002F7CE7">
        <w:trPr>
          <w:trHeight w:val="139"/>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Promoting gender equality and equal opportunities</w:t>
            </w:r>
          </w:p>
        </w:tc>
      </w:tr>
      <w:tr w:rsidR="00EE4813" w:rsidRPr="001368E0" w:rsidTr="002F7CE7">
        <w:trPr>
          <w:trHeight w:val="212"/>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Support to the integration of immigrants and vulnerable groups</w:t>
            </w:r>
          </w:p>
        </w:tc>
      </w:tr>
      <w:tr w:rsidR="00EE4813" w:rsidRPr="001368E0" w:rsidTr="002F7CE7">
        <w:trPr>
          <w:trHeight w:val="258"/>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Promoting employment and supporting labour mobility</w:t>
            </w:r>
          </w:p>
        </w:tc>
      </w:tr>
      <w:tr w:rsidR="00EE4813" w:rsidRPr="001368E0" w:rsidTr="0080321C">
        <w:trPr>
          <w:trHeight w:val="290"/>
        </w:trPr>
        <w:tc>
          <w:tcPr>
            <w:tcW w:w="3134" w:type="dxa"/>
            <w:vMerge/>
            <w:tcBorders>
              <w:left w:val="single" w:sz="8" w:space="0" w:color="auto"/>
              <w:bottom w:val="double" w:sz="6"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C4D79B"/>
            <w:vAlign w:val="bottom"/>
            <w:hideMark/>
          </w:tcPr>
          <w:p w:rsidR="00EE4813" w:rsidRPr="008C2056" w:rsidRDefault="00EE4813" w:rsidP="00205FC0">
            <w:pPr>
              <w:spacing w:after="0" w:line="200" w:lineRule="atLeast"/>
              <w:rPr>
                <w:rFonts w:ascii="Calibri" w:eastAsia="Times New Roman" w:hAnsi="Calibri"/>
                <w:sz w:val="18"/>
                <w:szCs w:val="18"/>
              </w:rPr>
            </w:pPr>
            <w:r w:rsidRPr="008C2056">
              <w:rPr>
                <w:rFonts w:ascii="Calibri" w:eastAsia="Times New Roman" w:hAnsi="Calibri"/>
                <w:sz w:val="18"/>
                <w:szCs w:val="18"/>
              </w:rPr>
              <w:t>Stimulate employment for youth</w:t>
            </w:r>
          </w:p>
        </w:tc>
      </w:tr>
      <w:tr w:rsidR="00EE4813" w:rsidRPr="001368E0" w:rsidTr="00394215">
        <w:trPr>
          <w:trHeight w:val="28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rsidR="00EE4813" w:rsidRPr="004408A1" w:rsidRDefault="00EE4813" w:rsidP="00394215">
            <w:pPr>
              <w:spacing w:after="0" w:line="240" w:lineRule="auto"/>
              <w:rPr>
                <w:rFonts w:ascii="Calibri" w:eastAsia="Times New Roman" w:hAnsi="Calibri"/>
                <w:sz w:val="20"/>
                <w:szCs w:val="20"/>
                <w:lang w:val="en-GB"/>
              </w:rPr>
            </w:pPr>
            <w:r w:rsidRPr="004408A1">
              <w:rPr>
                <w:rFonts w:ascii="Calibri" w:eastAsia="Times New Roman" w:hAnsi="Calibri"/>
                <w:sz w:val="20"/>
                <w:szCs w:val="20"/>
                <w:lang w:val="en-GB"/>
              </w:rPr>
              <w:t>5. Support to local and regional good governance </w:t>
            </w:r>
          </w:p>
        </w:tc>
        <w:tc>
          <w:tcPr>
            <w:tcW w:w="7796" w:type="dxa"/>
            <w:tcBorders>
              <w:top w:val="single" w:sz="4" w:space="0" w:color="4F81BD"/>
              <w:left w:val="single" w:sz="4" w:space="0" w:color="auto"/>
              <w:bottom w:val="single" w:sz="4" w:space="0" w:color="auto"/>
              <w:right w:val="single" w:sz="8" w:space="0" w:color="auto"/>
            </w:tcBorders>
            <w:shd w:val="clear" w:color="000000" w:fill="C4D79B"/>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Increasing capacity of local and regional authorities and communities</w:t>
            </w:r>
          </w:p>
        </w:tc>
      </w:tr>
      <w:tr w:rsidR="00EE4813" w:rsidRPr="001368E0" w:rsidTr="0080321C">
        <w:trPr>
          <w:trHeight w:val="214"/>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nil"/>
              <w:left w:val="nil"/>
              <w:bottom w:val="single" w:sz="4" w:space="0" w:color="auto"/>
              <w:right w:val="single" w:sz="8" w:space="0" w:color="auto"/>
            </w:tcBorders>
            <w:shd w:val="clear" w:color="auto" w:fill="auto"/>
            <w:vAlign w:val="bottom"/>
            <w:hideMark/>
          </w:tcPr>
          <w:p w:rsidR="00EE4813" w:rsidRPr="008C2056" w:rsidRDefault="00EE4813" w:rsidP="00205FC0">
            <w:pPr>
              <w:spacing w:after="0" w:line="200" w:lineRule="atLeast"/>
              <w:rPr>
                <w:rFonts w:ascii="Calibri" w:eastAsia="Times New Roman" w:hAnsi="Calibri"/>
                <w:color w:val="000000"/>
                <w:sz w:val="18"/>
                <w:szCs w:val="18"/>
              </w:rPr>
            </w:pPr>
            <w:r w:rsidRPr="008C2056">
              <w:rPr>
                <w:rFonts w:ascii="Calibri" w:eastAsia="Times New Roman" w:hAnsi="Calibri"/>
                <w:color w:val="000000"/>
                <w:sz w:val="18"/>
                <w:szCs w:val="18"/>
              </w:rPr>
              <w:t>Coordination of planning activities</w:t>
            </w:r>
          </w:p>
        </w:tc>
      </w:tr>
      <w:tr w:rsidR="00EE4813" w:rsidRPr="001368E0" w:rsidTr="0080321C">
        <w:trPr>
          <w:trHeight w:val="190"/>
        </w:trPr>
        <w:tc>
          <w:tcPr>
            <w:tcW w:w="3134" w:type="dxa"/>
            <w:vMerge/>
            <w:tcBorders>
              <w:left w:val="single" w:sz="8" w:space="0" w:color="auto"/>
              <w:right w:val="single" w:sz="4" w:space="0" w:color="auto"/>
            </w:tcBorders>
            <w:shd w:val="clear" w:color="auto" w:fill="auto"/>
            <w:vAlign w:val="bottom"/>
            <w:hideMark/>
          </w:tcPr>
          <w:p w:rsidR="00EE4813" w:rsidRPr="00D43759" w:rsidRDefault="00EE4813" w:rsidP="00205FC0">
            <w:pPr>
              <w:spacing w:after="0" w:line="240" w:lineRule="auto"/>
              <w:rPr>
                <w:rFonts w:ascii="Calibri" w:eastAsia="Times New Roman" w:hAnsi="Calibri"/>
                <w:sz w:val="20"/>
                <w:szCs w:val="20"/>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rsidR="00EE4813" w:rsidRPr="008C2056" w:rsidRDefault="00EE4813" w:rsidP="00205FC0">
            <w:pPr>
              <w:spacing w:after="0" w:line="200" w:lineRule="atLeast"/>
              <w:rPr>
                <w:rFonts w:ascii="Calibri" w:eastAsia="Times New Roman" w:hAnsi="Calibri"/>
                <w:sz w:val="18"/>
                <w:szCs w:val="18"/>
              </w:rPr>
            </w:pPr>
            <w:r w:rsidRPr="008C2056">
              <w:rPr>
                <w:rFonts w:ascii="Calibri" w:eastAsia="Times New Roman" w:hAnsi="Calibri"/>
                <w:sz w:val="18"/>
                <w:szCs w:val="18"/>
              </w:rPr>
              <w:t>Support to regional integration</w:t>
            </w:r>
          </w:p>
        </w:tc>
      </w:tr>
      <w:tr w:rsidR="00EE4813" w:rsidRPr="001368E0" w:rsidTr="0080321C">
        <w:trPr>
          <w:trHeight w:val="192"/>
        </w:trPr>
        <w:tc>
          <w:tcPr>
            <w:tcW w:w="3134" w:type="dxa"/>
            <w:vMerge/>
            <w:tcBorders>
              <w:left w:val="single" w:sz="8" w:space="0" w:color="auto"/>
              <w:bottom w:val="double" w:sz="6" w:space="0" w:color="auto"/>
              <w:right w:val="single" w:sz="4" w:space="0" w:color="auto"/>
            </w:tcBorders>
            <w:shd w:val="clear" w:color="auto" w:fill="auto"/>
            <w:vAlign w:val="bottom"/>
            <w:hideMark/>
          </w:tcPr>
          <w:p w:rsidR="00EE4813" w:rsidRPr="00D43759" w:rsidRDefault="00EE4813" w:rsidP="00205FC0">
            <w:pPr>
              <w:spacing w:after="0" w:line="240" w:lineRule="auto"/>
              <w:rPr>
                <w:rFonts w:ascii="Calibri" w:eastAsia="Times New Roman" w:hAnsi="Calibri"/>
                <w:sz w:val="20"/>
                <w:szCs w:val="20"/>
              </w:rPr>
            </w:pPr>
          </w:p>
        </w:tc>
        <w:tc>
          <w:tcPr>
            <w:tcW w:w="7796" w:type="dxa"/>
            <w:tcBorders>
              <w:top w:val="nil"/>
              <w:left w:val="nil"/>
              <w:bottom w:val="double" w:sz="6" w:space="0" w:color="auto"/>
              <w:right w:val="single" w:sz="8" w:space="0" w:color="auto"/>
            </w:tcBorders>
            <w:shd w:val="clear" w:color="auto" w:fill="auto"/>
            <w:vAlign w:val="bottom"/>
            <w:hideMark/>
          </w:tcPr>
          <w:p w:rsidR="00EE4813" w:rsidRPr="004408A1" w:rsidRDefault="00EE4813" w:rsidP="00205FC0">
            <w:pPr>
              <w:spacing w:after="0" w:line="200" w:lineRule="atLeast"/>
              <w:rPr>
                <w:rFonts w:ascii="Calibri" w:eastAsia="Times New Roman" w:hAnsi="Calibri"/>
                <w:color w:val="000000"/>
                <w:sz w:val="18"/>
                <w:szCs w:val="18"/>
                <w:lang w:val="en-GB"/>
              </w:rPr>
            </w:pPr>
            <w:r w:rsidRPr="004408A1">
              <w:rPr>
                <w:rFonts w:ascii="Calibri" w:eastAsia="Times New Roman" w:hAnsi="Calibri"/>
                <w:color w:val="000000"/>
                <w:sz w:val="18"/>
                <w:szCs w:val="18"/>
                <w:lang w:val="en-GB"/>
              </w:rPr>
              <w:t>Promoting legal and administrative cooperation</w:t>
            </w:r>
          </w:p>
        </w:tc>
      </w:tr>
      <w:tr w:rsidR="00EE4813" w:rsidRPr="001368E0" w:rsidTr="00394215">
        <w:trPr>
          <w:trHeight w:val="211"/>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rsidR="00EE4813" w:rsidRPr="00D43759" w:rsidRDefault="0047244B" w:rsidP="00AE352F">
            <w:pPr>
              <w:spacing w:after="0" w:line="240" w:lineRule="auto"/>
              <w:rPr>
                <w:rFonts w:ascii="Calibri" w:eastAsia="Times New Roman" w:hAnsi="Calibri"/>
                <w:sz w:val="20"/>
                <w:szCs w:val="20"/>
              </w:rPr>
            </w:pPr>
            <w:r>
              <w:rPr>
                <w:rFonts w:ascii="Calibri" w:eastAsia="Times New Roman" w:hAnsi="Calibri"/>
                <w:sz w:val="20"/>
                <w:szCs w:val="20"/>
              </w:rPr>
              <w:t>6. Environmental protection and</w:t>
            </w:r>
            <w:r w:rsidR="00EE4813" w:rsidRPr="00D43759">
              <w:rPr>
                <w:rFonts w:ascii="Calibri" w:eastAsia="Times New Roman" w:hAnsi="Calibri"/>
                <w:sz w:val="20"/>
                <w:szCs w:val="20"/>
              </w:rPr>
              <w:t xml:space="preserve"> climate </w:t>
            </w:r>
            <w:r>
              <w:rPr>
                <w:rFonts w:ascii="Calibri" w:eastAsia="Times New Roman" w:hAnsi="Calibri"/>
                <w:sz w:val="20"/>
                <w:szCs w:val="20"/>
              </w:rPr>
              <w:t>change adaptation</w:t>
            </w:r>
            <w:r w:rsidR="00EE4813" w:rsidRPr="00D43759">
              <w:rPr>
                <w:rFonts w:ascii="Calibri" w:eastAsia="Times New Roman" w:hAnsi="Calibri"/>
                <w:sz w:val="20"/>
                <w:szCs w:val="20"/>
              </w:rPr>
              <w:t> </w:t>
            </w:r>
          </w:p>
        </w:tc>
        <w:tc>
          <w:tcPr>
            <w:tcW w:w="7796" w:type="dxa"/>
            <w:tcBorders>
              <w:top w:val="single" w:sz="4" w:space="0" w:color="4F81BD"/>
              <w:left w:val="single" w:sz="4" w:space="0" w:color="auto"/>
              <w:bottom w:val="single" w:sz="4" w:space="0" w:color="auto"/>
              <w:right w:val="single" w:sz="8" w:space="0" w:color="auto"/>
            </w:tcBorders>
            <w:shd w:val="clear" w:color="000000" w:fill="9BBB59"/>
            <w:vAlign w:val="bottom"/>
            <w:hideMark/>
          </w:tcPr>
          <w:p w:rsidR="00EE4813" w:rsidRPr="008C2056" w:rsidRDefault="00EE4813" w:rsidP="00205FC0">
            <w:pPr>
              <w:spacing w:after="0" w:line="200" w:lineRule="atLeast"/>
              <w:rPr>
                <w:rFonts w:ascii="Calibri" w:eastAsia="Times New Roman" w:hAnsi="Calibri"/>
                <w:sz w:val="18"/>
                <w:szCs w:val="18"/>
              </w:rPr>
            </w:pPr>
            <w:r w:rsidRPr="008C2056">
              <w:rPr>
                <w:rFonts w:ascii="Calibri" w:eastAsia="Times New Roman" w:hAnsi="Calibri"/>
                <w:sz w:val="18"/>
                <w:szCs w:val="18"/>
              </w:rPr>
              <w:t>Joint actions for environmental protection</w:t>
            </w:r>
          </w:p>
        </w:tc>
      </w:tr>
      <w:tr w:rsidR="00EE4813" w:rsidRPr="001368E0" w:rsidTr="002F7CE7">
        <w:trPr>
          <w:trHeight w:val="252"/>
        </w:trPr>
        <w:tc>
          <w:tcPr>
            <w:tcW w:w="3134" w:type="dxa"/>
            <w:vMerge/>
            <w:tcBorders>
              <w:left w:val="single" w:sz="8" w:space="0" w:color="auto"/>
              <w:right w:val="single" w:sz="4" w:space="0" w:color="auto"/>
            </w:tcBorders>
            <w:shd w:val="clear" w:color="auto" w:fill="auto"/>
            <w:vAlign w:val="bottom"/>
            <w:hideMark/>
          </w:tcPr>
          <w:p w:rsidR="00EE4813" w:rsidRPr="00D43759" w:rsidRDefault="00EE4813" w:rsidP="00205FC0">
            <w:pPr>
              <w:spacing w:after="0" w:line="240" w:lineRule="auto"/>
              <w:rPr>
                <w:rFonts w:ascii="Calibri" w:eastAsia="Times New Roman" w:hAnsi="Calibri"/>
                <w:sz w:val="20"/>
                <w:szCs w:val="20"/>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Preservation and sustainable use of natural resources</w:t>
            </w:r>
          </w:p>
        </w:tc>
      </w:tr>
      <w:tr w:rsidR="00EE4813" w:rsidRPr="001368E0" w:rsidTr="002F7CE7">
        <w:trPr>
          <w:trHeight w:val="154"/>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Support to energy efficiency and to the use of renewable energy</w:t>
            </w:r>
          </w:p>
        </w:tc>
      </w:tr>
      <w:tr w:rsidR="00EE4813" w:rsidRPr="001368E0" w:rsidTr="002F7CE7">
        <w:trPr>
          <w:trHeight w:val="204"/>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Promotion of a low carbon economy</w:t>
            </w:r>
          </w:p>
        </w:tc>
      </w:tr>
      <w:tr w:rsidR="00EE4813" w:rsidRPr="001368E0" w:rsidTr="002F7CE7">
        <w:trPr>
          <w:trHeight w:val="132"/>
        </w:trPr>
        <w:tc>
          <w:tcPr>
            <w:tcW w:w="3134" w:type="dxa"/>
            <w:vMerge/>
            <w:tcBorders>
              <w:left w:val="single" w:sz="8" w:space="0" w:color="auto"/>
              <w:bottom w:val="double" w:sz="6"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9BBB59"/>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Support to sustainable waste and waste water management systems</w:t>
            </w:r>
          </w:p>
        </w:tc>
      </w:tr>
      <w:tr w:rsidR="00EE4813" w:rsidRPr="001368E0" w:rsidTr="00394215">
        <w:trPr>
          <w:trHeight w:val="30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rsidR="008C2056" w:rsidRPr="004408A1" w:rsidRDefault="00EE4813" w:rsidP="00394215">
            <w:pPr>
              <w:spacing w:after="0" w:line="240" w:lineRule="auto"/>
              <w:rPr>
                <w:rFonts w:ascii="Calibri" w:eastAsia="Times New Roman" w:hAnsi="Calibri"/>
                <w:sz w:val="20"/>
                <w:szCs w:val="20"/>
                <w:lang w:val="en-GB"/>
              </w:rPr>
            </w:pPr>
            <w:r w:rsidRPr="004408A1">
              <w:rPr>
                <w:rFonts w:ascii="Calibri" w:eastAsia="Times New Roman" w:hAnsi="Calibri"/>
                <w:sz w:val="20"/>
                <w:szCs w:val="20"/>
                <w:lang w:val="en-GB"/>
              </w:rPr>
              <w:t>7. Improvement of accessibility to the regions, development of transport and communication networks and systems </w:t>
            </w:r>
          </w:p>
        </w:tc>
        <w:tc>
          <w:tcPr>
            <w:tcW w:w="7796" w:type="dxa"/>
            <w:tcBorders>
              <w:top w:val="single" w:sz="4" w:space="0" w:color="4F81BD"/>
              <w:left w:val="single" w:sz="4" w:space="0" w:color="auto"/>
              <w:bottom w:val="single" w:sz="4" w:space="0" w:color="auto"/>
              <w:right w:val="single" w:sz="8" w:space="0" w:color="auto"/>
            </w:tcBorders>
            <w:shd w:val="clear" w:color="000000" w:fill="C4D79B"/>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Improving the mobility of persons and goods</w:t>
            </w:r>
          </w:p>
        </w:tc>
      </w:tr>
      <w:tr w:rsidR="00EE4813" w:rsidRPr="001368E0" w:rsidTr="008C2056">
        <w:trPr>
          <w:trHeight w:val="300"/>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sz w:val="20"/>
                <w:szCs w:val="20"/>
                <w:lang w:val="en-GB"/>
              </w:rPr>
            </w:pPr>
          </w:p>
        </w:tc>
        <w:tc>
          <w:tcPr>
            <w:tcW w:w="7796" w:type="dxa"/>
            <w:tcBorders>
              <w:top w:val="single" w:sz="4" w:space="0" w:color="auto"/>
              <w:left w:val="single" w:sz="4" w:space="0" w:color="auto"/>
              <w:bottom w:val="nil"/>
              <w:right w:val="single" w:sz="8" w:space="0" w:color="auto"/>
            </w:tcBorders>
            <w:shd w:val="clear" w:color="000000" w:fill="9BBB59"/>
            <w:vAlign w:val="bottom"/>
            <w:hideMark/>
          </w:tcPr>
          <w:p w:rsidR="00EE4813" w:rsidRPr="008C2056" w:rsidRDefault="00EE4813" w:rsidP="00205FC0">
            <w:pPr>
              <w:spacing w:after="0" w:line="200" w:lineRule="atLeast"/>
              <w:rPr>
                <w:rFonts w:ascii="Calibri" w:eastAsia="Times New Roman" w:hAnsi="Calibri"/>
                <w:sz w:val="18"/>
                <w:szCs w:val="18"/>
              </w:rPr>
            </w:pPr>
            <w:r w:rsidRPr="008C2056">
              <w:rPr>
                <w:rFonts w:ascii="Calibri" w:eastAsia="Times New Roman" w:hAnsi="Calibri"/>
                <w:sz w:val="18"/>
                <w:szCs w:val="18"/>
              </w:rPr>
              <w:t>Developing transport services and infrastructures</w:t>
            </w:r>
          </w:p>
        </w:tc>
      </w:tr>
      <w:tr w:rsidR="00EE4813" w:rsidRPr="001368E0" w:rsidTr="008C2056">
        <w:trPr>
          <w:trHeight w:val="238"/>
        </w:trPr>
        <w:tc>
          <w:tcPr>
            <w:tcW w:w="3134" w:type="dxa"/>
            <w:vMerge/>
            <w:tcBorders>
              <w:left w:val="single" w:sz="8" w:space="0" w:color="auto"/>
              <w:bottom w:val="double" w:sz="6" w:space="0" w:color="auto"/>
              <w:right w:val="single" w:sz="4" w:space="0" w:color="auto"/>
            </w:tcBorders>
            <w:shd w:val="clear" w:color="auto" w:fill="auto"/>
            <w:vAlign w:val="bottom"/>
            <w:hideMark/>
          </w:tcPr>
          <w:p w:rsidR="00EE4813" w:rsidRPr="00D43759" w:rsidRDefault="00EE4813" w:rsidP="00205FC0">
            <w:pPr>
              <w:spacing w:after="0" w:line="240" w:lineRule="auto"/>
              <w:rPr>
                <w:rFonts w:ascii="Calibri" w:eastAsia="Times New Roman" w:hAnsi="Calibri"/>
                <w:sz w:val="20"/>
                <w:szCs w:val="20"/>
              </w:rPr>
            </w:pPr>
          </w:p>
        </w:tc>
        <w:tc>
          <w:tcPr>
            <w:tcW w:w="7796" w:type="dxa"/>
            <w:tcBorders>
              <w:top w:val="single" w:sz="4" w:space="0" w:color="auto"/>
              <w:left w:val="single" w:sz="4" w:space="0" w:color="auto"/>
              <w:bottom w:val="double" w:sz="6" w:space="0" w:color="auto"/>
              <w:right w:val="single" w:sz="8" w:space="0" w:color="auto"/>
            </w:tcBorders>
            <w:shd w:val="clear" w:color="000000" w:fill="C4D79B"/>
            <w:vAlign w:val="bottom"/>
            <w:hideMark/>
          </w:tcPr>
          <w:p w:rsidR="00EE4813" w:rsidRPr="008C2056" w:rsidRDefault="00EE4813" w:rsidP="00205FC0">
            <w:pPr>
              <w:spacing w:after="0" w:line="200" w:lineRule="atLeast"/>
              <w:rPr>
                <w:rFonts w:ascii="Calibri" w:eastAsia="Times New Roman" w:hAnsi="Calibri"/>
                <w:sz w:val="18"/>
                <w:szCs w:val="18"/>
              </w:rPr>
            </w:pPr>
            <w:r w:rsidRPr="008C2056">
              <w:rPr>
                <w:rFonts w:ascii="Calibri" w:eastAsia="Times New Roman" w:hAnsi="Calibri"/>
                <w:sz w:val="18"/>
                <w:szCs w:val="18"/>
              </w:rPr>
              <w:t>Developping ICT infrastructure</w:t>
            </w:r>
          </w:p>
        </w:tc>
      </w:tr>
      <w:tr w:rsidR="00EE4813" w:rsidRPr="001368E0" w:rsidTr="00394215">
        <w:trPr>
          <w:trHeight w:val="23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rsidR="00EE4813" w:rsidRPr="004408A1" w:rsidRDefault="00EE4813" w:rsidP="00394215">
            <w:pPr>
              <w:spacing w:after="0" w:line="240" w:lineRule="auto"/>
              <w:rPr>
                <w:rFonts w:ascii="Calibri" w:eastAsia="Times New Roman" w:hAnsi="Calibri"/>
                <w:sz w:val="20"/>
                <w:szCs w:val="20"/>
                <w:lang w:val="en-GB"/>
              </w:rPr>
            </w:pPr>
            <w:r w:rsidRPr="004408A1">
              <w:rPr>
                <w:rFonts w:ascii="Calibri" w:eastAsia="Times New Roman" w:hAnsi="Calibri"/>
                <w:sz w:val="20"/>
                <w:szCs w:val="20"/>
                <w:lang w:val="en-GB"/>
              </w:rPr>
              <w:t>8. Common challenges in the field of safety and security  </w:t>
            </w:r>
          </w:p>
        </w:tc>
        <w:tc>
          <w:tcPr>
            <w:tcW w:w="7796" w:type="dxa"/>
            <w:tcBorders>
              <w:top w:val="single" w:sz="4" w:space="0" w:color="auto"/>
              <w:left w:val="single" w:sz="4" w:space="0" w:color="auto"/>
              <w:bottom w:val="nil"/>
              <w:right w:val="single" w:sz="8" w:space="0" w:color="auto"/>
            </w:tcBorders>
            <w:shd w:val="clear" w:color="000000" w:fill="9BBB59"/>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Support to the development of health</w:t>
            </w:r>
          </w:p>
        </w:tc>
      </w:tr>
      <w:tr w:rsidR="00EE4813" w:rsidRPr="001368E0" w:rsidTr="008C2056">
        <w:trPr>
          <w:trHeight w:val="300"/>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color w:val="000000"/>
                <w:sz w:val="20"/>
                <w:szCs w:val="20"/>
                <w:lang w:val="en-GB"/>
              </w:rPr>
            </w:pPr>
          </w:p>
        </w:tc>
        <w:tc>
          <w:tcPr>
            <w:tcW w:w="7796" w:type="dxa"/>
            <w:tcBorders>
              <w:top w:val="single" w:sz="4" w:space="0" w:color="auto"/>
              <w:left w:val="single" w:sz="4" w:space="0" w:color="auto"/>
              <w:bottom w:val="nil"/>
              <w:right w:val="single" w:sz="8" w:space="0" w:color="auto"/>
            </w:tcBorders>
            <w:shd w:val="clear" w:color="000000" w:fill="9BBB59"/>
            <w:vAlign w:val="bottom"/>
            <w:hideMark/>
          </w:tcPr>
          <w:p w:rsidR="00EE4813" w:rsidRPr="004408A1" w:rsidRDefault="00EE4813" w:rsidP="00205FC0">
            <w:pPr>
              <w:spacing w:after="0" w:line="200" w:lineRule="atLeast"/>
              <w:rPr>
                <w:rFonts w:ascii="Calibri" w:eastAsia="Times New Roman" w:hAnsi="Calibri"/>
                <w:sz w:val="18"/>
                <w:szCs w:val="18"/>
                <w:lang w:val="en-GB"/>
              </w:rPr>
            </w:pPr>
            <w:r w:rsidRPr="004408A1">
              <w:rPr>
                <w:rFonts w:ascii="Calibri" w:eastAsia="Times New Roman" w:hAnsi="Calibri"/>
                <w:sz w:val="18"/>
                <w:szCs w:val="18"/>
                <w:lang w:val="en-GB"/>
              </w:rPr>
              <w:t>Enhancing the access to health</w:t>
            </w:r>
          </w:p>
        </w:tc>
      </w:tr>
      <w:tr w:rsidR="00EE4813" w:rsidRPr="001368E0" w:rsidTr="008C2056">
        <w:trPr>
          <w:trHeight w:val="280"/>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color w:val="000000"/>
                <w:sz w:val="20"/>
                <w:szCs w:val="20"/>
                <w:lang w:val="en-GB"/>
              </w:rPr>
            </w:pPr>
          </w:p>
        </w:tc>
        <w:tc>
          <w:tcPr>
            <w:tcW w:w="7796" w:type="dxa"/>
            <w:tcBorders>
              <w:top w:val="single" w:sz="4" w:space="0" w:color="auto"/>
              <w:left w:val="nil"/>
              <w:bottom w:val="nil"/>
              <w:right w:val="single" w:sz="8" w:space="0" w:color="auto"/>
            </w:tcBorders>
            <w:shd w:val="clear" w:color="auto" w:fill="auto"/>
            <w:vAlign w:val="bottom"/>
            <w:hideMark/>
          </w:tcPr>
          <w:p w:rsidR="00EE4813" w:rsidRPr="004408A1" w:rsidRDefault="00EE4813" w:rsidP="00205FC0">
            <w:pPr>
              <w:spacing w:after="0" w:line="200" w:lineRule="atLeast"/>
              <w:rPr>
                <w:rFonts w:ascii="Calibri" w:eastAsia="Times New Roman" w:hAnsi="Calibri"/>
                <w:color w:val="000000"/>
                <w:sz w:val="18"/>
                <w:szCs w:val="18"/>
                <w:lang w:val="en-GB"/>
              </w:rPr>
            </w:pPr>
            <w:r w:rsidRPr="004408A1">
              <w:rPr>
                <w:rFonts w:ascii="Calibri" w:eastAsia="Times New Roman" w:hAnsi="Calibri"/>
                <w:color w:val="000000"/>
                <w:sz w:val="18"/>
                <w:szCs w:val="18"/>
                <w:lang w:val="en-GB"/>
              </w:rPr>
              <w:t>Prevention and fight against organised crime</w:t>
            </w:r>
          </w:p>
        </w:tc>
      </w:tr>
      <w:tr w:rsidR="00EE4813" w:rsidRPr="001368E0" w:rsidTr="008C2056">
        <w:trPr>
          <w:trHeight w:val="243"/>
        </w:trPr>
        <w:tc>
          <w:tcPr>
            <w:tcW w:w="3134" w:type="dxa"/>
            <w:vMerge/>
            <w:tcBorders>
              <w:left w:val="single" w:sz="8" w:space="0" w:color="auto"/>
              <w:right w:val="single" w:sz="4" w:space="0" w:color="auto"/>
            </w:tcBorders>
            <w:shd w:val="clear" w:color="auto" w:fill="auto"/>
            <w:vAlign w:val="bottom"/>
            <w:hideMark/>
          </w:tcPr>
          <w:p w:rsidR="00EE4813" w:rsidRPr="004408A1" w:rsidRDefault="00EE4813" w:rsidP="00205FC0">
            <w:pPr>
              <w:spacing w:after="0" w:line="240" w:lineRule="auto"/>
              <w:rPr>
                <w:rFonts w:ascii="Calibri" w:eastAsia="Times New Roman" w:hAnsi="Calibri"/>
                <w:color w:val="000000"/>
                <w:sz w:val="20"/>
                <w:szCs w:val="20"/>
                <w:lang w:val="en-GB"/>
              </w:rPr>
            </w:pPr>
          </w:p>
        </w:tc>
        <w:tc>
          <w:tcPr>
            <w:tcW w:w="7796" w:type="dxa"/>
            <w:tcBorders>
              <w:top w:val="single" w:sz="4" w:space="0" w:color="auto"/>
              <w:left w:val="nil"/>
              <w:bottom w:val="nil"/>
              <w:right w:val="single" w:sz="8" w:space="0" w:color="auto"/>
            </w:tcBorders>
            <w:shd w:val="clear" w:color="auto" w:fill="auto"/>
            <w:vAlign w:val="bottom"/>
            <w:hideMark/>
          </w:tcPr>
          <w:p w:rsidR="00EE4813" w:rsidRPr="008C2056" w:rsidRDefault="00EE4813" w:rsidP="00205FC0">
            <w:pPr>
              <w:spacing w:after="0" w:line="200" w:lineRule="atLeast"/>
              <w:rPr>
                <w:rFonts w:ascii="Calibri" w:eastAsia="Times New Roman" w:hAnsi="Calibri"/>
                <w:color w:val="000000"/>
                <w:sz w:val="18"/>
                <w:szCs w:val="18"/>
              </w:rPr>
            </w:pPr>
            <w:r w:rsidRPr="008C2056">
              <w:rPr>
                <w:rFonts w:ascii="Calibri" w:eastAsia="Times New Roman" w:hAnsi="Calibri"/>
                <w:color w:val="000000"/>
                <w:sz w:val="18"/>
                <w:szCs w:val="18"/>
              </w:rPr>
              <w:t>Police cooperation (exchange of intelligence information, etc.)</w:t>
            </w:r>
          </w:p>
        </w:tc>
      </w:tr>
      <w:tr w:rsidR="00EE4813" w:rsidRPr="001368E0" w:rsidTr="008C2056">
        <w:trPr>
          <w:trHeight w:val="430"/>
        </w:trPr>
        <w:tc>
          <w:tcPr>
            <w:tcW w:w="3134" w:type="dxa"/>
            <w:vMerge/>
            <w:tcBorders>
              <w:left w:val="single" w:sz="8" w:space="0" w:color="auto"/>
              <w:bottom w:val="double" w:sz="6" w:space="0" w:color="auto"/>
              <w:right w:val="single" w:sz="4" w:space="0" w:color="auto"/>
            </w:tcBorders>
            <w:shd w:val="clear" w:color="auto" w:fill="auto"/>
            <w:vAlign w:val="bottom"/>
            <w:hideMark/>
          </w:tcPr>
          <w:p w:rsidR="00EE4813" w:rsidRPr="00EE4813" w:rsidRDefault="00EE4813" w:rsidP="00205FC0">
            <w:pPr>
              <w:spacing w:after="0" w:line="240" w:lineRule="auto"/>
              <w:rPr>
                <w:rFonts w:ascii="Calibri" w:eastAsia="Times New Roman" w:hAnsi="Calibri"/>
                <w:color w:val="000000"/>
                <w:sz w:val="20"/>
                <w:szCs w:val="20"/>
              </w:rPr>
            </w:pPr>
          </w:p>
        </w:tc>
        <w:tc>
          <w:tcPr>
            <w:tcW w:w="7796" w:type="dxa"/>
            <w:tcBorders>
              <w:top w:val="single" w:sz="4" w:space="0" w:color="auto"/>
              <w:left w:val="nil"/>
              <w:bottom w:val="double" w:sz="6" w:space="0" w:color="auto"/>
              <w:right w:val="single" w:sz="8" w:space="0" w:color="auto"/>
            </w:tcBorders>
            <w:shd w:val="clear" w:color="auto" w:fill="auto"/>
            <w:vAlign w:val="bottom"/>
            <w:hideMark/>
          </w:tcPr>
          <w:p w:rsidR="00EE4813" w:rsidRPr="004408A1" w:rsidRDefault="00EE4813" w:rsidP="00205FC0">
            <w:pPr>
              <w:spacing w:after="0" w:line="200" w:lineRule="atLeast"/>
              <w:rPr>
                <w:rFonts w:ascii="Calibri" w:eastAsia="Times New Roman" w:hAnsi="Calibri"/>
                <w:color w:val="000000"/>
                <w:sz w:val="18"/>
                <w:szCs w:val="18"/>
                <w:lang w:val="en-GB"/>
              </w:rPr>
            </w:pPr>
            <w:r w:rsidRPr="004408A1">
              <w:rPr>
                <w:rFonts w:ascii="Calibri" w:eastAsia="Times New Roman" w:hAnsi="Calibri"/>
                <w:color w:val="000000"/>
                <w:sz w:val="18"/>
                <w:szCs w:val="18"/>
                <w:lang w:val="en-GB"/>
              </w:rPr>
              <w:t>Support to the joint activities for the prevention of natural and man-made disasters as well as joint action during emergency situations</w:t>
            </w:r>
          </w:p>
        </w:tc>
      </w:tr>
      <w:tr w:rsidR="00205FC0" w:rsidRPr="001368E0" w:rsidTr="00AE352F">
        <w:trPr>
          <w:trHeight w:val="219"/>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rsidR="00205FC0" w:rsidRPr="00EE4813" w:rsidRDefault="00205FC0" w:rsidP="00AE352F">
            <w:pPr>
              <w:spacing w:after="0" w:line="240" w:lineRule="auto"/>
              <w:rPr>
                <w:rFonts w:ascii="Calibri" w:eastAsia="Times New Roman" w:hAnsi="Calibri"/>
                <w:color w:val="000000"/>
                <w:sz w:val="20"/>
                <w:szCs w:val="20"/>
              </w:rPr>
            </w:pPr>
            <w:r w:rsidRPr="00EE4813">
              <w:rPr>
                <w:rFonts w:ascii="Calibri" w:eastAsia="Times New Roman" w:hAnsi="Calibri"/>
                <w:color w:val="000000"/>
                <w:sz w:val="20"/>
                <w:szCs w:val="20"/>
              </w:rPr>
              <w:t>9. Promotion of energy cooperation </w:t>
            </w:r>
          </w:p>
        </w:tc>
        <w:tc>
          <w:tcPr>
            <w:tcW w:w="7796" w:type="dxa"/>
            <w:tcBorders>
              <w:top w:val="single" w:sz="4" w:space="0" w:color="4F81BD"/>
              <w:left w:val="single" w:sz="4" w:space="0" w:color="auto"/>
              <w:bottom w:val="nil"/>
              <w:right w:val="single" w:sz="8" w:space="0" w:color="auto"/>
            </w:tcBorders>
            <w:shd w:val="clear" w:color="auto" w:fill="auto"/>
            <w:vAlign w:val="bottom"/>
            <w:hideMark/>
          </w:tcPr>
          <w:p w:rsidR="00205FC0" w:rsidRPr="008C2056" w:rsidRDefault="00205FC0" w:rsidP="00205FC0">
            <w:pPr>
              <w:spacing w:after="0" w:line="200" w:lineRule="atLeast"/>
              <w:rPr>
                <w:rFonts w:ascii="Calibri" w:eastAsia="Times New Roman" w:hAnsi="Calibri"/>
                <w:color w:val="000000"/>
                <w:sz w:val="18"/>
                <w:szCs w:val="18"/>
              </w:rPr>
            </w:pPr>
            <w:r w:rsidRPr="008C2056">
              <w:rPr>
                <w:rFonts w:ascii="Calibri" w:eastAsia="Times New Roman" w:hAnsi="Calibri"/>
                <w:color w:val="000000"/>
                <w:sz w:val="18"/>
                <w:szCs w:val="18"/>
              </w:rPr>
              <w:t>Energy cooperation</w:t>
            </w:r>
          </w:p>
        </w:tc>
      </w:tr>
      <w:tr w:rsidR="00205FC0" w:rsidRPr="001368E0" w:rsidTr="008C2056">
        <w:trPr>
          <w:trHeight w:val="174"/>
        </w:trPr>
        <w:tc>
          <w:tcPr>
            <w:tcW w:w="3134" w:type="dxa"/>
            <w:vMerge/>
            <w:tcBorders>
              <w:left w:val="single" w:sz="8" w:space="0" w:color="auto"/>
              <w:right w:val="single" w:sz="4" w:space="0" w:color="auto"/>
            </w:tcBorders>
            <w:shd w:val="clear" w:color="auto" w:fill="auto"/>
            <w:vAlign w:val="bottom"/>
            <w:hideMark/>
          </w:tcPr>
          <w:p w:rsidR="00205FC0" w:rsidRPr="00EE4813" w:rsidRDefault="00205FC0" w:rsidP="00205FC0">
            <w:pPr>
              <w:spacing w:after="0" w:line="240" w:lineRule="auto"/>
              <w:rPr>
                <w:rFonts w:ascii="Calibri" w:eastAsia="Times New Roman" w:hAnsi="Calibri"/>
                <w:color w:val="000000"/>
                <w:sz w:val="20"/>
                <w:szCs w:val="20"/>
              </w:rPr>
            </w:pPr>
          </w:p>
        </w:tc>
        <w:tc>
          <w:tcPr>
            <w:tcW w:w="7796" w:type="dxa"/>
            <w:tcBorders>
              <w:top w:val="single" w:sz="4" w:space="0" w:color="auto"/>
              <w:left w:val="nil"/>
              <w:bottom w:val="nil"/>
              <w:right w:val="single" w:sz="8" w:space="0" w:color="auto"/>
            </w:tcBorders>
            <w:shd w:val="clear" w:color="auto" w:fill="auto"/>
            <w:vAlign w:val="bottom"/>
            <w:hideMark/>
          </w:tcPr>
          <w:p w:rsidR="00205FC0" w:rsidRPr="008C2056" w:rsidRDefault="00205FC0" w:rsidP="00205FC0">
            <w:pPr>
              <w:spacing w:after="0" w:line="200" w:lineRule="atLeast"/>
              <w:rPr>
                <w:rFonts w:ascii="Calibri" w:eastAsia="Times New Roman" w:hAnsi="Calibri"/>
                <w:color w:val="000000"/>
                <w:sz w:val="18"/>
                <w:szCs w:val="18"/>
              </w:rPr>
            </w:pPr>
            <w:r w:rsidRPr="008C2056">
              <w:rPr>
                <w:rFonts w:ascii="Calibri" w:eastAsia="Times New Roman" w:hAnsi="Calibri"/>
                <w:color w:val="000000"/>
                <w:sz w:val="18"/>
                <w:szCs w:val="18"/>
              </w:rPr>
              <w:t>Energy transmission</w:t>
            </w:r>
          </w:p>
        </w:tc>
      </w:tr>
      <w:tr w:rsidR="00205FC0" w:rsidRPr="001368E0" w:rsidTr="008C2056">
        <w:trPr>
          <w:trHeight w:val="231"/>
        </w:trPr>
        <w:tc>
          <w:tcPr>
            <w:tcW w:w="3134" w:type="dxa"/>
            <w:vMerge/>
            <w:tcBorders>
              <w:left w:val="single" w:sz="8" w:space="0" w:color="auto"/>
              <w:bottom w:val="double" w:sz="6" w:space="0" w:color="auto"/>
              <w:right w:val="single" w:sz="4" w:space="0" w:color="auto"/>
            </w:tcBorders>
            <w:shd w:val="clear" w:color="auto" w:fill="auto"/>
            <w:vAlign w:val="bottom"/>
            <w:hideMark/>
          </w:tcPr>
          <w:p w:rsidR="00205FC0" w:rsidRPr="00EE4813" w:rsidRDefault="00205FC0" w:rsidP="00205FC0">
            <w:pPr>
              <w:spacing w:after="0" w:line="240" w:lineRule="auto"/>
              <w:rPr>
                <w:rFonts w:ascii="Calibri" w:eastAsia="Times New Roman" w:hAnsi="Calibri"/>
                <w:color w:val="000000"/>
                <w:sz w:val="20"/>
                <w:szCs w:val="20"/>
              </w:rPr>
            </w:pPr>
          </w:p>
        </w:tc>
        <w:tc>
          <w:tcPr>
            <w:tcW w:w="7796" w:type="dxa"/>
            <w:tcBorders>
              <w:top w:val="single" w:sz="4" w:space="0" w:color="auto"/>
              <w:left w:val="nil"/>
              <w:bottom w:val="double" w:sz="6" w:space="0" w:color="auto"/>
              <w:right w:val="single" w:sz="8" w:space="0" w:color="auto"/>
            </w:tcBorders>
            <w:shd w:val="clear" w:color="auto" w:fill="auto"/>
            <w:vAlign w:val="bottom"/>
            <w:hideMark/>
          </w:tcPr>
          <w:p w:rsidR="00205FC0" w:rsidRPr="008C2056" w:rsidRDefault="00205FC0" w:rsidP="00205FC0">
            <w:pPr>
              <w:spacing w:after="0" w:line="200" w:lineRule="atLeast"/>
              <w:rPr>
                <w:rFonts w:ascii="Calibri" w:eastAsia="Times New Roman" w:hAnsi="Calibri"/>
                <w:color w:val="000000"/>
                <w:sz w:val="18"/>
                <w:szCs w:val="18"/>
              </w:rPr>
            </w:pPr>
            <w:r w:rsidRPr="008C2056">
              <w:rPr>
                <w:rFonts w:ascii="Calibri" w:eastAsia="Times New Roman" w:hAnsi="Calibri"/>
                <w:color w:val="000000"/>
                <w:sz w:val="18"/>
                <w:szCs w:val="18"/>
              </w:rPr>
              <w:t>Energy distribution</w:t>
            </w:r>
          </w:p>
        </w:tc>
      </w:tr>
      <w:tr w:rsidR="00205FC0" w:rsidRPr="001368E0" w:rsidTr="00AE352F">
        <w:trPr>
          <w:trHeight w:val="24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rsidR="008C2056" w:rsidRPr="004408A1" w:rsidRDefault="00205FC0" w:rsidP="00AE352F">
            <w:pPr>
              <w:spacing w:after="0" w:line="240" w:lineRule="auto"/>
              <w:rPr>
                <w:rFonts w:ascii="Calibri" w:eastAsia="Times New Roman" w:hAnsi="Calibri"/>
                <w:color w:val="000000"/>
                <w:sz w:val="20"/>
                <w:szCs w:val="20"/>
                <w:lang w:val="en-GB"/>
              </w:rPr>
            </w:pPr>
            <w:r w:rsidRPr="004408A1">
              <w:rPr>
                <w:rFonts w:ascii="Calibri" w:eastAsia="Times New Roman" w:hAnsi="Calibri"/>
                <w:color w:val="000000"/>
                <w:sz w:val="20"/>
                <w:szCs w:val="20"/>
                <w:lang w:val="en-GB"/>
              </w:rPr>
              <w:t>10. Promotion of border management, and border security</w:t>
            </w:r>
          </w:p>
        </w:tc>
        <w:tc>
          <w:tcPr>
            <w:tcW w:w="7796" w:type="dxa"/>
            <w:tcBorders>
              <w:top w:val="single" w:sz="4" w:space="0" w:color="4F81BD"/>
              <w:left w:val="single" w:sz="4" w:space="0" w:color="auto"/>
              <w:bottom w:val="nil"/>
              <w:right w:val="single" w:sz="8" w:space="0" w:color="auto"/>
            </w:tcBorders>
            <w:shd w:val="clear" w:color="auto" w:fill="auto"/>
            <w:vAlign w:val="bottom"/>
            <w:hideMark/>
          </w:tcPr>
          <w:p w:rsidR="00205FC0" w:rsidRPr="004408A1" w:rsidRDefault="00205FC0" w:rsidP="00205FC0">
            <w:pPr>
              <w:spacing w:after="0" w:line="200" w:lineRule="atLeast"/>
              <w:rPr>
                <w:rFonts w:ascii="Calibri" w:eastAsia="Times New Roman" w:hAnsi="Calibri"/>
                <w:color w:val="000000"/>
                <w:sz w:val="18"/>
                <w:szCs w:val="18"/>
                <w:lang w:val="en-GB"/>
              </w:rPr>
            </w:pPr>
            <w:r w:rsidRPr="004408A1">
              <w:rPr>
                <w:rFonts w:ascii="Calibri" w:eastAsia="Times New Roman" w:hAnsi="Calibri"/>
                <w:color w:val="000000"/>
                <w:sz w:val="18"/>
                <w:szCs w:val="18"/>
                <w:lang w:val="en-GB"/>
              </w:rPr>
              <w:t>Support to border efficiency and security</w:t>
            </w:r>
          </w:p>
        </w:tc>
      </w:tr>
      <w:tr w:rsidR="00205FC0" w:rsidRPr="001368E0" w:rsidTr="008C2056">
        <w:trPr>
          <w:trHeight w:val="230"/>
        </w:trPr>
        <w:tc>
          <w:tcPr>
            <w:tcW w:w="3134" w:type="dxa"/>
            <w:vMerge/>
            <w:tcBorders>
              <w:left w:val="single" w:sz="8" w:space="0" w:color="auto"/>
              <w:right w:val="single" w:sz="4" w:space="0" w:color="auto"/>
            </w:tcBorders>
            <w:shd w:val="clear" w:color="auto" w:fill="auto"/>
            <w:vAlign w:val="bottom"/>
            <w:hideMark/>
          </w:tcPr>
          <w:p w:rsidR="00205FC0" w:rsidRPr="004408A1" w:rsidRDefault="00205FC0" w:rsidP="00205FC0">
            <w:pPr>
              <w:spacing w:after="0" w:line="240" w:lineRule="auto"/>
              <w:rPr>
                <w:rFonts w:ascii="Calibri" w:eastAsia="Times New Roman" w:hAnsi="Calibri"/>
                <w:color w:val="000000"/>
                <w:sz w:val="20"/>
                <w:szCs w:val="20"/>
                <w:lang w:val="en-GB"/>
              </w:rPr>
            </w:pPr>
          </w:p>
        </w:tc>
        <w:tc>
          <w:tcPr>
            <w:tcW w:w="7796" w:type="dxa"/>
            <w:tcBorders>
              <w:top w:val="single" w:sz="4" w:space="0" w:color="auto"/>
              <w:left w:val="nil"/>
              <w:bottom w:val="nil"/>
              <w:right w:val="single" w:sz="8" w:space="0" w:color="auto"/>
            </w:tcBorders>
            <w:shd w:val="clear" w:color="auto" w:fill="auto"/>
            <w:vAlign w:val="bottom"/>
            <w:hideMark/>
          </w:tcPr>
          <w:p w:rsidR="00205FC0" w:rsidRPr="004408A1" w:rsidRDefault="00205FC0" w:rsidP="00205FC0">
            <w:pPr>
              <w:spacing w:after="0" w:line="200" w:lineRule="atLeast"/>
              <w:rPr>
                <w:rFonts w:ascii="Calibri" w:eastAsia="Times New Roman" w:hAnsi="Calibri"/>
                <w:color w:val="000000"/>
                <w:sz w:val="18"/>
                <w:szCs w:val="18"/>
                <w:lang w:val="en-GB"/>
              </w:rPr>
            </w:pPr>
            <w:r w:rsidRPr="004408A1">
              <w:rPr>
                <w:rFonts w:ascii="Calibri" w:eastAsia="Times New Roman" w:hAnsi="Calibri"/>
                <w:color w:val="000000"/>
                <w:sz w:val="18"/>
                <w:szCs w:val="18"/>
                <w:lang w:val="en-GB"/>
              </w:rPr>
              <w:t>Improvement of the border-crossing infrastructure and equipment at the border crossing points</w:t>
            </w:r>
          </w:p>
        </w:tc>
      </w:tr>
      <w:tr w:rsidR="00205FC0" w:rsidRPr="001368E0" w:rsidTr="008C2056">
        <w:trPr>
          <w:trHeight w:val="88"/>
        </w:trPr>
        <w:tc>
          <w:tcPr>
            <w:tcW w:w="3134" w:type="dxa"/>
            <w:vMerge/>
            <w:tcBorders>
              <w:left w:val="single" w:sz="8" w:space="0" w:color="auto"/>
              <w:bottom w:val="single" w:sz="8" w:space="0" w:color="auto"/>
              <w:right w:val="single" w:sz="4" w:space="0" w:color="auto"/>
            </w:tcBorders>
            <w:shd w:val="clear" w:color="auto" w:fill="auto"/>
            <w:vAlign w:val="bottom"/>
            <w:hideMark/>
          </w:tcPr>
          <w:p w:rsidR="00205FC0" w:rsidRPr="004408A1" w:rsidRDefault="00205FC0" w:rsidP="00205FC0">
            <w:pPr>
              <w:spacing w:after="0" w:line="240" w:lineRule="auto"/>
              <w:rPr>
                <w:rFonts w:ascii="Calibri" w:eastAsia="Times New Roman" w:hAnsi="Calibri"/>
                <w:color w:val="000000"/>
                <w:sz w:val="20"/>
                <w:szCs w:val="20"/>
                <w:lang w:val="en-GB"/>
              </w:rPr>
            </w:pPr>
          </w:p>
        </w:tc>
        <w:tc>
          <w:tcPr>
            <w:tcW w:w="7796" w:type="dxa"/>
            <w:tcBorders>
              <w:top w:val="single" w:sz="4" w:space="0" w:color="auto"/>
              <w:left w:val="nil"/>
              <w:bottom w:val="single" w:sz="8" w:space="0" w:color="auto"/>
              <w:right w:val="single" w:sz="8" w:space="0" w:color="auto"/>
            </w:tcBorders>
            <w:shd w:val="clear" w:color="auto" w:fill="auto"/>
            <w:vAlign w:val="bottom"/>
            <w:hideMark/>
          </w:tcPr>
          <w:p w:rsidR="00205FC0" w:rsidRPr="004408A1" w:rsidRDefault="00205FC0" w:rsidP="00205FC0">
            <w:pPr>
              <w:spacing w:after="0" w:line="200" w:lineRule="atLeast"/>
              <w:rPr>
                <w:rFonts w:ascii="Calibri" w:eastAsia="Times New Roman" w:hAnsi="Calibri"/>
                <w:color w:val="000000"/>
                <w:sz w:val="18"/>
                <w:szCs w:val="18"/>
                <w:lang w:val="en-GB"/>
              </w:rPr>
            </w:pPr>
            <w:r w:rsidRPr="004408A1">
              <w:rPr>
                <w:rFonts w:ascii="Calibri" w:eastAsia="Times New Roman" w:hAnsi="Calibri"/>
                <w:color w:val="000000"/>
                <w:sz w:val="18"/>
                <w:szCs w:val="18"/>
                <w:lang w:val="en-GB"/>
              </w:rPr>
              <w:t>Improvement of border management operations, customs and visa procedures</w:t>
            </w:r>
          </w:p>
        </w:tc>
      </w:tr>
    </w:tbl>
    <w:p w:rsidR="00A11E61" w:rsidRDefault="00BB4E77" w:rsidP="00394215">
      <w:pPr>
        <w:spacing w:before="120" w:after="0" w:line="240" w:lineRule="auto"/>
        <w:rPr>
          <w:sz w:val="22"/>
          <w:szCs w:val="22"/>
          <w:lang w:val="en-GB"/>
        </w:rPr>
      </w:pPr>
      <w:r w:rsidRPr="008C6029">
        <w:rPr>
          <w:rFonts w:eastAsia="Times New Roman"/>
          <w:i/>
          <w:color w:val="000000"/>
          <w:sz w:val="20"/>
          <w:szCs w:val="20"/>
          <w:lang w:val="en-GB"/>
        </w:rPr>
        <w:t>Table 1. Combined outcome</w:t>
      </w:r>
      <w:r w:rsidR="00394215">
        <w:rPr>
          <w:rFonts w:eastAsia="Times New Roman"/>
          <w:i/>
          <w:color w:val="000000"/>
          <w:sz w:val="20"/>
          <w:szCs w:val="20"/>
          <w:lang w:val="en-GB"/>
        </w:rPr>
        <w:t>s</w:t>
      </w:r>
      <w:r w:rsidRPr="008C6029">
        <w:rPr>
          <w:rFonts w:eastAsia="Times New Roman"/>
          <w:i/>
          <w:color w:val="000000"/>
          <w:sz w:val="20"/>
          <w:szCs w:val="20"/>
          <w:lang w:val="en-GB"/>
        </w:rPr>
        <w:t xml:space="preserve"> </w:t>
      </w:r>
      <w:r w:rsidR="00AC1CEA" w:rsidRPr="008C6029">
        <w:rPr>
          <w:rFonts w:eastAsia="Times New Roman"/>
          <w:i/>
          <w:color w:val="000000"/>
          <w:sz w:val="20"/>
          <w:szCs w:val="20"/>
          <w:lang w:val="en-GB"/>
        </w:rPr>
        <w:t xml:space="preserve">of SWOT and past experience </w:t>
      </w:r>
      <w:r w:rsidR="00394215">
        <w:rPr>
          <w:rFonts w:eastAsia="Times New Roman"/>
          <w:i/>
          <w:color w:val="000000"/>
          <w:sz w:val="20"/>
          <w:szCs w:val="20"/>
          <w:lang w:val="en-GB"/>
        </w:rPr>
        <w:t xml:space="preserve">analyses </w:t>
      </w:r>
      <w:r w:rsidR="00AC1CEA" w:rsidRPr="008C6029">
        <w:rPr>
          <w:rFonts w:eastAsia="Times New Roman"/>
          <w:i/>
          <w:color w:val="000000"/>
          <w:sz w:val="20"/>
          <w:szCs w:val="20"/>
          <w:lang w:val="en-GB"/>
        </w:rPr>
        <w:t>(stakeholder</w:t>
      </w:r>
      <w:r w:rsidR="00784375">
        <w:rPr>
          <w:rFonts w:eastAsia="Times New Roman"/>
          <w:i/>
          <w:color w:val="000000"/>
          <w:sz w:val="20"/>
          <w:szCs w:val="20"/>
          <w:lang w:val="en-GB"/>
        </w:rPr>
        <w:t xml:space="preserve"> survey and mapping of project)</w:t>
      </w:r>
    </w:p>
    <w:p w:rsidR="00541CA7" w:rsidRDefault="00541CA7" w:rsidP="00EE604A">
      <w:pPr>
        <w:spacing w:after="60" w:line="264" w:lineRule="auto"/>
        <w:jc w:val="both"/>
        <w:rPr>
          <w:sz w:val="22"/>
          <w:szCs w:val="22"/>
          <w:lang w:val="en-GB"/>
        </w:rPr>
      </w:pPr>
    </w:p>
    <w:p w:rsidR="00BF7D2D" w:rsidRPr="0044608C" w:rsidRDefault="0022669D" w:rsidP="00EE604A">
      <w:pPr>
        <w:spacing w:after="60" w:line="264" w:lineRule="auto"/>
        <w:jc w:val="both"/>
        <w:rPr>
          <w:sz w:val="22"/>
          <w:szCs w:val="22"/>
          <w:lang w:val="en-GB"/>
        </w:rPr>
      </w:pPr>
      <w:r w:rsidRPr="00056C65">
        <w:rPr>
          <w:b/>
          <w:sz w:val="22"/>
          <w:szCs w:val="22"/>
          <w:lang w:val="en-GB"/>
        </w:rPr>
        <w:t xml:space="preserve">The </w:t>
      </w:r>
      <w:r w:rsidR="00BF7D2D" w:rsidRPr="00056C65">
        <w:rPr>
          <w:b/>
          <w:sz w:val="22"/>
          <w:szCs w:val="22"/>
          <w:lang w:val="en-GB"/>
        </w:rPr>
        <w:t>combined analyses show that Thematic Objectives 4, 6 and 7 were broadly supported overall</w:t>
      </w:r>
      <w:r w:rsidR="00BF7D2D" w:rsidRPr="00056C65">
        <w:rPr>
          <w:b/>
          <w:i/>
          <w:sz w:val="22"/>
          <w:szCs w:val="22"/>
          <w:lang w:val="en-GB"/>
        </w:rPr>
        <w:t>,</w:t>
      </w:r>
      <w:r w:rsidR="00BF7D2D" w:rsidRPr="00056C65">
        <w:rPr>
          <w:b/>
          <w:sz w:val="22"/>
          <w:szCs w:val="22"/>
          <w:lang w:val="en-GB"/>
        </w:rPr>
        <w:t xml:space="preserve"> while some indicative priorities under Thematic Objectives </w:t>
      </w:r>
      <w:r w:rsidR="00BF7D2D" w:rsidRPr="000765C6">
        <w:rPr>
          <w:b/>
          <w:sz w:val="22"/>
          <w:szCs w:val="22"/>
          <w:lang w:val="en-GB"/>
        </w:rPr>
        <w:t xml:space="preserve">1, 2, 3 and 8 were also strongly supported </w:t>
      </w:r>
      <w:r w:rsidR="00BF7D2D" w:rsidRPr="00941BEF">
        <w:rPr>
          <w:sz w:val="22"/>
          <w:szCs w:val="22"/>
          <w:lang w:val="en-GB"/>
        </w:rPr>
        <w:t>(</w:t>
      </w:r>
      <w:r w:rsidR="00C429DD" w:rsidRPr="00941BEF">
        <w:rPr>
          <w:sz w:val="22"/>
          <w:szCs w:val="22"/>
          <w:lang w:val="en-GB"/>
        </w:rPr>
        <w:t xml:space="preserve">see </w:t>
      </w:r>
      <w:r w:rsidR="00374D88" w:rsidRPr="00941BEF">
        <w:rPr>
          <w:sz w:val="22"/>
          <w:szCs w:val="22"/>
          <w:lang w:val="en-GB"/>
        </w:rPr>
        <w:t xml:space="preserve">the </w:t>
      </w:r>
      <w:r w:rsidR="00C429DD" w:rsidRPr="00941BEF">
        <w:rPr>
          <w:sz w:val="22"/>
          <w:szCs w:val="22"/>
          <w:lang w:val="en-GB"/>
        </w:rPr>
        <w:t>summary in the table above</w:t>
      </w:r>
      <w:r w:rsidR="00941BEF" w:rsidRPr="00941BEF">
        <w:rPr>
          <w:sz w:val="22"/>
          <w:szCs w:val="22"/>
          <w:lang w:val="en-GB"/>
        </w:rPr>
        <w:t>)</w:t>
      </w:r>
      <w:r w:rsidR="00BF7D2D" w:rsidRPr="00941BEF">
        <w:rPr>
          <w:sz w:val="22"/>
          <w:szCs w:val="22"/>
          <w:lang w:val="en-GB"/>
        </w:rPr>
        <w:t xml:space="preserve">. </w:t>
      </w:r>
      <w:r w:rsidR="00BF7D2D" w:rsidRPr="0044608C">
        <w:rPr>
          <w:sz w:val="22"/>
          <w:szCs w:val="22"/>
          <w:lang w:val="en-GB"/>
        </w:rPr>
        <w:t xml:space="preserve">On the other hand, </w:t>
      </w:r>
      <w:r w:rsidR="00374D88">
        <w:rPr>
          <w:sz w:val="22"/>
          <w:szCs w:val="22"/>
          <w:lang w:val="en-GB"/>
        </w:rPr>
        <w:t>T</w:t>
      </w:r>
      <w:r w:rsidR="00BF7D2D" w:rsidRPr="0044608C">
        <w:rPr>
          <w:sz w:val="22"/>
          <w:szCs w:val="22"/>
          <w:lang w:val="en-GB"/>
        </w:rPr>
        <w:t xml:space="preserve">hematic </w:t>
      </w:r>
      <w:r w:rsidR="00374D88">
        <w:rPr>
          <w:sz w:val="22"/>
          <w:szCs w:val="22"/>
          <w:lang w:val="en-GB"/>
        </w:rPr>
        <w:t>O</w:t>
      </w:r>
      <w:r w:rsidR="00BF7D2D" w:rsidRPr="0044608C">
        <w:rPr>
          <w:sz w:val="22"/>
          <w:szCs w:val="22"/>
          <w:lang w:val="en-GB"/>
        </w:rPr>
        <w:t>bjectives 5 and especially 9 and 10 were very hard to justify on the basis of the SWOT and past experience analyses.</w:t>
      </w:r>
      <w:r w:rsidR="00BF7D2D" w:rsidRPr="0044608C">
        <w:rPr>
          <w:lang w:val="en-GB"/>
        </w:rPr>
        <w:t xml:space="preserve"> </w:t>
      </w:r>
    </w:p>
    <w:p w:rsidR="00BF7D2D" w:rsidRDefault="00BF7D2D" w:rsidP="00EE604A">
      <w:pPr>
        <w:spacing w:after="60" w:line="264" w:lineRule="auto"/>
        <w:jc w:val="both"/>
        <w:rPr>
          <w:sz w:val="22"/>
          <w:szCs w:val="22"/>
          <w:lang w:val="en-GB"/>
        </w:rPr>
      </w:pPr>
      <w:r>
        <w:rPr>
          <w:sz w:val="22"/>
          <w:szCs w:val="22"/>
          <w:lang w:val="en-GB"/>
        </w:rPr>
        <w:t>The SWOT and past experience analys</w:t>
      </w:r>
      <w:r w:rsidR="00394215">
        <w:rPr>
          <w:sz w:val="22"/>
          <w:szCs w:val="22"/>
          <w:lang w:val="en-GB"/>
        </w:rPr>
        <w:t>e</w:t>
      </w:r>
      <w:r>
        <w:rPr>
          <w:sz w:val="22"/>
          <w:szCs w:val="22"/>
          <w:lang w:val="en-GB"/>
        </w:rPr>
        <w:t xml:space="preserve">s </w:t>
      </w:r>
      <w:r w:rsidR="00394215" w:rsidRPr="00394215">
        <w:rPr>
          <w:sz w:val="22"/>
          <w:szCs w:val="22"/>
          <w:lang w:val="en-GB"/>
        </w:rPr>
        <w:t>led to the</w:t>
      </w:r>
      <w:r w:rsidR="00394215">
        <w:rPr>
          <w:b/>
          <w:sz w:val="22"/>
          <w:szCs w:val="22"/>
          <w:lang w:val="en-GB"/>
        </w:rPr>
        <w:t xml:space="preserve"> elimination</w:t>
      </w:r>
      <w:r w:rsidR="005B19D4">
        <w:rPr>
          <w:b/>
          <w:sz w:val="22"/>
          <w:szCs w:val="22"/>
          <w:lang w:val="en-GB"/>
        </w:rPr>
        <w:t xml:space="preserve"> of</w:t>
      </w:r>
      <w:r w:rsidR="00394215">
        <w:rPr>
          <w:b/>
          <w:sz w:val="22"/>
          <w:szCs w:val="22"/>
          <w:lang w:val="en-GB"/>
        </w:rPr>
        <w:t xml:space="preserve"> </w:t>
      </w:r>
      <w:r w:rsidR="00AE352F">
        <w:rPr>
          <w:b/>
          <w:sz w:val="22"/>
          <w:szCs w:val="22"/>
          <w:lang w:val="en-GB"/>
        </w:rPr>
        <w:t>T</w:t>
      </w:r>
      <w:r w:rsidRPr="00056C65">
        <w:rPr>
          <w:b/>
          <w:sz w:val="22"/>
          <w:szCs w:val="22"/>
          <w:lang w:val="en-GB"/>
        </w:rPr>
        <w:t xml:space="preserve">hematic </w:t>
      </w:r>
      <w:r w:rsidR="00AE352F">
        <w:rPr>
          <w:b/>
          <w:sz w:val="22"/>
          <w:szCs w:val="22"/>
          <w:lang w:val="en-GB"/>
        </w:rPr>
        <w:t>O</w:t>
      </w:r>
      <w:r w:rsidRPr="00056C65">
        <w:rPr>
          <w:b/>
          <w:sz w:val="22"/>
          <w:szCs w:val="22"/>
          <w:lang w:val="en-GB"/>
        </w:rPr>
        <w:t xml:space="preserve">bjectives 9 and 10 from further consultations and </w:t>
      </w:r>
      <w:r w:rsidR="00861DD0">
        <w:rPr>
          <w:b/>
          <w:sz w:val="22"/>
          <w:szCs w:val="22"/>
          <w:lang w:val="en-GB"/>
        </w:rPr>
        <w:t>the targeting of relevant</w:t>
      </w:r>
      <w:r w:rsidRPr="00056C65">
        <w:rPr>
          <w:b/>
          <w:sz w:val="22"/>
          <w:szCs w:val="22"/>
          <w:lang w:val="en-GB"/>
        </w:rPr>
        <w:t xml:space="preserve"> indicative priorities </w:t>
      </w:r>
      <w:r w:rsidR="00861DD0">
        <w:rPr>
          <w:b/>
          <w:sz w:val="22"/>
          <w:szCs w:val="22"/>
          <w:lang w:val="en-GB"/>
        </w:rPr>
        <w:t>under</w:t>
      </w:r>
      <w:r w:rsidR="00861DD0" w:rsidRPr="00056C65">
        <w:rPr>
          <w:b/>
          <w:sz w:val="22"/>
          <w:szCs w:val="22"/>
          <w:lang w:val="en-GB"/>
        </w:rPr>
        <w:t xml:space="preserve"> </w:t>
      </w:r>
      <w:r w:rsidRPr="00056C65">
        <w:rPr>
          <w:b/>
          <w:sz w:val="22"/>
          <w:szCs w:val="22"/>
          <w:lang w:val="en-GB"/>
        </w:rPr>
        <w:t xml:space="preserve">the remaining objectives </w:t>
      </w:r>
      <w:r w:rsidR="00861DD0">
        <w:rPr>
          <w:b/>
          <w:sz w:val="22"/>
          <w:szCs w:val="22"/>
          <w:lang w:val="en-GB"/>
        </w:rPr>
        <w:t>as presenting</w:t>
      </w:r>
      <w:r w:rsidRPr="00056C65">
        <w:rPr>
          <w:b/>
          <w:sz w:val="22"/>
          <w:szCs w:val="22"/>
          <w:lang w:val="en-GB"/>
        </w:rPr>
        <w:t xml:space="preserve"> the most interesting potential</w:t>
      </w:r>
      <w:r>
        <w:rPr>
          <w:sz w:val="22"/>
          <w:szCs w:val="22"/>
          <w:lang w:val="en-GB"/>
        </w:rPr>
        <w:t xml:space="preserve"> for cooperation within the Black Sea Basin.</w:t>
      </w:r>
    </w:p>
    <w:p w:rsidR="00424D44" w:rsidRPr="0025034F" w:rsidRDefault="005E36DF" w:rsidP="00EE604A">
      <w:pPr>
        <w:pStyle w:val="Heading3"/>
        <w:spacing w:before="200" w:after="120" w:line="264" w:lineRule="auto"/>
        <w:rPr>
          <w:b/>
          <w:sz w:val="28"/>
          <w:szCs w:val="28"/>
          <w:lang w:val="en-GB"/>
        </w:rPr>
      </w:pPr>
      <w:bookmarkStart w:id="58" w:name="_Toc288133442"/>
      <w:r w:rsidRPr="0025034F">
        <w:rPr>
          <w:b/>
          <w:sz w:val="28"/>
          <w:szCs w:val="28"/>
          <w:lang w:val="en-GB"/>
        </w:rPr>
        <w:t>S</w:t>
      </w:r>
      <w:r w:rsidR="00D263D1">
        <w:rPr>
          <w:b/>
          <w:sz w:val="28"/>
          <w:szCs w:val="28"/>
          <w:lang w:val="en-GB"/>
        </w:rPr>
        <w:t>takeholder</w:t>
      </w:r>
      <w:r w:rsidRPr="0025034F">
        <w:rPr>
          <w:b/>
          <w:sz w:val="28"/>
          <w:szCs w:val="28"/>
          <w:lang w:val="en-GB"/>
        </w:rPr>
        <w:t xml:space="preserve"> consultations</w:t>
      </w:r>
      <w:bookmarkEnd w:id="58"/>
    </w:p>
    <w:p w:rsidR="001D6B44" w:rsidRDefault="000A20CF" w:rsidP="00EE604A">
      <w:pPr>
        <w:spacing w:before="120" w:after="0" w:line="264" w:lineRule="auto"/>
        <w:jc w:val="both"/>
        <w:rPr>
          <w:sz w:val="22"/>
          <w:szCs w:val="22"/>
          <w:lang w:val="en-GB"/>
        </w:rPr>
      </w:pPr>
      <w:r>
        <w:rPr>
          <w:sz w:val="22"/>
          <w:szCs w:val="22"/>
          <w:lang w:val="en-GB"/>
        </w:rPr>
        <w:t xml:space="preserve">The SWOT analysis and the </w:t>
      </w:r>
      <w:r w:rsidR="00861DD0">
        <w:rPr>
          <w:sz w:val="22"/>
          <w:szCs w:val="22"/>
          <w:lang w:val="en-GB"/>
        </w:rPr>
        <w:t xml:space="preserve">eight </w:t>
      </w:r>
      <w:r>
        <w:rPr>
          <w:sz w:val="22"/>
          <w:szCs w:val="22"/>
          <w:lang w:val="en-GB"/>
        </w:rPr>
        <w:t xml:space="preserve">remaining </w:t>
      </w:r>
      <w:r w:rsidR="00374D88">
        <w:rPr>
          <w:sz w:val="22"/>
          <w:szCs w:val="22"/>
          <w:lang w:val="en-GB"/>
        </w:rPr>
        <w:t>T</w:t>
      </w:r>
      <w:r>
        <w:rPr>
          <w:sz w:val="22"/>
          <w:szCs w:val="22"/>
          <w:lang w:val="en-GB"/>
        </w:rPr>
        <w:t xml:space="preserve">hematic </w:t>
      </w:r>
      <w:r w:rsidR="00374D88">
        <w:rPr>
          <w:sz w:val="22"/>
          <w:szCs w:val="22"/>
          <w:lang w:val="en-GB"/>
        </w:rPr>
        <w:t>O</w:t>
      </w:r>
      <w:r>
        <w:rPr>
          <w:sz w:val="22"/>
          <w:szCs w:val="22"/>
          <w:lang w:val="en-GB"/>
        </w:rPr>
        <w:t>bjectives, focused on a limited number of priorities,</w:t>
      </w:r>
      <w:r w:rsidR="00243AF3">
        <w:rPr>
          <w:sz w:val="22"/>
          <w:szCs w:val="22"/>
          <w:lang w:val="en-GB"/>
        </w:rPr>
        <w:t xml:space="preserve"> were further consulted with a wide range of stakeholders</w:t>
      </w:r>
      <w:r w:rsidR="001D6B44">
        <w:rPr>
          <w:sz w:val="22"/>
          <w:szCs w:val="22"/>
          <w:lang w:val="en-GB"/>
        </w:rPr>
        <w:t>:</w:t>
      </w:r>
    </w:p>
    <w:p w:rsidR="00243AF3" w:rsidRDefault="009B7F23" w:rsidP="00F939DC">
      <w:pPr>
        <w:pStyle w:val="ListParagraph"/>
        <w:numPr>
          <w:ilvl w:val="0"/>
          <w:numId w:val="11"/>
        </w:numPr>
        <w:spacing w:before="120" w:after="0" w:line="264" w:lineRule="auto"/>
        <w:ind w:left="714" w:hanging="357"/>
        <w:contextualSpacing w:val="0"/>
        <w:jc w:val="both"/>
        <w:rPr>
          <w:sz w:val="22"/>
          <w:szCs w:val="22"/>
          <w:lang w:val="en-GB"/>
        </w:rPr>
      </w:pPr>
      <w:r w:rsidRPr="009B7F23">
        <w:rPr>
          <w:b/>
          <w:sz w:val="22"/>
          <w:szCs w:val="22"/>
          <w:lang w:val="en-GB"/>
        </w:rPr>
        <w:t>D</w:t>
      </w:r>
      <w:r w:rsidR="00440DD2" w:rsidRPr="009B7F23">
        <w:rPr>
          <w:b/>
          <w:sz w:val="22"/>
          <w:szCs w:val="22"/>
          <w:lang w:val="en-GB"/>
        </w:rPr>
        <w:t xml:space="preserve">uring the </w:t>
      </w:r>
      <w:r w:rsidR="00CD6FAC" w:rsidRPr="009B7F23">
        <w:rPr>
          <w:b/>
          <w:sz w:val="22"/>
          <w:szCs w:val="22"/>
          <w:lang w:val="en-GB"/>
        </w:rPr>
        <w:t xml:space="preserve">Black Sea Basin </w:t>
      </w:r>
      <w:r w:rsidR="006860AD">
        <w:rPr>
          <w:b/>
          <w:sz w:val="22"/>
          <w:szCs w:val="22"/>
          <w:lang w:val="en-GB"/>
        </w:rPr>
        <w:t xml:space="preserve">ENPI CBC </w:t>
      </w:r>
      <w:r w:rsidR="00CD6FAC" w:rsidRPr="009B7F23">
        <w:rPr>
          <w:b/>
          <w:sz w:val="22"/>
          <w:szCs w:val="22"/>
          <w:lang w:val="en-GB"/>
        </w:rPr>
        <w:t xml:space="preserve">programme </w:t>
      </w:r>
      <w:r w:rsidR="006860AD">
        <w:rPr>
          <w:b/>
          <w:sz w:val="22"/>
          <w:szCs w:val="22"/>
          <w:lang w:val="en-GB"/>
        </w:rPr>
        <w:t xml:space="preserve">2007-2013 </w:t>
      </w:r>
      <w:r w:rsidR="00CD6FAC" w:rsidRPr="009B7F23">
        <w:rPr>
          <w:b/>
          <w:sz w:val="22"/>
          <w:szCs w:val="22"/>
          <w:lang w:val="en-GB"/>
        </w:rPr>
        <w:t>annual conference</w:t>
      </w:r>
      <w:r>
        <w:rPr>
          <w:sz w:val="22"/>
          <w:szCs w:val="22"/>
          <w:lang w:val="en-GB"/>
        </w:rPr>
        <w:t xml:space="preserve"> held in Istanbul, Turkey on 5</w:t>
      </w:r>
      <w:r w:rsidRPr="009B7F23">
        <w:rPr>
          <w:sz w:val="22"/>
          <w:szCs w:val="22"/>
          <w:lang w:val="en-GB"/>
        </w:rPr>
        <w:t>th</w:t>
      </w:r>
      <w:r w:rsidR="003A075B">
        <w:rPr>
          <w:sz w:val="22"/>
          <w:szCs w:val="22"/>
          <w:lang w:val="en-GB"/>
        </w:rPr>
        <w:t xml:space="preserve"> December 2013. </w:t>
      </w:r>
      <w:r w:rsidRPr="009B7F23">
        <w:rPr>
          <w:sz w:val="22"/>
          <w:szCs w:val="22"/>
          <w:lang w:val="en-GB"/>
        </w:rPr>
        <w:t xml:space="preserve">The conference </w:t>
      </w:r>
      <w:r w:rsidR="00374D88">
        <w:rPr>
          <w:sz w:val="22"/>
          <w:szCs w:val="22"/>
          <w:lang w:val="en-GB"/>
        </w:rPr>
        <w:t>participants included</w:t>
      </w:r>
      <w:r w:rsidR="00861DD0">
        <w:rPr>
          <w:sz w:val="22"/>
          <w:szCs w:val="22"/>
          <w:lang w:val="en-GB"/>
        </w:rPr>
        <w:t xml:space="preserve"> </w:t>
      </w:r>
      <w:r w:rsidRPr="009B7F23">
        <w:rPr>
          <w:sz w:val="22"/>
          <w:szCs w:val="22"/>
          <w:lang w:val="en-GB"/>
        </w:rPr>
        <w:t>representatives of national, r</w:t>
      </w:r>
      <w:r w:rsidR="003A075B">
        <w:rPr>
          <w:sz w:val="22"/>
          <w:szCs w:val="22"/>
          <w:lang w:val="en-GB"/>
        </w:rPr>
        <w:t>egional and local authorities, NGO</w:t>
      </w:r>
      <w:r w:rsidRPr="009B7F23">
        <w:rPr>
          <w:sz w:val="22"/>
          <w:szCs w:val="22"/>
          <w:lang w:val="en-GB"/>
        </w:rPr>
        <w:t xml:space="preserve">, researchers and </w:t>
      </w:r>
      <w:r w:rsidR="003A075B">
        <w:rPr>
          <w:sz w:val="22"/>
          <w:szCs w:val="22"/>
          <w:lang w:val="en-GB"/>
        </w:rPr>
        <w:t xml:space="preserve">academics, as well as </w:t>
      </w:r>
      <w:r w:rsidRPr="009B7F23">
        <w:rPr>
          <w:sz w:val="22"/>
          <w:szCs w:val="22"/>
          <w:lang w:val="en-GB"/>
        </w:rPr>
        <w:t>other stakeholders active in the Black Sea Basin area</w:t>
      </w:r>
      <w:r w:rsidR="003A075B">
        <w:rPr>
          <w:sz w:val="22"/>
          <w:szCs w:val="22"/>
          <w:lang w:val="en-GB"/>
        </w:rPr>
        <w:t xml:space="preserve">. </w:t>
      </w:r>
      <w:r w:rsidR="007A7136">
        <w:rPr>
          <w:sz w:val="22"/>
          <w:szCs w:val="22"/>
          <w:lang w:val="en-GB"/>
        </w:rPr>
        <w:t xml:space="preserve">All countries participating in the Black Sea Basin 2007-13 were represented, </w:t>
      </w:r>
      <w:r w:rsidR="00374D88">
        <w:rPr>
          <w:sz w:val="22"/>
          <w:szCs w:val="22"/>
          <w:lang w:val="en-GB"/>
        </w:rPr>
        <w:t>along with</w:t>
      </w:r>
      <w:r w:rsidR="007A7136">
        <w:rPr>
          <w:sz w:val="22"/>
          <w:szCs w:val="22"/>
          <w:lang w:val="en-GB"/>
        </w:rPr>
        <w:t xml:space="preserve"> Azerbaijan as </w:t>
      </w:r>
      <w:r w:rsidR="00861DD0">
        <w:rPr>
          <w:sz w:val="22"/>
          <w:szCs w:val="22"/>
          <w:lang w:val="en-GB"/>
        </w:rPr>
        <w:t xml:space="preserve">a </w:t>
      </w:r>
      <w:r w:rsidR="007A7136">
        <w:rPr>
          <w:sz w:val="22"/>
          <w:szCs w:val="22"/>
          <w:lang w:val="en-GB"/>
        </w:rPr>
        <w:t xml:space="preserve">potential participant </w:t>
      </w:r>
      <w:r w:rsidR="00861DD0">
        <w:rPr>
          <w:sz w:val="22"/>
          <w:szCs w:val="22"/>
          <w:lang w:val="en-GB"/>
        </w:rPr>
        <w:t xml:space="preserve">in </w:t>
      </w:r>
      <w:r w:rsidR="007A7136">
        <w:rPr>
          <w:sz w:val="22"/>
          <w:szCs w:val="22"/>
          <w:lang w:val="en-GB"/>
        </w:rPr>
        <w:t xml:space="preserve">the Black Sea Basin </w:t>
      </w:r>
      <w:r w:rsidR="006860AD">
        <w:rPr>
          <w:sz w:val="22"/>
          <w:szCs w:val="22"/>
          <w:lang w:val="en-GB"/>
        </w:rPr>
        <w:t xml:space="preserve">ENI CBC </w:t>
      </w:r>
      <w:r w:rsidR="007A7136">
        <w:rPr>
          <w:sz w:val="22"/>
          <w:szCs w:val="22"/>
          <w:lang w:val="en-GB"/>
        </w:rPr>
        <w:t>programme</w:t>
      </w:r>
      <w:r w:rsidR="006860AD">
        <w:rPr>
          <w:sz w:val="22"/>
          <w:szCs w:val="22"/>
          <w:lang w:val="en-GB"/>
        </w:rPr>
        <w:t xml:space="preserve"> 2014-2020</w:t>
      </w:r>
      <w:r w:rsidR="007A7136">
        <w:rPr>
          <w:sz w:val="22"/>
          <w:szCs w:val="22"/>
          <w:lang w:val="en-GB"/>
        </w:rPr>
        <w:t xml:space="preserve">. </w:t>
      </w:r>
      <w:r w:rsidR="003A075B">
        <w:rPr>
          <w:sz w:val="22"/>
          <w:szCs w:val="22"/>
          <w:lang w:val="en-GB"/>
        </w:rPr>
        <w:t>A specific session was devoted to the review of the SWOT analysis and the thematic objectives</w:t>
      </w:r>
      <w:r w:rsidR="007627EB">
        <w:rPr>
          <w:rStyle w:val="FootnoteReference"/>
          <w:sz w:val="22"/>
          <w:szCs w:val="22"/>
          <w:lang w:val="en-GB"/>
        </w:rPr>
        <w:footnoteReference w:id="56"/>
      </w:r>
      <w:r w:rsidR="003A075B">
        <w:rPr>
          <w:sz w:val="22"/>
          <w:szCs w:val="22"/>
          <w:lang w:val="en-GB"/>
        </w:rPr>
        <w:t>.</w:t>
      </w:r>
    </w:p>
    <w:p w:rsidR="00DB269C" w:rsidRPr="00DB269C" w:rsidRDefault="00DB269C" w:rsidP="00DB269C">
      <w:pPr>
        <w:pStyle w:val="ListParagraph"/>
        <w:numPr>
          <w:ilvl w:val="0"/>
          <w:numId w:val="11"/>
        </w:numPr>
        <w:spacing w:before="120" w:after="0" w:line="264" w:lineRule="auto"/>
        <w:ind w:left="714" w:hanging="357"/>
        <w:contextualSpacing w:val="0"/>
        <w:jc w:val="both"/>
        <w:rPr>
          <w:b/>
          <w:sz w:val="22"/>
          <w:szCs w:val="22"/>
          <w:lang w:val="en-GB"/>
        </w:rPr>
      </w:pPr>
      <w:r w:rsidRPr="00861DD0">
        <w:rPr>
          <w:b/>
          <w:sz w:val="22"/>
          <w:szCs w:val="22"/>
          <w:lang w:val="en-GB"/>
        </w:rPr>
        <w:t xml:space="preserve">Via open online public consultation </w:t>
      </w:r>
      <w:r w:rsidRPr="00A34868">
        <w:rPr>
          <w:sz w:val="22"/>
          <w:szCs w:val="22"/>
          <w:lang w:val="en-GB"/>
        </w:rPr>
        <w:t>via t</w:t>
      </w:r>
      <w:r w:rsidRPr="00780B7D">
        <w:rPr>
          <w:sz w:val="22"/>
          <w:szCs w:val="22"/>
          <w:lang w:val="en-GB"/>
        </w:rPr>
        <w:t>he website of the current programme</w:t>
      </w:r>
      <w:r w:rsidRPr="00861DD0">
        <w:rPr>
          <w:b/>
          <w:sz w:val="22"/>
          <w:szCs w:val="22"/>
          <w:lang w:val="en-GB"/>
        </w:rPr>
        <w:t xml:space="preserve"> </w:t>
      </w:r>
      <w:r w:rsidRPr="00861DD0">
        <w:rPr>
          <w:sz w:val="22"/>
          <w:szCs w:val="22"/>
          <w:lang w:val="en-GB"/>
        </w:rPr>
        <w:t xml:space="preserve">and some </w:t>
      </w:r>
      <w:r>
        <w:rPr>
          <w:sz w:val="22"/>
          <w:szCs w:val="22"/>
          <w:lang w:val="en-GB"/>
        </w:rPr>
        <w:t>national</w:t>
      </w:r>
      <w:r w:rsidRPr="00861DD0">
        <w:rPr>
          <w:sz w:val="22"/>
          <w:szCs w:val="22"/>
          <w:lang w:val="en-GB"/>
        </w:rPr>
        <w:t xml:space="preserve"> websites. The Assembly of European Regions, the Conference of Peripheral Maritime Regions and the International Center for Migration Policy Development contributed notably to the consultation process.</w:t>
      </w:r>
    </w:p>
    <w:p w:rsidR="001D6B44" w:rsidRPr="00500CC7" w:rsidRDefault="009B7F23" w:rsidP="00500CC7">
      <w:pPr>
        <w:pStyle w:val="ListParagraph"/>
        <w:numPr>
          <w:ilvl w:val="0"/>
          <w:numId w:val="11"/>
        </w:numPr>
        <w:spacing w:before="120" w:after="0" w:line="264" w:lineRule="auto"/>
        <w:ind w:left="714" w:hanging="357"/>
        <w:contextualSpacing w:val="0"/>
        <w:jc w:val="both"/>
        <w:rPr>
          <w:b/>
          <w:sz w:val="22"/>
          <w:szCs w:val="22"/>
          <w:lang w:val="en-GB"/>
        </w:rPr>
      </w:pPr>
      <w:r w:rsidRPr="009B7F23">
        <w:rPr>
          <w:b/>
          <w:sz w:val="22"/>
          <w:szCs w:val="22"/>
          <w:lang w:val="en-GB"/>
        </w:rPr>
        <w:t>T</w:t>
      </w:r>
      <w:r w:rsidR="0073092D" w:rsidRPr="009B7F23">
        <w:rPr>
          <w:b/>
          <w:sz w:val="22"/>
          <w:szCs w:val="22"/>
          <w:lang w:val="en-GB"/>
        </w:rPr>
        <w:t xml:space="preserve">hrough </w:t>
      </w:r>
      <w:r w:rsidRPr="009B7F23">
        <w:rPr>
          <w:b/>
          <w:sz w:val="22"/>
          <w:szCs w:val="22"/>
          <w:lang w:val="en-GB"/>
        </w:rPr>
        <w:t>stakeholder consultations (events and/or written consultations)</w:t>
      </w:r>
      <w:r>
        <w:rPr>
          <w:b/>
          <w:sz w:val="22"/>
          <w:szCs w:val="22"/>
          <w:lang w:val="en-GB"/>
        </w:rPr>
        <w:t xml:space="preserve"> in </w:t>
      </w:r>
      <w:r w:rsidR="001C68BF">
        <w:rPr>
          <w:b/>
          <w:sz w:val="22"/>
          <w:szCs w:val="22"/>
          <w:lang w:val="en-GB"/>
        </w:rPr>
        <w:t>participating</w:t>
      </w:r>
      <w:r w:rsidRPr="009B7F23">
        <w:rPr>
          <w:b/>
          <w:sz w:val="22"/>
          <w:szCs w:val="22"/>
          <w:lang w:val="en-GB"/>
        </w:rPr>
        <w:t xml:space="preserve"> countries</w:t>
      </w:r>
      <w:r w:rsidR="001C68BF">
        <w:rPr>
          <w:b/>
          <w:sz w:val="22"/>
          <w:szCs w:val="22"/>
          <w:lang w:val="en-GB"/>
        </w:rPr>
        <w:t xml:space="preserve"> </w:t>
      </w:r>
      <w:r w:rsidR="001C68BF" w:rsidRPr="001C68BF">
        <w:rPr>
          <w:sz w:val="22"/>
          <w:szCs w:val="22"/>
          <w:lang w:val="en-GB"/>
        </w:rPr>
        <w:t>from</w:t>
      </w:r>
      <w:r w:rsidRPr="009B7F23">
        <w:rPr>
          <w:b/>
          <w:sz w:val="22"/>
          <w:szCs w:val="22"/>
          <w:lang w:val="en-GB"/>
        </w:rPr>
        <w:t xml:space="preserve"> </w:t>
      </w:r>
      <w:r w:rsidR="001C68BF" w:rsidRPr="001C68BF">
        <w:rPr>
          <w:sz w:val="22"/>
          <w:szCs w:val="22"/>
          <w:lang w:val="en-GB"/>
        </w:rPr>
        <w:t>November 2013 to March 2014.</w:t>
      </w:r>
      <w:r w:rsidR="001C68BF">
        <w:rPr>
          <w:b/>
          <w:sz w:val="22"/>
          <w:szCs w:val="22"/>
          <w:lang w:val="en-GB"/>
        </w:rPr>
        <w:t xml:space="preserve"> </w:t>
      </w:r>
      <w:r w:rsidR="001C68BF" w:rsidRPr="001C68BF">
        <w:rPr>
          <w:sz w:val="22"/>
          <w:szCs w:val="22"/>
          <w:lang w:val="en-GB"/>
        </w:rPr>
        <w:t>Consultations were held at b</w:t>
      </w:r>
      <w:r w:rsidRPr="001C68BF">
        <w:rPr>
          <w:sz w:val="22"/>
          <w:szCs w:val="22"/>
          <w:lang w:val="en-GB"/>
        </w:rPr>
        <w:t>oth national</w:t>
      </w:r>
      <w:r w:rsidRPr="009B7F23">
        <w:rPr>
          <w:sz w:val="22"/>
          <w:szCs w:val="22"/>
          <w:lang w:val="en-GB"/>
        </w:rPr>
        <w:t xml:space="preserve"> and regional levels in most </w:t>
      </w:r>
      <w:r w:rsidRPr="00B837D0">
        <w:rPr>
          <w:sz w:val="22"/>
          <w:szCs w:val="22"/>
          <w:lang w:val="en-GB"/>
        </w:rPr>
        <w:t>participating countries</w:t>
      </w:r>
      <w:r w:rsidR="00DA7DAD" w:rsidRPr="00B837D0">
        <w:rPr>
          <w:rStyle w:val="FootnoteReference"/>
          <w:sz w:val="22"/>
          <w:szCs w:val="22"/>
          <w:lang w:val="en-GB"/>
        </w:rPr>
        <w:footnoteReference w:id="57"/>
      </w:r>
      <w:r w:rsidR="00E31B1E" w:rsidRPr="00B837D0">
        <w:rPr>
          <w:sz w:val="22"/>
          <w:szCs w:val="22"/>
          <w:lang w:val="en-GB"/>
        </w:rPr>
        <w:t xml:space="preserve"> to allow consistency </w:t>
      </w:r>
      <w:r w:rsidRPr="00B837D0">
        <w:rPr>
          <w:sz w:val="22"/>
          <w:szCs w:val="22"/>
          <w:lang w:val="en-GB"/>
        </w:rPr>
        <w:t>with national/regional strategies as well as to include the views of the actors on the ground.</w:t>
      </w:r>
      <w:r w:rsidRPr="00C1244D">
        <w:rPr>
          <w:b/>
          <w:sz w:val="22"/>
          <w:szCs w:val="22"/>
          <w:lang w:val="en-GB"/>
        </w:rPr>
        <w:t xml:space="preserve"> </w:t>
      </w:r>
      <w:r w:rsidR="00067783" w:rsidRPr="004725B0">
        <w:rPr>
          <w:rFonts w:cs="Calibri"/>
          <w:sz w:val="22"/>
          <w:szCs w:val="22"/>
          <w:lang w:val="en-GB"/>
        </w:rPr>
        <w:t>C</w:t>
      </w:r>
      <w:r w:rsidR="005C029B" w:rsidRPr="004725B0">
        <w:rPr>
          <w:rFonts w:cs="Calibri"/>
          <w:sz w:val="22"/>
          <w:szCs w:val="22"/>
          <w:lang w:val="en-GB"/>
        </w:rPr>
        <w:t xml:space="preserve">onsultations included: </w:t>
      </w:r>
      <w:r w:rsidR="004725B0">
        <w:rPr>
          <w:rFonts w:cs="Calibri"/>
          <w:sz w:val="22"/>
          <w:szCs w:val="22"/>
          <w:lang w:val="en-GB"/>
        </w:rPr>
        <w:t>C</w:t>
      </w:r>
      <w:r w:rsidR="005C029B" w:rsidRPr="004725B0">
        <w:rPr>
          <w:rFonts w:cs="Calibri"/>
          <w:sz w:val="22"/>
          <w:szCs w:val="22"/>
          <w:lang w:val="en-GB"/>
        </w:rPr>
        <w:t>omments</w:t>
      </w:r>
      <w:r w:rsidR="006F45D0" w:rsidRPr="004725B0">
        <w:rPr>
          <w:rFonts w:cs="Calibri"/>
          <w:sz w:val="22"/>
          <w:szCs w:val="22"/>
          <w:lang w:val="en-GB"/>
        </w:rPr>
        <w:t xml:space="preserve"> at national level</w:t>
      </w:r>
      <w:r w:rsidR="005C029B" w:rsidRPr="004725B0">
        <w:rPr>
          <w:rFonts w:cs="Calibri"/>
          <w:sz w:val="22"/>
          <w:szCs w:val="22"/>
          <w:lang w:val="en-GB"/>
        </w:rPr>
        <w:t xml:space="preserve"> by Bulgaria in December 2013; consultation events </w:t>
      </w:r>
      <w:r w:rsidR="00E519E3" w:rsidRPr="004725B0">
        <w:rPr>
          <w:rFonts w:cs="Calibri"/>
          <w:sz w:val="22"/>
          <w:szCs w:val="22"/>
          <w:lang w:val="en-GB"/>
        </w:rPr>
        <w:t xml:space="preserve">with wide stakeholders participation </w:t>
      </w:r>
      <w:r w:rsidR="005C029B" w:rsidRPr="004725B0">
        <w:rPr>
          <w:rFonts w:cs="Calibri"/>
          <w:sz w:val="22"/>
          <w:szCs w:val="22"/>
          <w:lang w:val="en-GB"/>
        </w:rPr>
        <w:t>held by the National Authorities of Armenia, Georgia, Republic of Moldova and Ukraine, in co-operation with EU Technical Assistance project ENI CBC - Support to the preparation of programmes (SPP), in January 2014 and a similar consultation of mostly national bodies in Azerbaijan in May 2014; comments from national authorities in Greece (in December 2013) and input from wider stakeholders after the relevant documents were put on the website of the National Authority (</w:t>
      </w:r>
      <w:hyperlink r:id="rId49" w:history="1">
        <w:r w:rsidR="005C029B" w:rsidRPr="00F06BD2">
          <w:rPr>
            <w:rFonts w:cs="Calibri"/>
            <w:color w:val="0000FF"/>
            <w:sz w:val="22"/>
            <w:szCs w:val="22"/>
            <w:u w:val="single" w:color="0000FF"/>
            <w:lang w:val="en-GB"/>
          </w:rPr>
          <w:t>www.interreg.gr</w:t>
        </w:r>
      </w:hyperlink>
      <w:r w:rsidR="005C029B" w:rsidRPr="00F06BD2">
        <w:rPr>
          <w:rFonts w:cs="Calibri"/>
          <w:sz w:val="22"/>
          <w:szCs w:val="22"/>
          <w:lang w:val="en-GB"/>
        </w:rPr>
        <w:t>) and circulated to stakeholders by email early in 2014</w:t>
      </w:r>
      <w:r w:rsidR="004725B0">
        <w:rPr>
          <w:sz w:val="22"/>
          <w:szCs w:val="22"/>
          <w:lang w:val="en-GB"/>
        </w:rPr>
        <w:t>; public consultations a</w:t>
      </w:r>
      <w:r w:rsidR="00C81E18">
        <w:rPr>
          <w:sz w:val="22"/>
          <w:szCs w:val="22"/>
          <w:lang w:val="en-GB"/>
        </w:rPr>
        <w:t>t</w:t>
      </w:r>
      <w:r w:rsidR="004725B0">
        <w:rPr>
          <w:sz w:val="22"/>
          <w:szCs w:val="22"/>
          <w:lang w:val="en-GB"/>
        </w:rPr>
        <w:t>national</w:t>
      </w:r>
      <w:r w:rsidR="00C81E18">
        <w:rPr>
          <w:sz w:val="22"/>
          <w:szCs w:val="22"/>
          <w:lang w:val="en-GB"/>
        </w:rPr>
        <w:t>,</w:t>
      </w:r>
      <w:r w:rsidR="004725B0">
        <w:rPr>
          <w:sz w:val="22"/>
          <w:szCs w:val="22"/>
          <w:lang w:val="en-GB"/>
        </w:rPr>
        <w:t xml:space="preserve"> regional and local level in Romania in the first quarter of 2014. </w:t>
      </w:r>
    </w:p>
    <w:p w:rsidR="00500CC7" w:rsidRPr="00500CC7" w:rsidRDefault="00667ED8" w:rsidP="00500CC7">
      <w:pPr>
        <w:spacing w:before="120" w:after="0" w:line="264" w:lineRule="auto"/>
        <w:jc w:val="both"/>
        <w:rPr>
          <w:b/>
          <w:sz w:val="22"/>
          <w:szCs w:val="22"/>
          <w:lang w:val="en-GB"/>
        </w:rPr>
      </w:pPr>
      <w:r w:rsidRPr="00667ED8">
        <w:rPr>
          <w:sz w:val="22"/>
          <w:szCs w:val="22"/>
          <w:lang w:val="en-GB"/>
        </w:rPr>
        <w:t>The</w:t>
      </w:r>
      <w:r w:rsidR="00D91412">
        <w:rPr>
          <w:sz w:val="22"/>
          <w:szCs w:val="22"/>
          <w:lang w:val="en-GB"/>
        </w:rPr>
        <w:t xml:space="preserve"> consultation process allowe</w:t>
      </w:r>
      <w:r w:rsidR="00E61C29">
        <w:rPr>
          <w:sz w:val="22"/>
          <w:szCs w:val="22"/>
          <w:lang w:val="en-GB"/>
        </w:rPr>
        <w:t xml:space="preserve">d </w:t>
      </w:r>
      <w:r w:rsidR="00374D88">
        <w:rPr>
          <w:sz w:val="22"/>
          <w:szCs w:val="22"/>
          <w:lang w:val="en-GB"/>
        </w:rPr>
        <w:t xml:space="preserve">for </w:t>
      </w:r>
      <w:r w:rsidR="00861DD0">
        <w:rPr>
          <w:sz w:val="22"/>
          <w:szCs w:val="22"/>
          <w:lang w:val="en-GB"/>
        </w:rPr>
        <w:t xml:space="preserve">the </w:t>
      </w:r>
      <w:r w:rsidR="003A2DF5">
        <w:rPr>
          <w:sz w:val="22"/>
          <w:szCs w:val="22"/>
          <w:lang w:val="en-GB"/>
        </w:rPr>
        <w:t>checking and validati</w:t>
      </w:r>
      <w:r w:rsidR="00861DD0">
        <w:rPr>
          <w:sz w:val="22"/>
          <w:szCs w:val="22"/>
          <w:lang w:val="en-GB"/>
        </w:rPr>
        <w:t>on</w:t>
      </w:r>
      <w:r w:rsidR="00E61C29">
        <w:rPr>
          <w:sz w:val="22"/>
          <w:szCs w:val="22"/>
          <w:lang w:val="en-GB"/>
        </w:rPr>
        <w:t xml:space="preserve"> </w:t>
      </w:r>
      <w:r w:rsidR="00861DD0">
        <w:rPr>
          <w:sz w:val="22"/>
          <w:szCs w:val="22"/>
          <w:lang w:val="en-GB"/>
        </w:rPr>
        <w:t xml:space="preserve">of </w:t>
      </w:r>
      <w:r w:rsidR="00D91412">
        <w:rPr>
          <w:sz w:val="22"/>
          <w:szCs w:val="22"/>
          <w:lang w:val="en-GB"/>
        </w:rPr>
        <w:t>the</w:t>
      </w:r>
      <w:r w:rsidRPr="00667ED8">
        <w:rPr>
          <w:sz w:val="22"/>
          <w:szCs w:val="22"/>
          <w:lang w:val="en-GB"/>
        </w:rPr>
        <w:t xml:space="preserve"> </w:t>
      </w:r>
      <w:r w:rsidR="00CD03DC">
        <w:rPr>
          <w:sz w:val="22"/>
          <w:szCs w:val="22"/>
          <w:lang w:val="en-GB"/>
        </w:rPr>
        <w:t>SWOT analysis</w:t>
      </w:r>
      <w:r w:rsidR="007C1280">
        <w:rPr>
          <w:sz w:val="22"/>
          <w:szCs w:val="22"/>
          <w:lang w:val="en-GB"/>
        </w:rPr>
        <w:t xml:space="preserve"> </w:t>
      </w:r>
      <w:r w:rsidR="00861DD0">
        <w:rPr>
          <w:sz w:val="22"/>
          <w:szCs w:val="22"/>
          <w:lang w:val="en-GB"/>
        </w:rPr>
        <w:t xml:space="preserve">by </w:t>
      </w:r>
      <w:r w:rsidR="007C1280">
        <w:rPr>
          <w:sz w:val="22"/>
          <w:szCs w:val="22"/>
          <w:lang w:val="en-GB"/>
        </w:rPr>
        <w:t>regional stakeholders</w:t>
      </w:r>
      <w:r w:rsidR="00CD03DC">
        <w:rPr>
          <w:sz w:val="22"/>
          <w:szCs w:val="22"/>
          <w:lang w:val="en-GB"/>
        </w:rPr>
        <w:t xml:space="preserve">. </w:t>
      </w:r>
      <w:r w:rsidR="00500CC7" w:rsidRPr="00F06BD2">
        <w:rPr>
          <w:sz w:val="22"/>
          <w:szCs w:val="22"/>
          <w:lang w:val="en-GB"/>
        </w:rPr>
        <w:t xml:space="preserve">Other consultations held during the development of the programme included regional level consultations on the ENI CBC Thematic Objectives in Turkey </w:t>
      </w:r>
      <w:r w:rsidR="004725B0">
        <w:rPr>
          <w:sz w:val="22"/>
          <w:szCs w:val="22"/>
          <w:lang w:val="en-GB"/>
        </w:rPr>
        <w:t>from May</w:t>
      </w:r>
      <w:r w:rsidR="00500CC7" w:rsidRPr="00F06BD2">
        <w:rPr>
          <w:sz w:val="22"/>
          <w:szCs w:val="22"/>
          <w:lang w:val="en-GB"/>
        </w:rPr>
        <w:t xml:space="preserve"> 2013 and extensive regional consultations on the Thematic Objectives in Republic of Moldo</w:t>
      </w:r>
      <w:r w:rsidR="005F5C90" w:rsidRPr="00F06BD2">
        <w:rPr>
          <w:sz w:val="22"/>
          <w:szCs w:val="22"/>
          <w:lang w:val="en-GB"/>
        </w:rPr>
        <w:t>va in September-October 2013 with</w:t>
      </w:r>
      <w:r w:rsidR="00500CC7" w:rsidRPr="00F06BD2">
        <w:rPr>
          <w:sz w:val="22"/>
          <w:szCs w:val="22"/>
          <w:lang w:val="en-GB"/>
        </w:rPr>
        <w:t xml:space="preserve"> conclusions at national level in the first quarter of 2014.</w:t>
      </w:r>
      <w:r w:rsidR="005F5C90" w:rsidRPr="005F5C90">
        <w:rPr>
          <w:sz w:val="22"/>
          <w:szCs w:val="22"/>
          <w:lang w:val="en-GB"/>
        </w:rPr>
        <w:t xml:space="preserve"> </w:t>
      </w:r>
      <w:r w:rsidR="005F5C90">
        <w:rPr>
          <w:sz w:val="22"/>
          <w:szCs w:val="22"/>
          <w:lang w:val="en-GB"/>
        </w:rPr>
        <w:t xml:space="preserve">Contributions (additional elements, specifications) were integrated in an updated version of the socio-economic analysis and the SWOT as relevant. </w:t>
      </w:r>
      <w:r w:rsidR="005F5C90" w:rsidRPr="00667ED8">
        <w:rPr>
          <w:sz w:val="22"/>
          <w:szCs w:val="22"/>
          <w:lang w:val="en-GB"/>
        </w:rPr>
        <w:t xml:space="preserve"> </w:t>
      </w:r>
    </w:p>
    <w:p w:rsidR="00667ED8" w:rsidRPr="00667ED8" w:rsidRDefault="00667ED8" w:rsidP="00EE604A">
      <w:pPr>
        <w:spacing w:before="120" w:after="0" w:line="264" w:lineRule="auto"/>
        <w:jc w:val="both"/>
        <w:rPr>
          <w:sz w:val="22"/>
          <w:szCs w:val="22"/>
          <w:lang w:val="en-GB"/>
        </w:rPr>
      </w:pPr>
    </w:p>
    <w:p w:rsidR="00370F2A" w:rsidRDefault="00435206" w:rsidP="00541CA7">
      <w:pPr>
        <w:spacing w:before="120" w:after="0" w:line="264" w:lineRule="auto"/>
        <w:jc w:val="both"/>
        <w:rPr>
          <w:b/>
          <w:sz w:val="22"/>
          <w:szCs w:val="22"/>
          <w:lang w:val="en-GB"/>
        </w:rPr>
      </w:pPr>
      <w:r w:rsidRPr="00B4074E">
        <w:rPr>
          <w:b/>
          <w:sz w:val="22"/>
          <w:szCs w:val="22"/>
          <w:lang w:val="en-GB"/>
        </w:rPr>
        <w:t>Thematic objective</w:t>
      </w:r>
      <w:r w:rsidR="0092089F" w:rsidRPr="00B4074E">
        <w:rPr>
          <w:b/>
          <w:sz w:val="22"/>
          <w:szCs w:val="22"/>
          <w:lang w:val="en-GB"/>
        </w:rPr>
        <w:t>s and priorities considered most relevant</w:t>
      </w:r>
      <w:r w:rsidR="00B4074E">
        <w:rPr>
          <w:b/>
          <w:sz w:val="22"/>
          <w:szCs w:val="22"/>
          <w:lang w:val="en-GB"/>
        </w:rPr>
        <w:t xml:space="preserve"> during the consultation process</w:t>
      </w:r>
      <w:r w:rsidR="0092089F" w:rsidRPr="00B4074E">
        <w:rPr>
          <w:b/>
          <w:sz w:val="22"/>
          <w:szCs w:val="22"/>
          <w:lang w:val="en-GB"/>
        </w:rPr>
        <w:t xml:space="preserve">, or </w:t>
      </w:r>
      <w:r w:rsidR="00861DD0">
        <w:rPr>
          <w:b/>
          <w:sz w:val="22"/>
          <w:szCs w:val="22"/>
          <w:lang w:val="en-GB"/>
        </w:rPr>
        <w:t>which</w:t>
      </w:r>
      <w:r w:rsidR="00861DD0" w:rsidRPr="00B4074E">
        <w:rPr>
          <w:b/>
          <w:sz w:val="22"/>
          <w:szCs w:val="22"/>
          <w:lang w:val="en-GB"/>
        </w:rPr>
        <w:t xml:space="preserve"> </w:t>
      </w:r>
      <w:r w:rsidR="0092089F" w:rsidRPr="00B4074E">
        <w:rPr>
          <w:b/>
          <w:sz w:val="22"/>
          <w:szCs w:val="22"/>
          <w:lang w:val="en-GB"/>
        </w:rPr>
        <w:t>attracted</w:t>
      </w:r>
      <w:r w:rsidRPr="00B4074E">
        <w:rPr>
          <w:b/>
          <w:sz w:val="22"/>
          <w:szCs w:val="22"/>
          <w:lang w:val="en-GB"/>
        </w:rPr>
        <w:t xml:space="preserve"> most interest from </w:t>
      </w:r>
      <w:r w:rsidR="007A219C" w:rsidRPr="00B4074E">
        <w:rPr>
          <w:b/>
          <w:sz w:val="22"/>
          <w:szCs w:val="22"/>
          <w:lang w:val="en-GB"/>
        </w:rPr>
        <w:t xml:space="preserve">the </w:t>
      </w:r>
      <w:r w:rsidRPr="00B4074E">
        <w:rPr>
          <w:b/>
          <w:sz w:val="22"/>
          <w:szCs w:val="22"/>
          <w:lang w:val="en-GB"/>
        </w:rPr>
        <w:t xml:space="preserve">stakeholders </w:t>
      </w:r>
      <w:r w:rsidR="00365F32" w:rsidRPr="00B4074E">
        <w:rPr>
          <w:b/>
          <w:sz w:val="22"/>
          <w:szCs w:val="22"/>
          <w:lang w:val="en-GB"/>
        </w:rPr>
        <w:t>consulted</w:t>
      </w:r>
      <w:r w:rsidR="00374D88">
        <w:rPr>
          <w:b/>
          <w:sz w:val="22"/>
          <w:szCs w:val="22"/>
          <w:lang w:val="en-GB"/>
        </w:rPr>
        <w:t>,</w:t>
      </w:r>
      <w:r w:rsidR="00365F32" w:rsidRPr="00B4074E">
        <w:rPr>
          <w:b/>
          <w:sz w:val="22"/>
          <w:szCs w:val="22"/>
          <w:lang w:val="en-GB"/>
        </w:rPr>
        <w:t xml:space="preserve"> </w:t>
      </w:r>
      <w:r w:rsidRPr="00B4074E">
        <w:rPr>
          <w:b/>
          <w:sz w:val="22"/>
          <w:szCs w:val="22"/>
          <w:lang w:val="en-GB"/>
        </w:rPr>
        <w:t>are highlighted below</w:t>
      </w:r>
      <w:r w:rsidR="00A24DF6">
        <w:rPr>
          <w:rStyle w:val="FootnoteReference"/>
          <w:b/>
          <w:sz w:val="22"/>
          <w:szCs w:val="22"/>
          <w:lang w:val="en-GB"/>
        </w:rPr>
        <w:footnoteReference w:id="58"/>
      </w:r>
      <w:r w:rsidRPr="00B4074E">
        <w:rPr>
          <w:b/>
          <w:sz w:val="22"/>
          <w:szCs w:val="22"/>
          <w:lang w:val="en-GB"/>
        </w:rPr>
        <w:t>.</w:t>
      </w:r>
      <w:r w:rsidR="00370F2A" w:rsidRPr="00B4074E">
        <w:rPr>
          <w:b/>
          <w:sz w:val="22"/>
          <w:szCs w:val="22"/>
          <w:lang w:val="en-GB"/>
        </w:rPr>
        <w:t xml:space="preserve"> </w:t>
      </w:r>
    </w:p>
    <w:p w:rsidR="00541CA7" w:rsidRPr="00541CA7" w:rsidRDefault="00541CA7" w:rsidP="00541CA7">
      <w:pPr>
        <w:spacing w:before="120" w:after="0" w:line="264" w:lineRule="auto"/>
        <w:jc w:val="both"/>
        <w:rPr>
          <w:b/>
          <w:sz w:val="2"/>
          <w:szCs w:val="2"/>
          <w:lang w:val="en-GB"/>
        </w:rPr>
      </w:pPr>
    </w:p>
    <w:tbl>
      <w:tblPr>
        <w:tblW w:w="10930" w:type="dxa"/>
        <w:tblInd w:w="55" w:type="dxa"/>
        <w:tblLayout w:type="fixed"/>
        <w:tblCellMar>
          <w:left w:w="70" w:type="dxa"/>
          <w:right w:w="70" w:type="dxa"/>
        </w:tblCellMar>
        <w:tblLook w:val="04A0"/>
      </w:tblPr>
      <w:tblGrid>
        <w:gridCol w:w="3276"/>
        <w:gridCol w:w="992"/>
        <w:gridCol w:w="992"/>
        <w:gridCol w:w="992"/>
        <w:gridCol w:w="993"/>
        <w:gridCol w:w="992"/>
        <w:gridCol w:w="992"/>
        <w:gridCol w:w="851"/>
        <w:gridCol w:w="850"/>
      </w:tblGrid>
      <w:tr w:rsidR="00DF0ABC" w:rsidRPr="001368E0" w:rsidTr="00762822">
        <w:trPr>
          <w:trHeight w:val="620"/>
          <w:tblHeader/>
        </w:trPr>
        <w:tc>
          <w:tcPr>
            <w:tcW w:w="3276" w:type="dxa"/>
            <w:tcBorders>
              <w:top w:val="single" w:sz="8" w:space="0" w:color="auto"/>
              <w:left w:val="single" w:sz="8" w:space="0" w:color="auto"/>
              <w:bottom w:val="single" w:sz="8" w:space="0" w:color="auto"/>
              <w:right w:val="single" w:sz="4" w:space="0" w:color="auto"/>
            </w:tcBorders>
            <w:shd w:val="clear" w:color="4F81BD" w:fill="4F81BD"/>
            <w:vAlign w:val="center"/>
            <w:hideMark/>
          </w:tcPr>
          <w:p w:rsidR="003B440B" w:rsidRPr="00516E9C" w:rsidRDefault="003B440B" w:rsidP="003B440B">
            <w:pPr>
              <w:spacing w:after="0" w:line="240" w:lineRule="auto"/>
              <w:rPr>
                <w:rFonts w:ascii="Calibri" w:eastAsia="Times New Roman" w:hAnsi="Calibri"/>
                <w:b/>
                <w:bCs/>
                <w:color w:val="FFFFFF"/>
                <w:sz w:val="20"/>
                <w:szCs w:val="20"/>
              </w:rPr>
            </w:pPr>
            <w:r w:rsidRPr="00516E9C">
              <w:rPr>
                <w:rFonts w:ascii="Calibri" w:eastAsia="Times New Roman" w:hAnsi="Calibri"/>
                <w:b/>
                <w:bCs/>
                <w:color w:val="FFFFFF"/>
                <w:sz w:val="20"/>
                <w:szCs w:val="20"/>
              </w:rPr>
              <w:t>Consultation</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rsidR="003B440B" w:rsidRPr="00516E9C" w:rsidRDefault="003B440B" w:rsidP="003B440B">
            <w:pPr>
              <w:spacing w:after="0" w:line="240" w:lineRule="auto"/>
              <w:rPr>
                <w:rFonts w:ascii="Calibri" w:eastAsia="Times New Roman" w:hAnsi="Calibri"/>
                <w:b/>
                <w:bCs/>
                <w:color w:val="FFFFFF"/>
                <w:sz w:val="20"/>
                <w:szCs w:val="20"/>
              </w:rPr>
            </w:pPr>
            <w:r w:rsidRPr="00516E9C">
              <w:rPr>
                <w:rFonts w:ascii="Calibri" w:eastAsia="Times New Roman" w:hAnsi="Calibri"/>
                <w:b/>
                <w:bCs/>
                <w:color w:val="FFFFFF"/>
                <w:sz w:val="20"/>
                <w:szCs w:val="20"/>
              </w:rPr>
              <w:t>TO1</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rsidR="003B440B" w:rsidRPr="00516E9C" w:rsidRDefault="003B440B" w:rsidP="003B440B">
            <w:pPr>
              <w:spacing w:after="0" w:line="240" w:lineRule="auto"/>
              <w:rPr>
                <w:rFonts w:ascii="Calibri" w:eastAsia="Times New Roman" w:hAnsi="Calibri"/>
                <w:b/>
                <w:bCs/>
                <w:color w:val="FFFFFF"/>
                <w:sz w:val="20"/>
                <w:szCs w:val="20"/>
              </w:rPr>
            </w:pPr>
            <w:r w:rsidRPr="00516E9C">
              <w:rPr>
                <w:rFonts w:ascii="Calibri" w:eastAsia="Times New Roman" w:hAnsi="Calibri"/>
                <w:b/>
                <w:bCs/>
                <w:color w:val="FFFFFF"/>
                <w:sz w:val="20"/>
                <w:szCs w:val="20"/>
              </w:rPr>
              <w:t>TO2</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rsidR="003B440B" w:rsidRPr="00516E9C" w:rsidRDefault="003B440B" w:rsidP="003B440B">
            <w:pPr>
              <w:spacing w:after="0" w:line="240" w:lineRule="auto"/>
              <w:rPr>
                <w:rFonts w:ascii="Calibri" w:eastAsia="Times New Roman" w:hAnsi="Calibri"/>
                <w:b/>
                <w:bCs/>
                <w:color w:val="FFFFFF"/>
                <w:sz w:val="20"/>
                <w:szCs w:val="20"/>
              </w:rPr>
            </w:pPr>
            <w:r w:rsidRPr="00516E9C">
              <w:rPr>
                <w:rFonts w:ascii="Calibri" w:eastAsia="Times New Roman" w:hAnsi="Calibri"/>
                <w:b/>
                <w:bCs/>
                <w:color w:val="FFFFFF"/>
                <w:sz w:val="20"/>
                <w:szCs w:val="20"/>
              </w:rPr>
              <w:t>TO3</w:t>
            </w:r>
          </w:p>
        </w:tc>
        <w:tc>
          <w:tcPr>
            <w:tcW w:w="993" w:type="dxa"/>
            <w:tcBorders>
              <w:top w:val="single" w:sz="8" w:space="0" w:color="auto"/>
              <w:left w:val="single" w:sz="4" w:space="0" w:color="auto"/>
              <w:bottom w:val="single" w:sz="8" w:space="0" w:color="auto"/>
              <w:right w:val="single" w:sz="4" w:space="0" w:color="auto"/>
            </w:tcBorders>
            <w:shd w:val="clear" w:color="4F81BD" w:fill="4F81BD"/>
            <w:vAlign w:val="center"/>
            <w:hideMark/>
          </w:tcPr>
          <w:p w:rsidR="003B440B" w:rsidRPr="00516E9C" w:rsidRDefault="003B440B" w:rsidP="003B440B">
            <w:pPr>
              <w:spacing w:after="0" w:line="240" w:lineRule="auto"/>
              <w:rPr>
                <w:rFonts w:ascii="Calibri" w:eastAsia="Times New Roman" w:hAnsi="Calibri"/>
                <w:b/>
                <w:bCs/>
                <w:color w:val="FFFFFF"/>
                <w:sz w:val="20"/>
                <w:szCs w:val="20"/>
              </w:rPr>
            </w:pPr>
            <w:r w:rsidRPr="00516E9C">
              <w:rPr>
                <w:rFonts w:ascii="Calibri" w:eastAsia="Times New Roman" w:hAnsi="Calibri"/>
                <w:b/>
                <w:bCs/>
                <w:color w:val="FFFFFF"/>
                <w:sz w:val="20"/>
                <w:szCs w:val="20"/>
              </w:rPr>
              <w:t>TO4</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rsidR="003B440B" w:rsidRPr="00516E9C" w:rsidRDefault="003B440B" w:rsidP="003B440B">
            <w:pPr>
              <w:spacing w:after="0" w:line="240" w:lineRule="auto"/>
              <w:rPr>
                <w:rFonts w:ascii="Calibri" w:eastAsia="Times New Roman" w:hAnsi="Calibri"/>
                <w:b/>
                <w:bCs/>
                <w:color w:val="FFFFFF"/>
                <w:sz w:val="20"/>
                <w:szCs w:val="20"/>
              </w:rPr>
            </w:pPr>
            <w:r w:rsidRPr="00516E9C">
              <w:rPr>
                <w:rFonts w:ascii="Calibri" w:eastAsia="Times New Roman" w:hAnsi="Calibri"/>
                <w:b/>
                <w:bCs/>
                <w:color w:val="FFFFFF"/>
                <w:sz w:val="20"/>
                <w:szCs w:val="20"/>
              </w:rPr>
              <w:t>TO5</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rsidR="003B440B" w:rsidRPr="00516E9C" w:rsidRDefault="003B440B" w:rsidP="003B440B">
            <w:pPr>
              <w:spacing w:after="0" w:line="240" w:lineRule="auto"/>
              <w:rPr>
                <w:rFonts w:ascii="Calibri" w:eastAsia="Times New Roman" w:hAnsi="Calibri"/>
                <w:b/>
                <w:bCs/>
                <w:color w:val="FFFFFF"/>
                <w:sz w:val="20"/>
                <w:szCs w:val="20"/>
              </w:rPr>
            </w:pPr>
            <w:r w:rsidRPr="00516E9C">
              <w:rPr>
                <w:rFonts w:ascii="Calibri" w:eastAsia="Times New Roman" w:hAnsi="Calibri"/>
                <w:b/>
                <w:bCs/>
                <w:color w:val="FFFFFF"/>
                <w:sz w:val="20"/>
                <w:szCs w:val="20"/>
              </w:rPr>
              <w:t>TO6</w:t>
            </w:r>
          </w:p>
        </w:tc>
        <w:tc>
          <w:tcPr>
            <w:tcW w:w="851" w:type="dxa"/>
            <w:tcBorders>
              <w:top w:val="single" w:sz="8" w:space="0" w:color="auto"/>
              <w:left w:val="single" w:sz="4" w:space="0" w:color="auto"/>
              <w:bottom w:val="single" w:sz="8" w:space="0" w:color="auto"/>
              <w:right w:val="single" w:sz="4" w:space="0" w:color="auto"/>
            </w:tcBorders>
            <w:shd w:val="clear" w:color="4F81BD" w:fill="4F81BD"/>
            <w:vAlign w:val="center"/>
            <w:hideMark/>
          </w:tcPr>
          <w:p w:rsidR="003B440B" w:rsidRPr="00516E9C" w:rsidRDefault="003B440B" w:rsidP="003B440B">
            <w:pPr>
              <w:spacing w:after="0" w:line="240" w:lineRule="auto"/>
              <w:rPr>
                <w:rFonts w:ascii="Calibri" w:eastAsia="Times New Roman" w:hAnsi="Calibri"/>
                <w:b/>
                <w:bCs/>
                <w:color w:val="FFFFFF"/>
                <w:sz w:val="20"/>
                <w:szCs w:val="20"/>
              </w:rPr>
            </w:pPr>
            <w:r w:rsidRPr="00516E9C">
              <w:rPr>
                <w:rFonts w:ascii="Calibri" w:eastAsia="Times New Roman" w:hAnsi="Calibri"/>
                <w:b/>
                <w:bCs/>
                <w:color w:val="FFFFFF"/>
                <w:sz w:val="20"/>
                <w:szCs w:val="20"/>
              </w:rPr>
              <w:t>TO7</w:t>
            </w:r>
          </w:p>
        </w:tc>
        <w:tc>
          <w:tcPr>
            <w:tcW w:w="850" w:type="dxa"/>
            <w:tcBorders>
              <w:top w:val="single" w:sz="8" w:space="0" w:color="auto"/>
              <w:left w:val="single" w:sz="4" w:space="0" w:color="auto"/>
              <w:bottom w:val="single" w:sz="8" w:space="0" w:color="auto"/>
              <w:right w:val="single" w:sz="8" w:space="0" w:color="auto"/>
            </w:tcBorders>
            <w:shd w:val="clear" w:color="4F81BD" w:fill="4F81BD"/>
            <w:vAlign w:val="center"/>
            <w:hideMark/>
          </w:tcPr>
          <w:p w:rsidR="003B440B" w:rsidRPr="00516E9C" w:rsidRDefault="003B440B" w:rsidP="003B440B">
            <w:pPr>
              <w:spacing w:after="0" w:line="240" w:lineRule="auto"/>
              <w:rPr>
                <w:rFonts w:ascii="Calibri" w:eastAsia="Times New Roman" w:hAnsi="Calibri"/>
                <w:b/>
                <w:bCs/>
                <w:color w:val="FFFFFF"/>
                <w:sz w:val="20"/>
                <w:szCs w:val="20"/>
              </w:rPr>
            </w:pPr>
            <w:r w:rsidRPr="00516E9C">
              <w:rPr>
                <w:rFonts w:ascii="Calibri" w:eastAsia="Times New Roman" w:hAnsi="Calibri"/>
                <w:b/>
                <w:bCs/>
                <w:color w:val="FFFFFF"/>
                <w:sz w:val="20"/>
                <w:szCs w:val="20"/>
              </w:rPr>
              <w:t>TO8</w:t>
            </w:r>
          </w:p>
        </w:tc>
      </w:tr>
      <w:tr w:rsidR="00DF0ABC" w:rsidRPr="001368E0" w:rsidTr="00762822">
        <w:trPr>
          <w:trHeight w:val="300"/>
        </w:trPr>
        <w:tc>
          <w:tcPr>
            <w:tcW w:w="3276" w:type="dxa"/>
            <w:tcBorders>
              <w:top w:val="single" w:sz="4" w:space="0" w:color="4F81BD"/>
              <w:left w:val="single" w:sz="8"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color w:val="000000"/>
                <w:sz w:val="20"/>
                <w:szCs w:val="20"/>
              </w:rPr>
            </w:pPr>
            <w:r w:rsidRPr="00516E9C">
              <w:rPr>
                <w:rFonts w:ascii="Calibri" w:eastAsia="Times New Roman" w:hAnsi="Calibri"/>
                <w:color w:val="000000"/>
                <w:sz w:val="20"/>
                <w:szCs w:val="20"/>
              </w:rPr>
              <w:t>Armenia</w:t>
            </w:r>
          </w:p>
        </w:tc>
        <w:tc>
          <w:tcPr>
            <w:tcW w:w="992" w:type="dxa"/>
            <w:tcBorders>
              <w:top w:val="single" w:sz="4" w:space="0" w:color="4F81BD"/>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3" w:type="dxa"/>
            <w:tcBorders>
              <w:top w:val="single" w:sz="4" w:space="0" w:color="4F81BD"/>
              <w:left w:val="single" w:sz="4"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851" w:type="dxa"/>
            <w:tcBorders>
              <w:top w:val="single" w:sz="4" w:space="0" w:color="4F81BD"/>
              <w:left w:val="single" w:sz="4"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850" w:type="dxa"/>
            <w:tcBorders>
              <w:top w:val="single" w:sz="4" w:space="0" w:color="4F81BD"/>
              <w:left w:val="single" w:sz="4" w:space="0" w:color="auto"/>
              <w:bottom w:val="single" w:sz="4" w:space="0" w:color="auto"/>
              <w:right w:val="single" w:sz="8"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r>
      <w:tr w:rsidR="00DF0ABC" w:rsidRPr="001368E0"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color w:val="000000"/>
                <w:sz w:val="20"/>
                <w:szCs w:val="20"/>
              </w:rPr>
            </w:pPr>
            <w:r w:rsidRPr="00172308">
              <w:rPr>
                <w:rFonts w:ascii="Calibri" w:eastAsia="Times New Roman" w:hAnsi="Calibri"/>
                <w:color w:val="000000"/>
                <w:sz w:val="20"/>
                <w:szCs w:val="20"/>
              </w:rPr>
              <w:t>Azerbaijan</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r>
      <w:tr w:rsidR="00DF0ABC" w:rsidRPr="001368E0"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color w:val="000000"/>
                <w:sz w:val="20"/>
                <w:szCs w:val="20"/>
              </w:rPr>
            </w:pPr>
            <w:r w:rsidRPr="00516E9C">
              <w:rPr>
                <w:rFonts w:ascii="Calibri" w:eastAsia="Times New Roman" w:hAnsi="Calibri"/>
                <w:color w:val="000000"/>
                <w:sz w:val="20"/>
                <w:szCs w:val="20"/>
              </w:rPr>
              <w:t xml:space="preserve">Bulgaria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r>
      <w:tr w:rsidR="00DF0ABC" w:rsidRPr="001368E0"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color w:val="000000"/>
                <w:sz w:val="20"/>
                <w:szCs w:val="20"/>
              </w:rPr>
            </w:pPr>
            <w:r w:rsidRPr="00516E9C">
              <w:rPr>
                <w:rFonts w:ascii="Calibri" w:eastAsia="Times New Roman" w:hAnsi="Calibri"/>
                <w:color w:val="000000"/>
                <w:sz w:val="20"/>
                <w:szCs w:val="20"/>
              </w:rPr>
              <w:t>Georgia</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r>
      <w:tr w:rsidR="00DF0ABC" w:rsidRPr="001368E0"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color w:val="000000"/>
                <w:sz w:val="20"/>
                <w:szCs w:val="20"/>
              </w:rPr>
            </w:pPr>
            <w:r w:rsidRPr="00516E9C">
              <w:rPr>
                <w:rFonts w:ascii="Calibri" w:eastAsia="Times New Roman" w:hAnsi="Calibri"/>
                <w:color w:val="000000"/>
                <w:sz w:val="20"/>
                <w:szCs w:val="20"/>
              </w:rPr>
              <w:t xml:space="preserve">Greece*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000000"/>
                <w:sz w:val="20"/>
                <w:szCs w:val="20"/>
              </w:rPr>
            </w:pPr>
            <w:r w:rsidRPr="00516E9C">
              <w:rPr>
                <w:rFonts w:ascii="Calibri" w:eastAsia="Times New Roman" w:hAnsi="Calibri"/>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000000" w:fill="C4D79B"/>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r>
      <w:tr w:rsidR="00DF0ABC" w:rsidRPr="001368E0"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color w:val="000000"/>
                <w:sz w:val="20"/>
                <w:szCs w:val="20"/>
              </w:rPr>
            </w:pPr>
            <w:r w:rsidRPr="00516E9C">
              <w:rPr>
                <w:rFonts w:ascii="Calibri" w:eastAsia="Times New Roman" w:hAnsi="Calibri"/>
                <w:color w:val="000000"/>
                <w:sz w:val="20"/>
                <w:szCs w:val="20"/>
              </w:rPr>
              <w:t>Moldova*</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r>
      <w:tr w:rsidR="00DF0ABC" w:rsidRPr="001368E0"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color w:val="000000"/>
                <w:sz w:val="20"/>
                <w:szCs w:val="20"/>
              </w:rPr>
            </w:pPr>
            <w:r w:rsidRPr="00516E9C">
              <w:rPr>
                <w:rFonts w:ascii="Calibri" w:eastAsia="Times New Roman" w:hAnsi="Calibri"/>
                <w:color w:val="000000"/>
                <w:sz w:val="20"/>
                <w:szCs w:val="20"/>
              </w:rPr>
              <w:t>Romania</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r>
      <w:tr w:rsidR="00DF0ABC" w:rsidRPr="001368E0"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color w:val="000000"/>
                <w:sz w:val="20"/>
                <w:szCs w:val="20"/>
              </w:rPr>
            </w:pPr>
            <w:r w:rsidRPr="00516E9C">
              <w:rPr>
                <w:rFonts w:ascii="Calibri" w:eastAsia="Times New Roman" w:hAnsi="Calibri"/>
                <w:color w:val="000000"/>
                <w:sz w:val="20"/>
                <w:szCs w:val="20"/>
              </w:rPr>
              <w:t>Russian Federation</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r>
      <w:tr w:rsidR="00DF0ABC" w:rsidRPr="001368E0"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color w:val="000000"/>
                <w:sz w:val="20"/>
                <w:szCs w:val="20"/>
              </w:rPr>
            </w:pPr>
            <w:r w:rsidRPr="00516E9C">
              <w:rPr>
                <w:rFonts w:ascii="Calibri" w:eastAsia="Times New Roman" w:hAnsi="Calibri"/>
                <w:color w:val="000000"/>
                <w:sz w:val="20"/>
                <w:szCs w:val="20"/>
              </w:rPr>
              <w:t>Turkey</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3B440B" w:rsidRPr="00516E9C" w:rsidRDefault="003B440B" w:rsidP="003B440B">
            <w:pPr>
              <w:spacing w:after="0" w:line="240" w:lineRule="auto"/>
              <w:rPr>
                <w:rFonts w:ascii="Calibri" w:eastAsia="Times New Roman" w:hAnsi="Calibri"/>
                <w:color w:val="FFFFFF"/>
                <w:sz w:val="20"/>
                <w:szCs w:val="20"/>
              </w:rPr>
            </w:pPr>
            <w:r w:rsidRPr="00516E9C">
              <w:rPr>
                <w:rFonts w:ascii="Calibri" w:eastAsia="Times New Roman" w:hAnsi="Calibri"/>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B440B" w:rsidRPr="00516E9C" w:rsidRDefault="003B440B" w:rsidP="003B440B">
            <w:pPr>
              <w:spacing w:after="0" w:line="240" w:lineRule="auto"/>
              <w:rPr>
                <w:rFonts w:ascii="Calibri" w:eastAsia="Times New Roman" w:hAnsi="Calibri"/>
                <w:b/>
                <w:bCs/>
                <w:color w:val="000000"/>
                <w:sz w:val="20"/>
                <w:szCs w:val="20"/>
              </w:rPr>
            </w:pPr>
            <w:r w:rsidRPr="00516E9C">
              <w:rPr>
                <w:rFonts w:ascii="Calibri" w:eastAsia="Times New Roman" w:hAnsi="Calibri"/>
                <w:b/>
                <w:bCs/>
                <w:color w:val="000000"/>
                <w:sz w:val="20"/>
                <w:szCs w:val="20"/>
              </w:rPr>
              <w:t> </w:t>
            </w:r>
          </w:p>
        </w:tc>
      </w:tr>
      <w:tr w:rsidR="00762822" w:rsidRPr="001368E0" w:rsidTr="00762822">
        <w:trPr>
          <w:trHeight w:val="320"/>
        </w:trPr>
        <w:tc>
          <w:tcPr>
            <w:tcW w:w="3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762822" w:rsidRPr="00762822" w:rsidRDefault="00762822" w:rsidP="00762822">
            <w:pPr>
              <w:spacing w:after="0" w:line="240" w:lineRule="auto"/>
              <w:rPr>
                <w:rFonts w:ascii="Calibri" w:eastAsia="Times New Roman" w:hAnsi="Calibri"/>
                <w:color w:val="000000"/>
                <w:sz w:val="20"/>
                <w:szCs w:val="20"/>
              </w:rPr>
            </w:pPr>
            <w:r w:rsidRPr="00762822">
              <w:rPr>
                <w:rFonts w:ascii="Calibri" w:eastAsia="Times New Roman" w:hAnsi="Calibri"/>
                <w:color w:val="000000"/>
                <w:sz w:val="20"/>
                <w:szCs w:val="20"/>
              </w:rPr>
              <w:t>Ukraine</w:t>
            </w:r>
          </w:p>
        </w:tc>
        <w:tc>
          <w:tcPr>
            <w:tcW w:w="992" w:type="dxa"/>
            <w:tcBorders>
              <w:top w:val="single" w:sz="4" w:space="0" w:color="auto"/>
              <w:left w:val="single" w:sz="4" w:space="0" w:color="auto"/>
              <w:bottom w:val="double" w:sz="6" w:space="0" w:color="auto"/>
              <w:right w:val="single" w:sz="4" w:space="0" w:color="auto"/>
            </w:tcBorders>
            <w:shd w:val="clear" w:color="000000" w:fill="9BBB59"/>
            <w:vAlign w:val="center"/>
            <w:hideMark/>
          </w:tcPr>
          <w:p w:rsidR="00762822" w:rsidRPr="00762822" w:rsidRDefault="00762822" w:rsidP="00762822">
            <w:pPr>
              <w:spacing w:after="0" w:line="240" w:lineRule="auto"/>
              <w:rPr>
                <w:rFonts w:ascii="Calibri" w:eastAsia="Times New Roman" w:hAnsi="Calibri"/>
                <w:color w:val="000000"/>
                <w:sz w:val="20"/>
                <w:szCs w:val="20"/>
              </w:rPr>
            </w:pPr>
            <w:r w:rsidRPr="00762822">
              <w:rPr>
                <w:rFonts w:ascii="Calibri" w:eastAsia="Times New Roman" w:hAnsi="Calibri"/>
                <w:color w:val="000000"/>
                <w:sz w:val="20"/>
                <w:szCs w:val="20"/>
              </w:rPr>
              <w:t> </w:t>
            </w:r>
          </w:p>
        </w:tc>
        <w:tc>
          <w:tcPr>
            <w:tcW w:w="992" w:type="dxa"/>
            <w:tcBorders>
              <w:top w:val="single" w:sz="4" w:space="0" w:color="auto"/>
              <w:left w:val="nil"/>
              <w:bottom w:val="double" w:sz="6" w:space="0" w:color="auto"/>
              <w:right w:val="single" w:sz="4" w:space="0" w:color="auto"/>
            </w:tcBorders>
            <w:shd w:val="clear" w:color="auto" w:fill="auto"/>
            <w:vAlign w:val="center"/>
            <w:hideMark/>
          </w:tcPr>
          <w:p w:rsidR="00762822" w:rsidRPr="00762822" w:rsidRDefault="00762822" w:rsidP="00762822">
            <w:pPr>
              <w:spacing w:after="0" w:line="240" w:lineRule="auto"/>
              <w:rPr>
                <w:rFonts w:ascii="Calibri" w:eastAsia="Times New Roman" w:hAnsi="Calibri"/>
                <w:color w:val="000000"/>
                <w:sz w:val="20"/>
                <w:szCs w:val="20"/>
              </w:rPr>
            </w:pPr>
            <w:r w:rsidRPr="00762822">
              <w:rPr>
                <w:rFonts w:ascii="Calibri" w:eastAsia="Times New Roman" w:hAnsi="Calibri"/>
                <w:color w:val="000000"/>
                <w:sz w:val="20"/>
                <w:szCs w:val="20"/>
              </w:rPr>
              <w:t> </w:t>
            </w:r>
          </w:p>
        </w:tc>
        <w:tc>
          <w:tcPr>
            <w:tcW w:w="992" w:type="dxa"/>
            <w:tcBorders>
              <w:top w:val="single" w:sz="4" w:space="0" w:color="auto"/>
              <w:left w:val="nil"/>
              <w:bottom w:val="double" w:sz="6" w:space="0" w:color="auto"/>
              <w:right w:val="single" w:sz="4" w:space="0" w:color="auto"/>
            </w:tcBorders>
            <w:shd w:val="clear" w:color="auto" w:fill="auto"/>
            <w:vAlign w:val="center"/>
            <w:hideMark/>
          </w:tcPr>
          <w:p w:rsidR="00762822" w:rsidRPr="00762822" w:rsidRDefault="00762822" w:rsidP="00762822">
            <w:pPr>
              <w:spacing w:after="0" w:line="240" w:lineRule="auto"/>
              <w:rPr>
                <w:rFonts w:ascii="Calibri" w:eastAsia="Times New Roman" w:hAnsi="Calibri"/>
                <w:color w:val="000000"/>
                <w:sz w:val="20"/>
                <w:szCs w:val="20"/>
              </w:rPr>
            </w:pPr>
            <w:r w:rsidRPr="00762822">
              <w:rPr>
                <w:rFonts w:ascii="Calibri" w:eastAsia="Times New Roman" w:hAnsi="Calibri"/>
                <w:color w:val="000000"/>
                <w:sz w:val="20"/>
                <w:szCs w:val="20"/>
              </w:rPr>
              <w:t> </w:t>
            </w:r>
          </w:p>
        </w:tc>
        <w:tc>
          <w:tcPr>
            <w:tcW w:w="993" w:type="dxa"/>
            <w:tcBorders>
              <w:top w:val="single" w:sz="4" w:space="0" w:color="auto"/>
              <w:left w:val="single" w:sz="4" w:space="0" w:color="auto"/>
              <w:bottom w:val="double" w:sz="6" w:space="0" w:color="auto"/>
              <w:right w:val="single" w:sz="4" w:space="0" w:color="auto"/>
            </w:tcBorders>
            <w:shd w:val="clear" w:color="000000" w:fill="9BBB59"/>
            <w:vAlign w:val="center"/>
            <w:hideMark/>
          </w:tcPr>
          <w:p w:rsidR="00762822" w:rsidRPr="00762822" w:rsidRDefault="00762822" w:rsidP="00762822">
            <w:pPr>
              <w:spacing w:after="0" w:line="240" w:lineRule="auto"/>
              <w:rPr>
                <w:rFonts w:ascii="Calibri" w:eastAsia="Times New Roman" w:hAnsi="Calibri"/>
                <w:color w:val="000000"/>
                <w:sz w:val="20"/>
                <w:szCs w:val="20"/>
              </w:rPr>
            </w:pPr>
            <w:r w:rsidRPr="00762822">
              <w:rPr>
                <w:rFonts w:ascii="Calibri" w:eastAsia="Times New Roman" w:hAnsi="Calibri"/>
                <w:color w:val="000000"/>
                <w:sz w:val="20"/>
                <w:szCs w:val="20"/>
              </w:rPr>
              <w:t> </w:t>
            </w:r>
          </w:p>
        </w:tc>
        <w:tc>
          <w:tcPr>
            <w:tcW w:w="992" w:type="dxa"/>
            <w:tcBorders>
              <w:top w:val="single" w:sz="4" w:space="0" w:color="auto"/>
              <w:left w:val="nil"/>
              <w:bottom w:val="double" w:sz="6" w:space="0" w:color="auto"/>
              <w:right w:val="single" w:sz="4" w:space="0" w:color="auto"/>
            </w:tcBorders>
            <w:shd w:val="clear" w:color="auto" w:fill="auto"/>
            <w:vAlign w:val="center"/>
            <w:hideMark/>
          </w:tcPr>
          <w:p w:rsidR="00762822" w:rsidRPr="00762822" w:rsidRDefault="00762822" w:rsidP="00762822">
            <w:pPr>
              <w:spacing w:after="0" w:line="240" w:lineRule="auto"/>
              <w:rPr>
                <w:rFonts w:ascii="Calibri" w:eastAsia="Times New Roman" w:hAnsi="Calibri"/>
                <w:color w:val="000000"/>
                <w:sz w:val="20"/>
                <w:szCs w:val="20"/>
              </w:rPr>
            </w:pPr>
            <w:r w:rsidRPr="00762822">
              <w:rPr>
                <w:rFonts w:ascii="Calibri" w:eastAsia="Times New Roman" w:hAnsi="Calibri"/>
                <w:color w:val="000000"/>
                <w:sz w:val="20"/>
                <w:szCs w:val="20"/>
              </w:rPr>
              <w:t> </w:t>
            </w:r>
          </w:p>
        </w:tc>
        <w:tc>
          <w:tcPr>
            <w:tcW w:w="992" w:type="dxa"/>
            <w:tcBorders>
              <w:top w:val="single" w:sz="4" w:space="0" w:color="auto"/>
              <w:left w:val="single" w:sz="4" w:space="0" w:color="auto"/>
              <w:bottom w:val="double" w:sz="6" w:space="0" w:color="auto"/>
              <w:right w:val="single" w:sz="4" w:space="0" w:color="auto"/>
            </w:tcBorders>
            <w:shd w:val="clear" w:color="000000" w:fill="9BBB59"/>
            <w:vAlign w:val="center"/>
            <w:hideMark/>
          </w:tcPr>
          <w:p w:rsidR="00762822" w:rsidRPr="00762822" w:rsidRDefault="00762822" w:rsidP="00762822">
            <w:pPr>
              <w:spacing w:after="0" w:line="240" w:lineRule="auto"/>
              <w:rPr>
                <w:rFonts w:ascii="Calibri" w:eastAsia="Times New Roman" w:hAnsi="Calibri"/>
                <w:color w:val="000000"/>
                <w:sz w:val="20"/>
                <w:szCs w:val="20"/>
              </w:rPr>
            </w:pPr>
            <w:r w:rsidRPr="00762822">
              <w:rPr>
                <w:rFonts w:ascii="Calibri" w:eastAsia="Times New Roman" w:hAnsi="Calibri"/>
                <w:color w:val="000000"/>
                <w:sz w:val="20"/>
                <w:szCs w:val="20"/>
              </w:rPr>
              <w:t> </w:t>
            </w:r>
          </w:p>
        </w:tc>
        <w:tc>
          <w:tcPr>
            <w:tcW w:w="851" w:type="dxa"/>
            <w:tcBorders>
              <w:top w:val="single" w:sz="4" w:space="0" w:color="auto"/>
              <w:left w:val="nil"/>
              <w:bottom w:val="double" w:sz="6" w:space="0" w:color="auto"/>
              <w:right w:val="nil"/>
            </w:tcBorders>
            <w:shd w:val="clear" w:color="auto" w:fill="auto"/>
            <w:vAlign w:val="center"/>
            <w:hideMark/>
          </w:tcPr>
          <w:p w:rsidR="00762822" w:rsidRPr="00762822" w:rsidRDefault="00762822" w:rsidP="00762822">
            <w:pPr>
              <w:spacing w:after="0" w:line="240" w:lineRule="auto"/>
              <w:rPr>
                <w:rFonts w:ascii="Calibri" w:eastAsia="Times New Roman" w:hAnsi="Calibri"/>
                <w:color w:val="000000"/>
                <w:sz w:val="20"/>
                <w:szCs w:val="20"/>
              </w:rPr>
            </w:pPr>
            <w:r w:rsidRPr="00762822">
              <w:rPr>
                <w:rFonts w:ascii="Calibri" w:eastAsia="Times New Roman" w:hAnsi="Calibri"/>
                <w:color w:val="000000"/>
                <w:sz w:val="20"/>
                <w:szCs w:val="20"/>
              </w:rPr>
              <w:t> </w:t>
            </w:r>
          </w:p>
        </w:tc>
        <w:tc>
          <w:tcPr>
            <w:tcW w:w="850" w:type="dxa"/>
            <w:tcBorders>
              <w:top w:val="single" w:sz="4" w:space="0" w:color="auto"/>
              <w:left w:val="single" w:sz="4" w:space="0" w:color="auto"/>
              <w:bottom w:val="double" w:sz="6" w:space="0" w:color="auto"/>
              <w:right w:val="single" w:sz="8" w:space="0" w:color="auto"/>
            </w:tcBorders>
            <w:shd w:val="clear" w:color="auto" w:fill="auto"/>
            <w:vAlign w:val="center"/>
            <w:hideMark/>
          </w:tcPr>
          <w:p w:rsidR="00762822" w:rsidRPr="00762822" w:rsidRDefault="00762822" w:rsidP="00762822">
            <w:pPr>
              <w:tabs>
                <w:tab w:val="left" w:pos="638"/>
              </w:tabs>
              <w:spacing w:after="0" w:line="240" w:lineRule="auto"/>
              <w:ind w:right="174"/>
              <w:rPr>
                <w:rFonts w:ascii="Calibri" w:eastAsia="Times New Roman" w:hAnsi="Calibri"/>
                <w:color w:val="000000"/>
                <w:sz w:val="20"/>
                <w:szCs w:val="20"/>
              </w:rPr>
            </w:pPr>
            <w:r w:rsidRPr="00762822">
              <w:rPr>
                <w:rFonts w:ascii="Calibri" w:eastAsia="Times New Roman" w:hAnsi="Calibri"/>
                <w:color w:val="000000"/>
                <w:sz w:val="20"/>
                <w:szCs w:val="20"/>
              </w:rPr>
              <w:t> </w:t>
            </w:r>
          </w:p>
        </w:tc>
      </w:tr>
      <w:tr w:rsidR="00DF0ABC" w:rsidRPr="001368E0" w:rsidTr="00762822">
        <w:trPr>
          <w:trHeight w:val="300"/>
        </w:trPr>
        <w:tc>
          <w:tcPr>
            <w:tcW w:w="3276" w:type="dxa"/>
            <w:tcBorders>
              <w:top w:val="double" w:sz="4" w:space="0" w:color="auto"/>
              <w:left w:val="single" w:sz="8" w:space="0" w:color="auto"/>
              <w:bottom w:val="single" w:sz="4"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xml:space="preserve">Assembly </w:t>
            </w:r>
            <w:r w:rsidR="002059C0" w:rsidRPr="004408A1">
              <w:rPr>
                <w:rFonts w:ascii="Calibri" w:eastAsia="Times New Roman" w:hAnsi="Calibri"/>
                <w:i/>
                <w:iCs/>
                <w:color w:val="000000"/>
                <w:sz w:val="20"/>
                <w:szCs w:val="20"/>
                <w:lang w:val="en-GB"/>
              </w:rPr>
              <w:t xml:space="preserve">of European </w:t>
            </w:r>
            <w:r w:rsidRPr="004408A1">
              <w:rPr>
                <w:rFonts w:ascii="Calibri" w:eastAsia="Times New Roman" w:hAnsi="Calibri"/>
                <w:i/>
                <w:iCs/>
                <w:color w:val="000000"/>
                <w:sz w:val="20"/>
                <w:szCs w:val="20"/>
                <w:lang w:val="en-GB"/>
              </w:rPr>
              <w:t>Regions (AER)</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c>
          <w:tcPr>
            <w:tcW w:w="993"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c>
          <w:tcPr>
            <w:tcW w:w="992" w:type="dxa"/>
            <w:tcBorders>
              <w:top w:val="double" w:sz="4" w:space="0" w:color="auto"/>
              <w:left w:val="single" w:sz="4" w:space="0" w:color="auto"/>
              <w:bottom w:val="single" w:sz="4" w:space="0" w:color="auto"/>
              <w:right w:val="single" w:sz="4" w:space="0" w:color="auto"/>
            </w:tcBorders>
            <w:shd w:val="clear" w:color="000000" w:fill="9BBB59"/>
            <w:vAlign w:val="center"/>
            <w:hideMark/>
          </w:tcPr>
          <w:p w:rsidR="003B440B" w:rsidRPr="004408A1" w:rsidRDefault="003B440B" w:rsidP="003B440B">
            <w:pPr>
              <w:spacing w:after="0" w:line="240" w:lineRule="auto"/>
              <w:rPr>
                <w:rFonts w:ascii="Calibri" w:eastAsia="Times New Roman" w:hAnsi="Calibri"/>
                <w:color w:val="FFFFFF"/>
                <w:sz w:val="20"/>
                <w:szCs w:val="20"/>
                <w:lang w:val="en-GB"/>
              </w:rPr>
            </w:pPr>
            <w:r w:rsidRPr="004408A1">
              <w:rPr>
                <w:rFonts w:ascii="Calibri" w:eastAsia="Times New Roman" w:hAnsi="Calibri"/>
                <w:color w:val="FFFFFF"/>
                <w:sz w:val="20"/>
                <w:szCs w:val="20"/>
                <w:lang w:val="en-GB"/>
              </w:rPr>
              <w:t> </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c>
          <w:tcPr>
            <w:tcW w:w="850" w:type="dxa"/>
            <w:tcBorders>
              <w:top w:val="double" w:sz="4" w:space="0" w:color="auto"/>
              <w:left w:val="single" w:sz="4" w:space="0" w:color="auto"/>
              <w:bottom w:val="single" w:sz="4" w:space="0" w:color="auto"/>
              <w:right w:val="single" w:sz="8"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r>
      <w:tr w:rsidR="00DF0ABC" w:rsidRPr="001368E0"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570D4" w:rsidRPr="004408A1" w:rsidRDefault="00B570D4" w:rsidP="00662385">
            <w:pPr>
              <w:spacing w:after="0" w:line="240" w:lineRule="auto"/>
              <w:rPr>
                <w:rFonts w:ascii="Cambria" w:eastAsia="Times New Roman" w:hAnsi="Cambria"/>
                <w:i/>
                <w:iCs/>
                <w:color w:val="000000"/>
                <w:lang w:val="en-GB"/>
              </w:rPr>
            </w:pPr>
            <w:r w:rsidRPr="004408A1">
              <w:rPr>
                <w:rFonts w:ascii="Calibri" w:eastAsia="Times New Roman" w:hAnsi="Calibri"/>
                <w:i/>
                <w:iCs/>
                <w:color w:val="000000"/>
                <w:sz w:val="20"/>
                <w:szCs w:val="20"/>
                <w:lang w:val="en-GB"/>
              </w:rPr>
              <w:t>Conference of Peripheral Maritime Regions (CPMR)</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B570D4" w:rsidRPr="004408A1" w:rsidRDefault="00B570D4" w:rsidP="00B570D4">
            <w:pPr>
              <w:spacing w:line="240" w:lineRule="auto"/>
              <w:rPr>
                <w:rFonts w:ascii="Calibri" w:eastAsia="Times New Roman" w:hAnsi="Calibri"/>
                <w:color w:val="FFFFFF"/>
                <w:lang w:val="en-GB"/>
              </w:rPr>
            </w:pP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570D4" w:rsidRPr="004408A1" w:rsidRDefault="00B570D4" w:rsidP="00B570D4">
            <w:pPr>
              <w:spacing w:line="240" w:lineRule="auto"/>
              <w:rPr>
                <w:rFonts w:ascii="Calibri" w:eastAsia="Times New Roman" w:hAnsi="Calibri"/>
                <w:color w:val="FFFFFF"/>
                <w:lang w:val="en-GB"/>
              </w:rPr>
            </w:pPr>
            <w:r w:rsidRPr="004408A1">
              <w:rPr>
                <w:rFonts w:ascii="Calibri" w:eastAsia="Times New Roman" w:hAnsi="Calibri"/>
                <w:color w:val="FFFFFF"/>
                <w:lang w:val="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570D4" w:rsidRPr="004408A1" w:rsidRDefault="00B570D4" w:rsidP="00B570D4">
            <w:pPr>
              <w:spacing w:line="240" w:lineRule="auto"/>
              <w:rPr>
                <w:rFonts w:ascii="Cambria" w:eastAsia="Times New Roman" w:hAnsi="Cambria"/>
                <w:i/>
                <w:iCs/>
                <w:color w:val="000000"/>
                <w:lang w:val="en-GB"/>
              </w:rPr>
            </w:pPr>
            <w:r w:rsidRPr="004408A1">
              <w:rPr>
                <w:rFonts w:ascii="Cambria" w:eastAsia="Times New Roman" w:hAnsi="Cambria"/>
                <w:i/>
                <w:iCs/>
                <w:color w:val="000000"/>
                <w:lang w:val="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570D4" w:rsidRPr="004408A1" w:rsidRDefault="00B570D4" w:rsidP="00B570D4">
            <w:pPr>
              <w:spacing w:line="240" w:lineRule="auto"/>
              <w:rPr>
                <w:rFonts w:ascii="Cambria" w:eastAsia="Times New Roman" w:hAnsi="Cambria"/>
                <w:i/>
                <w:iCs/>
                <w:color w:val="000000"/>
                <w:lang w:val="en-GB"/>
              </w:rPr>
            </w:pP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570D4" w:rsidRPr="004408A1" w:rsidRDefault="00B570D4" w:rsidP="00B570D4">
            <w:pPr>
              <w:spacing w:line="240" w:lineRule="auto"/>
              <w:rPr>
                <w:rFonts w:ascii="Calibri" w:eastAsia="Times New Roman" w:hAnsi="Calibri"/>
                <w:color w:val="FFFFFF"/>
                <w:lang w:val="en-GB"/>
              </w:rPr>
            </w:pPr>
            <w:r w:rsidRPr="004408A1">
              <w:rPr>
                <w:rFonts w:ascii="Calibri" w:eastAsia="Times New Roman" w:hAnsi="Calibri"/>
                <w:color w:val="FFFFFF"/>
                <w:lang w:val="en-GB"/>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B570D4" w:rsidRPr="004408A1" w:rsidRDefault="00B570D4" w:rsidP="00B570D4">
            <w:pPr>
              <w:spacing w:line="240" w:lineRule="auto"/>
              <w:rPr>
                <w:rFonts w:ascii="Calibri" w:eastAsia="Times New Roman" w:hAnsi="Calibri"/>
                <w:color w:val="FFFFFF"/>
                <w:lang w:val="en-GB"/>
              </w:rPr>
            </w:pPr>
            <w:r w:rsidRPr="004408A1">
              <w:rPr>
                <w:rFonts w:ascii="Calibri" w:eastAsia="Times New Roman" w:hAnsi="Calibri"/>
                <w:color w:val="FFFFFF"/>
                <w:lang w:val="en-GB"/>
              </w:rPr>
              <w:t> </w:t>
            </w:r>
          </w:p>
        </w:tc>
        <w:tc>
          <w:tcPr>
            <w:tcW w:w="851"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B570D4" w:rsidRPr="004408A1" w:rsidRDefault="00B570D4" w:rsidP="00B570D4">
            <w:pPr>
              <w:spacing w:line="240" w:lineRule="auto"/>
              <w:rPr>
                <w:rFonts w:ascii="Calibri" w:eastAsia="Times New Roman" w:hAnsi="Calibri"/>
                <w:color w:val="FFFFFF"/>
                <w:lang w:val="en-GB"/>
              </w:rPr>
            </w:pP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B570D4" w:rsidRPr="004408A1" w:rsidRDefault="00B570D4" w:rsidP="00B570D4">
            <w:pPr>
              <w:spacing w:line="240" w:lineRule="auto"/>
              <w:ind w:right="940"/>
              <w:rPr>
                <w:rFonts w:ascii="Cambria" w:eastAsia="Times New Roman" w:hAnsi="Cambria"/>
                <w:i/>
                <w:iCs/>
                <w:color w:val="000000"/>
                <w:lang w:val="en-GB"/>
              </w:rPr>
            </w:pPr>
            <w:r w:rsidRPr="004408A1">
              <w:rPr>
                <w:rFonts w:ascii="Cambria" w:eastAsia="Times New Roman" w:hAnsi="Cambria"/>
                <w:i/>
                <w:iCs/>
                <w:color w:val="000000"/>
                <w:lang w:val="en-GB"/>
              </w:rPr>
              <w:t> </w:t>
            </w:r>
          </w:p>
        </w:tc>
      </w:tr>
      <w:tr w:rsidR="00DF0ABC" w:rsidRPr="001368E0" w:rsidTr="00762822">
        <w:trPr>
          <w:trHeight w:val="300"/>
        </w:trPr>
        <w:tc>
          <w:tcPr>
            <w:tcW w:w="3276"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B440B" w:rsidRPr="004408A1" w:rsidRDefault="00E14B85"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International Center for Migration Policy Development</w:t>
            </w:r>
            <w:r w:rsidR="003B440B" w:rsidRPr="004408A1">
              <w:rPr>
                <w:rFonts w:ascii="Calibri" w:eastAsia="Times New Roman" w:hAnsi="Calibri"/>
                <w:i/>
                <w:iCs/>
                <w:color w:val="000000"/>
                <w:sz w:val="20"/>
                <w:szCs w:val="20"/>
                <w:lang w:val="en-GB"/>
              </w:rPr>
              <w:t xml:space="preserve"> (ICMPD)</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4408A1" w:rsidRDefault="003B440B" w:rsidP="003B440B">
            <w:pPr>
              <w:spacing w:after="0" w:line="240" w:lineRule="auto"/>
              <w:rPr>
                <w:rFonts w:ascii="Calibri" w:eastAsia="Times New Roman" w:hAnsi="Calibri"/>
                <w:color w:val="FFFFFF"/>
                <w:sz w:val="20"/>
                <w:szCs w:val="20"/>
                <w:lang w:val="en-GB"/>
              </w:rPr>
            </w:pPr>
            <w:r w:rsidRPr="004408A1">
              <w:rPr>
                <w:rFonts w:ascii="Calibri" w:eastAsia="Times New Roman" w:hAnsi="Calibri"/>
                <w:color w:val="FFFFFF"/>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c>
          <w:tcPr>
            <w:tcW w:w="993"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B440B" w:rsidRPr="004408A1" w:rsidRDefault="003B440B" w:rsidP="003B440B">
            <w:pPr>
              <w:spacing w:after="0" w:line="240" w:lineRule="auto"/>
              <w:rPr>
                <w:rFonts w:ascii="Calibri" w:eastAsia="Times New Roman" w:hAnsi="Calibri"/>
                <w:color w:val="FFFFFF"/>
                <w:sz w:val="20"/>
                <w:szCs w:val="20"/>
                <w:lang w:val="en-GB"/>
              </w:rPr>
            </w:pPr>
            <w:r w:rsidRPr="004408A1">
              <w:rPr>
                <w:rFonts w:ascii="Calibri" w:eastAsia="Times New Roman" w:hAnsi="Calibri"/>
                <w:color w:val="FFFFFF"/>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c>
          <w:tcPr>
            <w:tcW w:w="851" w:type="dxa"/>
            <w:tcBorders>
              <w:top w:val="nil"/>
              <w:left w:val="nil"/>
              <w:bottom w:val="single" w:sz="8" w:space="0" w:color="auto"/>
              <w:right w:val="single" w:sz="4"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c>
          <w:tcPr>
            <w:tcW w:w="85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3B440B" w:rsidRPr="004408A1" w:rsidRDefault="003B440B"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w:t>
            </w:r>
          </w:p>
        </w:tc>
      </w:tr>
      <w:tr w:rsidR="00516E9C" w:rsidRPr="001368E0" w:rsidTr="00762822">
        <w:trPr>
          <w:trHeight w:val="354"/>
        </w:trPr>
        <w:tc>
          <w:tcPr>
            <w:tcW w:w="10930" w:type="dxa"/>
            <w:gridSpan w:val="9"/>
            <w:tcBorders>
              <w:top w:val="single" w:sz="4" w:space="0" w:color="4F81BD"/>
              <w:left w:val="single" w:sz="8" w:space="0" w:color="auto"/>
              <w:bottom w:val="single" w:sz="8" w:space="0" w:color="auto"/>
              <w:right w:val="single" w:sz="8" w:space="0" w:color="auto"/>
            </w:tcBorders>
            <w:shd w:val="clear" w:color="auto" w:fill="auto"/>
            <w:noWrap/>
            <w:vAlign w:val="center"/>
            <w:hideMark/>
          </w:tcPr>
          <w:p w:rsidR="00516E9C" w:rsidRPr="004408A1" w:rsidRDefault="00516E9C" w:rsidP="003B440B">
            <w:pPr>
              <w:spacing w:after="0" w:line="240" w:lineRule="auto"/>
              <w:rPr>
                <w:rFonts w:ascii="Calibri" w:eastAsia="Times New Roman" w:hAnsi="Calibri"/>
                <w:i/>
                <w:iCs/>
                <w:color w:val="000000"/>
                <w:sz w:val="20"/>
                <w:szCs w:val="20"/>
                <w:lang w:val="en-GB"/>
              </w:rPr>
            </w:pPr>
            <w:r w:rsidRPr="004408A1">
              <w:rPr>
                <w:rFonts w:ascii="Calibri" w:eastAsia="Times New Roman" w:hAnsi="Calibri"/>
                <w:i/>
                <w:iCs/>
                <w:color w:val="000000"/>
                <w:sz w:val="20"/>
                <w:szCs w:val="20"/>
                <w:lang w:val="en-GB"/>
              </w:rPr>
              <w:t>* Compilation of consultation results: Greece (31.12.</w:t>
            </w:r>
            <w:r w:rsidR="00FD6A56">
              <w:rPr>
                <w:rFonts w:ascii="Calibri" w:eastAsia="Times New Roman" w:hAnsi="Calibri"/>
                <w:i/>
                <w:iCs/>
                <w:color w:val="000000"/>
                <w:sz w:val="20"/>
                <w:szCs w:val="20"/>
                <w:lang w:val="en-GB"/>
              </w:rPr>
              <w:t>2013, 20.02.2014); Moldova (autu</w:t>
            </w:r>
            <w:r w:rsidRPr="004408A1">
              <w:rPr>
                <w:rFonts w:ascii="Calibri" w:eastAsia="Times New Roman" w:hAnsi="Calibri"/>
                <w:i/>
                <w:iCs/>
                <w:color w:val="000000"/>
                <w:sz w:val="20"/>
                <w:szCs w:val="20"/>
                <w:lang w:val="en-GB"/>
              </w:rPr>
              <w:t>mn 2013, 27.01.2014)</w:t>
            </w:r>
          </w:p>
        </w:tc>
      </w:tr>
    </w:tbl>
    <w:p w:rsidR="0080785F" w:rsidRDefault="00D241B5" w:rsidP="00861DD0">
      <w:pPr>
        <w:spacing w:before="120" w:after="0" w:line="240" w:lineRule="auto"/>
        <w:rPr>
          <w:rFonts w:ascii="Times New Roman" w:hAnsi="Times New Roman"/>
          <w:b/>
          <w:sz w:val="18"/>
          <w:szCs w:val="18"/>
          <w:lang w:val="en-GB"/>
        </w:rPr>
      </w:pPr>
      <w:r>
        <w:rPr>
          <w:rFonts w:eastAsia="Times New Roman"/>
          <w:i/>
          <w:color w:val="000000"/>
          <w:sz w:val="20"/>
          <w:szCs w:val="20"/>
          <w:lang w:val="en-GB"/>
        </w:rPr>
        <w:t>Table 2. O</w:t>
      </w:r>
      <w:r w:rsidRPr="008C6029">
        <w:rPr>
          <w:rFonts w:eastAsia="Times New Roman"/>
          <w:i/>
          <w:color w:val="000000"/>
          <w:sz w:val="20"/>
          <w:szCs w:val="20"/>
          <w:lang w:val="en-GB"/>
        </w:rPr>
        <w:t xml:space="preserve">utcome of </w:t>
      </w:r>
      <w:r>
        <w:rPr>
          <w:rFonts w:eastAsia="Times New Roman"/>
          <w:i/>
          <w:color w:val="000000"/>
          <w:sz w:val="20"/>
          <w:szCs w:val="20"/>
          <w:lang w:val="en-GB"/>
        </w:rPr>
        <w:t>stakeholder consultation on thematic objectives and priorities.</w:t>
      </w:r>
      <w:r w:rsidR="00D212F0">
        <w:rPr>
          <w:rFonts w:eastAsia="Times New Roman"/>
          <w:i/>
          <w:color w:val="000000"/>
          <w:sz w:val="20"/>
          <w:szCs w:val="20"/>
          <w:lang w:val="en-GB"/>
        </w:rPr>
        <w:t xml:space="preserve"> Support or interest from stakeholders is highlighted in green, strong support or interest is</w:t>
      </w:r>
      <w:r w:rsidRPr="008C6029">
        <w:rPr>
          <w:rFonts w:eastAsia="Times New Roman"/>
          <w:i/>
          <w:color w:val="000000"/>
          <w:sz w:val="20"/>
          <w:szCs w:val="20"/>
          <w:lang w:val="en-GB"/>
        </w:rPr>
        <w:t xml:space="preserve"> highlighted in dark green. </w:t>
      </w:r>
    </w:p>
    <w:p w:rsidR="00A328FC" w:rsidRPr="00541CA7" w:rsidRDefault="00A328FC" w:rsidP="00EE604A">
      <w:pPr>
        <w:spacing w:before="120" w:after="0" w:line="264" w:lineRule="auto"/>
        <w:jc w:val="both"/>
        <w:rPr>
          <w:b/>
          <w:sz w:val="2"/>
          <w:szCs w:val="2"/>
          <w:lang w:val="en-GB"/>
        </w:rPr>
      </w:pPr>
    </w:p>
    <w:p w:rsidR="00B66840" w:rsidRPr="00A12B5F" w:rsidRDefault="00C55C88" w:rsidP="00EE604A">
      <w:pPr>
        <w:spacing w:before="120" w:after="0" w:line="264" w:lineRule="auto"/>
        <w:jc w:val="both"/>
        <w:rPr>
          <w:b/>
          <w:sz w:val="22"/>
          <w:szCs w:val="22"/>
          <w:lang w:val="en-GB"/>
        </w:rPr>
      </w:pPr>
      <w:r>
        <w:rPr>
          <w:b/>
          <w:sz w:val="22"/>
          <w:szCs w:val="22"/>
          <w:lang w:val="en-GB"/>
        </w:rPr>
        <w:t>T</w:t>
      </w:r>
      <w:r w:rsidR="00EE033C" w:rsidRPr="00AE4936">
        <w:rPr>
          <w:b/>
          <w:sz w:val="22"/>
          <w:szCs w:val="22"/>
          <w:lang w:val="en-GB"/>
        </w:rPr>
        <w:t>hema</w:t>
      </w:r>
      <w:r w:rsidR="00EE033C">
        <w:rPr>
          <w:b/>
          <w:sz w:val="22"/>
          <w:szCs w:val="22"/>
          <w:lang w:val="en-GB"/>
        </w:rPr>
        <w:t>tic Objective 6 was</w:t>
      </w:r>
      <w:r w:rsidR="00EE033C" w:rsidRPr="00AE4936">
        <w:rPr>
          <w:b/>
          <w:sz w:val="22"/>
          <w:szCs w:val="22"/>
          <w:lang w:val="en-GB"/>
        </w:rPr>
        <w:t xml:space="preserve"> unanimously supported as the most relevant </w:t>
      </w:r>
      <w:r w:rsidR="00374D88">
        <w:rPr>
          <w:b/>
          <w:sz w:val="22"/>
          <w:szCs w:val="22"/>
          <w:lang w:val="en-GB"/>
        </w:rPr>
        <w:t>by</w:t>
      </w:r>
      <w:r w:rsidR="00374D88" w:rsidRPr="00AE4936">
        <w:rPr>
          <w:b/>
          <w:sz w:val="22"/>
          <w:szCs w:val="22"/>
          <w:lang w:val="en-GB"/>
        </w:rPr>
        <w:t xml:space="preserve"> </w:t>
      </w:r>
      <w:r w:rsidR="00EE033C" w:rsidRPr="00AE4936">
        <w:rPr>
          <w:b/>
          <w:sz w:val="22"/>
          <w:szCs w:val="22"/>
          <w:lang w:val="en-GB"/>
        </w:rPr>
        <w:t>participati</w:t>
      </w:r>
      <w:r w:rsidR="00EE033C">
        <w:rPr>
          <w:b/>
          <w:sz w:val="22"/>
          <w:szCs w:val="22"/>
          <w:lang w:val="en-GB"/>
        </w:rPr>
        <w:t>ng countries</w:t>
      </w:r>
      <w:r>
        <w:rPr>
          <w:b/>
          <w:sz w:val="22"/>
          <w:szCs w:val="22"/>
          <w:lang w:val="en-GB"/>
        </w:rPr>
        <w:t xml:space="preserve">, while there was also a wide consensus on Thematic </w:t>
      </w:r>
      <w:r w:rsidRPr="00A12B5F">
        <w:rPr>
          <w:b/>
          <w:sz w:val="22"/>
          <w:szCs w:val="22"/>
          <w:lang w:val="en-GB"/>
        </w:rPr>
        <w:t>Objective 1</w:t>
      </w:r>
      <w:r w:rsidR="008313FF" w:rsidRPr="00A12B5F">
        <w:rPr>
          <w:b/>
          <w:sz w:val="22"/>
          <w:szCs w:val="22"/>
          <w:lang w:val="en-GB"/>
        </w:rPr>
        <w:t xml:space="preserve"> during the consultations</w:t>
      </w:r>
      <w:r w:rsidRPr="00A12B5F">
        <w:rPr>
          <w:b/>
          <w:sz w:val="22"/>
          <w:szCs w:val="22"/>
          <w:lang w:val="en-GB"/>
        </w:rPr>
        <w:t xml:space="preserve">. There was some interest and support for </w:t>
      </w:r>
      <w:r w:rsidR="00C90E46">
        <w:rPr>
          <w:b/>
          <w:sz w:val="22"/>
          <w:szCs w:val="22"/>
          <w:lang w:val="en-GB"/>
        </w:rPr>
        <w:t>Thematic O</w:t>
      </w:r>
      <w:r w:rsidRPr="00A12B5F">
        <w:rPr>
          <w:b/>
          <w:sz w:val="22"/>
          <w:szCs w:val="22"/>
          <w:lang w:val="en-GB"/>
        </w:rPr>
        <w:t>bjectives 2, 3, 4 and 7.</w:t>
      </w:r>
    </w:p>
    <w:p w:rsidR="003E4200" w:rsidRDefault="00056C65" w:rsidP="00EE604A">
      <w:pPr>
        <w:spacing w:before="120" w:after="0" w:line="264" w:lineRule="auto"/>
        <w:jc w:val="both"/>
        <w:rPr>
          <w:sz w:val="22"/>
          <w:szCs w:val="22"/>
          <w:lang w:val="en-GB"/>
        </w:rPr>
      </w:pPr>
      <w:r w:rsidRPr="00CA0CB4">
        <w:rPr>
          <w:b/>
          <w:sz w:val="22"/>
          <w:szCs w:val="22"/>
          <w:lang w:val="en-GB"/>
        </w:rPr>
        <w:t>T</w:t>
      </w:r>
      <w:r w:rsidR="00AE522F">
        <w:rPr>
          <w:b/>
          <w:sz w:val="22"/>
          <w:szCs w:val="22"/>
          <w:lang w:val="en-GB"/>
        </w:rPr>
        <w:t>here was limited support for T</w:t>
      </w:r>
      <w:r w:rsidRPr="00CA0CB4">
        <w:rPr>
          <w:b/>
          <w:sz w:val="22"/>
          <w:szCs w:val="22"/>
          <w:lang w:val="en-GB"/>
        </w:rPr>
        <w:t xml:space="preserve">hematic </w:t>
      </w:r>
      <w:r w:rsidR="00AE522F">
        <w:rPr>
          <w:b/>
          <w:sz w:val="22"/>
          <w:szCs w:val="22"/>
          <w:lang w:val="en-GB"/>
        </w:rPr>
        <w:t>O</w:t>
      </w:r>
      <w:r w:rsidRPr="00CA0CB4">
        <w:rPr>
          <w:b/>
          <w:sz w:val="22"/>
          <w:szCs w:val="22"/>
          <w:lang w:val="en-GB"/>
        </w:rPr>
        <w:t>bjectiv</w:t>
      </w:r>
      <w:r w:rsidR="006846AC" w:rsidRPr="00CA0CB4">
        <w:rPr>
          <w:b/>
          <w:sz w:val="22"/>
          <w:szCs w:val="22"/>
          <w:lang w:val="en-GB"/>
        </w:rPr>
        <w:t>e</w:t>
      </w:r>
      <w:r w:rsidR="00CA0CB4" w:rsidRPr="00CA0CB4">
        <w:rPr>
          <w:b/>
          <w:sz w:val="22"/>
          <w:szCs w:val="22"/>
          <w:lang w:val="en-GB"/>
        </w:rPr>
        <w:t xml:space="preserve"> 5</w:t>
      </w:r>
      <w:r w:rsidR="00AE522F">
        <w:rPr>
          <w:sz w:val="22"/>
          <w:szCs w:val="22"/>
          <w:lang w:val="en-GB"/>
        </w:rPr>
        <w:t xml:space="preserve"> during the national consultations </w:t>
      </w:r>
      <w:r w:rsidR="00CA0CB4">
        <w:rPr>
          <w:sz w:val="22"/>
          <w:szCs w:val="22"/>
          <w:lang w:val="en-GB"/>
        </w:rPr>
        <w:t>(</w:t>
      </w:r>
      <w:r w:rsidR="006846AC">
        <w:rPr>
          <w:sz w:val="22"/>
          <w:szCs w:val="22"/>
          <w:lang w:val="en-GB"/>
        </w:rPr>
        <w:t>already poorly supported by the SWOT and past experience analys</w:t>
      </w:r>
      <w:r w:rsidR="00AE522F">
        <w:rPr>
          <w:sz w:val="22"/>
          <w:szCs w:val="22"/>
          <w:lang w:val="en-GB"/>
        </w:rPr>
        <w:t>e</w:t>
      </w:r>
      <w:r w:rsidR="006846AC">
        <w:rPr>
          <w:sz w:val="22"/>
          <w:szCs w:val="22"/>
          <w:lang w:val="en-GB"/>
        </w:rPr>
        <w:t>s</w:t>
      </w:r>
      <w:r w:rsidR="00CA0CB4">
        <w:rPr>
          <w:sz w:val="22"/>
          <w:szCs w:val="22"/>
          <w:lang w:val="en-GB"/>
        </w:rPr>
        <w:t>)</w:t>
      </w:r>
      <w:r w:rsidR="00D33CCE">
        <w:rPr>
          <w:sz w:val="22"/>
          <w:szCs w:val="22"/>
          <w:lang w:val="en-GB"/>
        </w:rPr>
        <w:t xml:space="preserve">. </w:t>
      </w:r>
      <w:r w:rsidR="00B66840">
        <w:rPr>
          <w:sz w:val="22"/>
          <w:szCs w:val="22"/>
          <w:lang w:val="en-GB"/>
        </w:rPr>
        <w:t xml:space="preserve">The importance </w:t>
      </w:r>
      <w:r w:rsidR="00AE522F">
        <w:rPr>
          <w:sz w:val="22"/>
          <w:szCs w:val="22"/>
          <w:lang w:val="en-GB"/>
        </w:rPr>
        <w:t xml:space="preserve">of </w:t>
      </w:r>
      <w:r w:rsidR="00B66840">
        <w:rPr>
          <w:sz w:val="22"/>
          <w:szCs w:val="22"/>
          <w:lang w:val="en-GB"/>
        </w:rPr>
        <w:t>increas</w:t>
      </w:r>
      <w:r w:rsidR="00AE522F">
        <w:rPr>
          <w:sz w:val="22"/>
          <w:szCs w:val="22"/>
          <w:lang w:val="en-GB"/>
        </w:rPr>
        <w:t>ing</w:t>
      </w:r>
      <w:r w:rsidR="00B66840">
        <w:rPr>
          <w:sz w:val="22"/>
          <w:szCs w:val="22"/>
          <w:lang w:val="en-GB"/>
        </w:rPr>
        <w:t xml:space="preserve"> the capacity of local and regional authorities and communities for </w:t>
      </w:r>
      <w:r w:rsidR="00AE522F">
        <w:rPr>
          <w:sz w:val="22"/>
          <w:szCs w:val="22"/>
          <w:lang w:val="en-GB"/>
        </w:rPr>
        <w:t xml:space="preserve">the success of the </w:t>
      </w:r>
      <w:r w:rsidR="00B66840">
        <w:rPr>
          <w:sz w:val="22"/>
          <w:szCs w:val="22"/>
          <w:lang w:val="en-GB"/>
        </w:rPr>
        <w:t>programme was nonetheless emphasi</w:t>
      </w:r>
      <w:r w:rsidR="00AE522F">
        <w:rPr>
          <w:sz w:val="22"/>
          <w:szCs w:val="22"/>
          <w:lang w:val="en-GB"/>
        </w:rPr>
        <w:t>s</w:t>
      </w:r>
      <w:r w:rsidR="00B66840">
        <w:rPr>
          <w:sz w:val="22"/>
          <w:szCs w:val="22"/>
          <w:lang w:val="en-GB"/>
        </w:rPr>
        <w:t xml:space="preserve">ed, in particular by international organisations. Good governance and local/regional capacity building is very much a transversal issue, important for </w:t>
      </w:r>
      <w:r w:rsidR="00AE522F">
        <w:rPr>
          <w:sz w:val="22"/>
          <w:szCs w:val="22"/>
          <w:lang w:val="en-GB"/>
        </w:rPr>
        <w:t xml:space="preserve">the success of </w:t>
      </w:r>
      <w:r w:rsidR="00B66840">
        <w:rPr>
          <w:sz w:val="22"/>
          <w:szCs w:val="22"/>
          <w:lang w:val="en-GB"/>
        </w:rPr>
        <w:t>CBC project</w:t>
      </w:r>
      <w:r w:rsidR="00AE522F">
        <w:rPr>
          <w:sz w:val="22"/>
          <w:szCs w:val="22"/>
          <w:lang w:val="en-GB"/>
        </w:rPr>
        <w:t>s</w:t>
      </w:r>
      <w:r w:rsidR="00B66840">
        <w:rPr>
          <w:sz w:val="22"/>
          <w:szCs w:val="22"/>
          <w:lang w:val="en-GB"/>
        </w:rPr>
        <w:t xml:space="preserve">, and </w:t>
      </w:r>
      <w:r w:rsidR="00AE522F">
        <w:rPr>
          <w:sz w:val="22"/>
          <w:szCs w:val="22"/>
          <w:lang w:val="en-GB"/>
        </w:rPr>
        <w:t xml:space="preserve">could </w:t>
      </w:r>
      <w:r w:rsidR="00B66840">
        <w:rPr>
          <w:sz w:val="22"/>
          <w:szCs w:val="22"/>
          <w:lang w:val="en-GB"/>
        </w:rPr>
        <w:t xml:space="preserve">be included in the programme </w:t>
      </w:r>
      <w:r w:rsidR="00B66840" w:rsidRPr="00B66840">
        <w:rPr>
          <w:b/>
          <w:sz w:val="22"/>
          <w:szCs w:val="22"/>
          <w:lang w:val="en-GB"/>
        </w:rPr>
        <w:t>at horizontal level</w:t>
      </w:r>
      <w:r w:rsidR="00B66840">
        <w:rPr>
          <w:sz w:val="22"/>
          <w:szCs w:val="22"/>
          <w:lang w:val="en-GB"/>
        </w:rPr>
        <w:t xml:space="preserve"> rather than as a separate T</w:t>
      </w:r>
      <w:r w:rsidR="00AE522F">
        <w:rPr>
          <w:sz w:val="22"/>
          <w:szCs w:val="22"/>
          <w:lang w:val="en-GB"/>
        </w:rPr>
        <w:t>hemativ</w:t>
      </w:r>
      <w:r w:rsidR="00A328FC">
        <w:rPr>
          <w:sz w:val="22"/>
          <w:szCs w:val="22"/>
          <w:lang w:val="en-GB"/>
        </w:rPr>
        <w:t>e</w:t>
      </w:r>
      <w:r w:rsidR="00AE522F">
        <w:rPr>
          <w:sz w:val="22"/>
          <w:szCs w:val="22"/>
          <w:lang w:val="en-GB"/>
        </w:rPr>
        <w:t xml:space="preserve"> </w:t>
      </w:r>
      <w:r w:rsidR="00B66840">
        <w:rPr>
          <w:sz w:val="22"/>
          <w:szCs w:val="22"/>
          <w:lang w:val="en-GB"/>
        </w:rPr>
        <w:t>O</w:t>
      </w:r>
      <w:r w:rsidR="00AE522F">
        <w:rPr>
          <w:sz w:val="22"/>
          <w:szCs w:val="22"/>
          <w:lang w:val="en-GB"/>
        </w:rPr>
        <w:t>bjective</w:t>
      </w:r>
      <w:r w:rsidR="00B66840">
        <w:rPr>
          <w:sz w:val="22"/>
          <w:szCs w:val="22"/>
          <w:lang w:val="en-GB"/>
        </w:rPr>
        <w:t xml:space="preserve">. Comments from the consultations also suggest that to be effective, local and regional capacity building should not be an aim in itself but oriented towards the achievement of thematic results and specific targets (learning by doing). </w:t>
      </w:r>
    </w:p>
    <w:p w:rsidR="00483E84" w:rsidRPr="004408A1" w:rsidRDefault="00056C65" w:rsidP="00EE604A">
      <w:pPr>
        <w:spacing w:before="120" w:after="0" w:line="264" w:lineRule="auto"/>
        <w:jc w:val="both"/>
        <w:rPr>
          <w:rFonts w:ascii="Times New Roman" w:hAnsi="Times New Roman"/>
          <w:sz w:val="22"/>
          <w:szCs w:val="22"/>
          <w:lang w:val="en-GB"/>
        </w:rPr>
      </w:pPr>
      <w:r>
        <w:rPr>
          <w:b/>
          <w:sz w:val="22"/>
          <w:szCs w:val="22"/>
          <w:lang w:val="en-GB"/>
        </w:rPr>
        <w:t>The</w:t>
      </w:r>
      <w:r w:rsidR="00FD595F">
        <w:rPr>
          <w:b/>
          <w:sz w:val="22"/>
          <w:szCs w:val="22"/>
          <w:lang w:val="en-GB"/>
        </w:rPr>
        <w:t xml:space="preserve">re was </w:t>
      </w:r>
      <w:r w:rsidR="00374D88">
        <w:rPr>
          <w:b/>
          <w:sz w:val="22"/>
          <w:szCs w:val="22"/>
          <w:lang w:val="en-GB"/>
        </w:rPr>
        <w:t xml:space="preserve">very little </w:t>
      </w:r>
      <w:r w:rsidRPr="00F12B27">
        <w:rPr>
          <w:b/>
          <w:sz w:val="22"/>
          <w:szCs w:val="22"/>
          <w:lang w:val="en-GB"/>
        </w:rPr>
        <w:t xml:space="preserve">support </w:t>
      </w:r>
      <w:r w:rsidR="00FD595F">
        <w:rPr>
          <w:b/>
          <w:sz w:val="22"/>
          <w:szCs w:val="22"/>
          <w:lang w:val="en-GB"/>
        </w:rPr>
        <w:t xml:space="preserve">during the consultations </w:t>
      </w:r>
      <w:r w:rsidRPr="00F12B27">
        <w:rPr>
          <w:b/>
          <w:sz w:val="22"/>
          <w:szCs w:val="22"/>
          <w:lang w:val="en-GB"/>
        </w:rPr>
        <w:t xml:space="preserve">for Thematic </w:t>
      </w:r>
      <w:r w:rsidR="00FD595F">
        <w:rPr>
          <w:b/>
          <w:sz w:val="22"/>
          <w:szCs w:val="22"/>
          <w:lang w:val="en-GB"/>
        </w:rPr>
        <w:t>O</w:t>
      </w:r>
      <w:r w:rsidRPr="00F12B27">
        <w:rPr>
          <w:b/>
          <w:sz w:val="22"/>
          <w:szCs w:val="22"/>
          <w:lang w:val="en-GB"/>
        </w:rPr>
        <w:t>bjective 8</w:t>
      </w:r>
      <w:r w:rsidR="00A12B5F">
        <w:rPr>
          <w:b/>
          <w:sz w:val="22"/>
          <w:szCs w:val="22"/>
          <w:lang w:val="en-GB"/>
        </w:rPr>
        <w:t xml:space="preserve"> </w:t>
      </w:r>
      <w:r w:rsidR="00F0162C">
        <w:rPr>
          <w:sz w:val="22"/>
          <w:szCs w:val="22"/>
          <w:lang w:val="en-GB"/>
        </w:rPr>
        <w:t>therefore this objective wa</w:t>
      </w:r>
      <w:r w:rsidR="00C0559E">
        <w:rPr>
          <w:sz w:val="22"/>
          <w:szCs w:val="22"/>
          <w:lang w:val="en-GB"/>
        </w:rPr>
        <w:t>s</w:t>
      </w:r>
      <w:r w:rsidR="00A52C92">
        <w:rPr>
          <w:sz w:val="22"/>
          <w:szCs w:val="22"/>
          <w:lang w:val="en-GB"/>
        </w:rPr>
        <w:t xml:space="preserve"> not </w:t>
      </w:r>
      <w:r w:rsidR="007F7164">
        <w:rPr>
          <w:sz w:val="22"/>
          <w:szCs w:val="22"/>
          <w:lang w:val="en-GB"/>
        </w:rPr>
        <w:t>included or</w:t>
      </w:r>
      <w:r w:rsidR="002F2B86" w:rsidRPr="00786ED5">
        <w:rPr>
          <w:sz w:val="22"/>
          <w:szCs w:val="22"/>
          <w:lang w:val="en-GB"/>
        </w:rPr>
        <w:t xml:space="preserve"> analysed further</w:t>
      </w:r>
      <w:r w:rsidR="005772A5">
        <w:rPr>
          <w:rStyle w:val="FootnoteReference"/>
          <w:sz w:val="22"/>
          <w:szCs w:val="22"/>
          <w:lang w:val="en-GB"/>
        </w:rPr>
        <w:footnoteReference w:id="59"/>
      </w:r>
      <w:r w:rsidR="002F2B86" w:rsidRPr="00786ED5">
        <w:rPr>
          <w:sz w:val="22"/>
          <w:szCs w:val="22"/>
          <w:lang w:val="en-GB"/>
        </w:rPr>
        <w:t>.</w:t>
      </w:r>
    </w:p>
    <w:p w:rsidR="00323BC7" w:rsidRPr="0025034F" w:rsidRDefault="00723856" w:rsidP="00EE604A">
      <w:pPr>
        <w:pStyle w:val="Heading3"/>
        <w:spacing w:before="200" w:after="120" w:line="264" w:lineRule="auto"/>
        <w:rPr>
          <w:b/>
          <w:sz w:val="28"/>
          <w:szCs w:val="28"/>
          <w:lang w:val="en-GB"/>
        </w:rPr>
      </w:pPr>
      <w:bookmarkStart w:id="59" w:name="_Toc288133443"/>
      <w:r w:rsidRPr="0025034F">
        <w:rPr>
          <w:b/>
          <w:sz w:val="28"/>
          <w:szCs w:val="28"/>
          <w:lang w:val="en-GB"/>
        </w:rPr>
        <w:t>Consistency</w:t>
      </w:r>
      <w:r w:rsidR="00C91E80" w:rsidRPr="0025034F">
        <w:rPr>
          <w:b/>
          <w:sz w:val="28"/>
          <w:szCs w:val="28"/>
          <w:lang w:val="en-GB"/>
        </w:rPr>
        <w:t xml:space="preserve"> with </w:t>
      </w:r>
      <w:r w:rsidR="00B8408A" w:rsidRPr="0025034F">
        <w:rPr>
          <w:b/>
          <w:sz w:val="28"/>
          <w:szCs w:val="28"/>
          <w:lang w:val="en-GB"/>
        </w:rPr>
        <w:t xml:space="preserve">other EU </w:t>
      </w:r>
      <w:r w:rsidR="001D768C" w:rsidRPr="0025034F">
        <w:rPr>
          <w:b/>
          <w:sz w:val="28"/>
          <w:szCs w:val="28"/>
          <w:lang w:val="en-GB"/>
        </w:rPr>
        <w:t>programmes</w:t>
      </w:r>
      <w:bookmarkEnd w:id="59"/>
    </w:p>
    <w:p w:rsidR="00B16F63" w:rsidRDefault="00FD595F" w:rsidP="00EE604A">
      <w:pPr>
        <w:spacing w:before="120" w:after="0" w:line="264" w:lineRule="auto"/>
        <w:jc w:val="both"/>
        <w:rPr>
          <w:sz w:val="22"/>
          <w:szCs w:val="22"/>
          <w:lang w:val="en-GB"/>
        </w:rPr>
      </w:pPr>
      <w:r>
        <w:rPr>
          <w:sz w:val="22"/>
          <w:szCs w:val="22"/>
          <w:lang w:val="en-GB"/>
        </w:rPr>
        <w:t xml:space="preserve">The </w:t>
      </w:r>
      <w:r w:rsidR="00297294" w:rsidRPr="00760EA8">
        <w:rPr>
          <w:sz w:val="22"/>
          <w:szCs w:val="22"/>
          <w:lang w:val="en-GB"/>
        </w:rPr>
        <w:t xml:space="preserve">ENI CBC programming document </w:t>
      </w:r>
      <w:r>
        <w:rPr>
          <w:sz w:val="22"/>
          <w:szCs w:val="22"/>
          <w:lang w:val="en-GB"/>
        </w:rPr>
        <w:t>states</w:t>
      </w:r>
      <w:r w:rsidRPr="00760EA8">
        <w:rPr>
          <w:sz w:val="22"/>
          <w:szCs w:val="22"/>
          <w:lang w:val="en-GB"/>
        </w:rPr>
        <w:t xml:space="preserve"> </w:t>
      </w:r>
      <w:r w:rsidR="00297294" w:rsidRPr="00760EA8">
        <w:rPr>
          <w:sz w:val="22"/>
          <w:szCs w:val="22"/>
          <w:lang w:val="en-GB"/>
        </w:rPr>
        <w:t xml:space="preserve">that CBC programmes must deliver real cross-border added value and </w:t>
      </w:r>
      <w:r w:rsidR="00780B7D">
        <w:rPr>
          <w:sz w:val="22"/>
          <w:szCs w:val="22"/>
          <w:lang w:val="en-GB"/>
        </w:rPr>
        <w:t>“</w:t>
      </w:r>
      <w:r w:rsidR="00297294" w:rsidRPr="00D8168E">
        <w:rPr>
          <w:i/>
          <w:sz w:val="22"/>
          <w:szCs w:val="22"/>
          <w:lang w:val="en-GB"/>
        </w:rPr>
        <w:t>not cover elements which are already funded or could more suitably be funded from other ENI or EU programmes</w:t>
      </w:r>
      <w:r w:rsidR="00374D88">
        <w:rPr>
          <w:i/>
          <w:sz w:val="22"/>
          <w:szCs w:val="22"/>
          <w:lang w:val="en-GB"/>
        </w:rPr>
        <w:t>”</w:t>
      </w:r>
      <w:r w:rsidR="00297294" w:rsidRPr="00760EA8">
        <w:rPr>
          <w:sz w:val="22"/>
          <w:szCs w:val="22"/>
          <w:lang w:val="en-GB"/>
        </w:rPr>
        <w:t xml:space="preserve">. A </w:t>
      </w:r>
      <w:r w:rsidR="00463260">
        <w:rPr>
          <w:sz w:val="22"/>
          <w:szCs w:val="22"/>
          <w:lang w:val="en-GB"/>
        </w:rPr>
        <w:t xml:space="preserve">gap analysis is therefore provided below </w:t>
      </w:r>
      <w:r w:rsidR="00FC0F33" w:rsidRPr="00760EA8">
        <w:rPr>
          <w:sz w:val="22"/>
          <w:szCs w:val="22"/>
          <w:lang w:val="en-GB"/>
        </w:rPr>
        <w:t xml:space="preserve">to identify what is (or </w:t>
      </w:r>
      <w:r>
        <w:rPr>
          <w:sz w:val="22"/>
          <w:szCs w:val="22"/>
          <w:lang w:val="en-GB"/>
        </w:rPr>
        <w:t xml:space="preserve">is </w:t>
      </w:r>
      <w:r w:rsidR="00FC0F33" w:rsidRPr="00760EA8">
        <w:rPr>
          <w:sz w:val="22"/>
          <w:szCs w:val="22"/>
          <w:lang w:val="en-GB"/>
        </w:rPr>
        <w:t xml:space="preserve">not) covered </w:t>
      </w:r>
      <w:r w:rsidR="00374D88">
        <w:rPr>
          <w:sz w:val="22"/>
          <w:szCs w:val="22"/>
          <w:lang w:val="en-GB"/>
        </w:rPr>
        <w:t xml:space="preserve">by </w:t>
      </w:r>
      <w:r w:rsidR="00B16F63">
        <w:rPr>
          <w:sz w:val="22"/>
          <w:szCs w:val="22"/>
          <w:lang w:val="en-GB"/>
        </w:rPr>
        <w:t>other EU programmes</w:t>
      </w:r>
      <w:r w:rsidR="0056256C">
        <w:rPr>
          <w:sz w:val="22"/>
          <w:szCs w:val="22"/>
          <w:lang w:val="en-GB"/>
        </w:rPr>
        <w:t xml:space="preserve"> and compared </w:t>
      </w:r>
      <w:r>
        <w:rPr>
          <w:sz w:val="22"/>
          <w:szCs w:val="22"/>
          <w:lang w:val="en-GB"/>
        </w:rPr>
        <w:t xml:space="preserve">with the orientations of the </w:t>
      </w:r>
      <w:r w:rsidR="0056256C">
        <w:rPr>
          <w:sz w:val="22"/>
          <w:szCs w:val="22"/>
          <w:lang w:val="en-GB"/>
        </w:rPr>
        <w:t>remaining</w:t>
      </w:r>
      <w:r w:rsidR="00E1541D">
        <w:rPr>
          <w:sz w:val="22"/>
          <w:szCs w:val="22"/>
          <w:lang w:val="en-GB"/>
        </w:rPr>
        <w:t xml:space="preserve"> six</w:t>
      </w:r>
      <w:r w:rsidR="0056256C">
        <w:rPr>
          <w:sz w:val="22"/>
          <w:szCs w:val="22"/>
          <w:lang w:val="en-GB"/>
        </w:rPr>
        <w:t xml:space="preserve"> T</w:t>
      </w:r>
      <w:r>
        <w:rPr>
          <w:sz w:val="22"/>
          <w:szCs w:val="22"/>
          <w:lang w:val="en-GB"/>
        </w:rPr>
        <w:t xml:space="preserve">hematic </w:t>
      </w:r>
      <w:r w:rsidR="0056256C">
        <w:rPr>
          <w:sz w:val="22"/>
          <w:szCs w:val="22"/>
          <w:lang w:val="en-GB"/>
        </w:rPr>
        <w:t>O</w:t>
      </w:r>
      <w:r>
        <w:rPr>
          <w:sz w:val="22"/>
          <w:szCs w:val="22"/>
          <w:lang w:val="en-GB"/>
        </w:rPr>
        <w:t>bjective</w:t>
      </w:r>
      <w:r w:rsidR="0056256C">
        <w:rPr>
          <w:sz w:val="22"/>
          <w:szCs w:val="22"/>
          <w:lang w:val="en-GB"/>
        </w:rPr>
        <w:t>s</w:t>
      </w:r>
      <w:r w:rsidR="00B16F63">
        <w:rPr>
          <w:sz w:val="22"/>
          <w:szCs w:val="22"/>
          <w:lang w:val="en-GB"/>
        </w:rPr>
        <w:t xml:space="preserve">. </w:t>
      </w:r>
    </w:p>
    <w:p w:rsidR="00905757" w:rsidRDefault="00B16F63" w:rsidP="00EE604A">
      <w:pPr>
        <w:spacing w:before="120" w:after="0" w:line="264" w:lineRule="auto"/>
        <w:jc w:val="both"/>
        <w:rPr>
          <w:sz w:val="22"/>
          <w:szCs w:val="22"/>
          <w:lang w:val="en-GB"/>
        </w:rPr>
      </w:pPr>
      <w:r>
        <w:rPr>
          <w:sz w:val="22"/>
          <w:szCs w:val="22"/>
          <w:lang w:val="en-GB"/>
        </w:rPr>
        <w:t>The following table presents an overview of main EU cooperation programmes</w:t>
      </w:r>
      <w:r w:rsidR="0014696F">
        <w:rPr>
          <w:sz w:val="22"/>
          <w:szCs w:val="22"/>
          <w:lang w:val="en-GB"/>
        </w:rPr>
        <w:t xml:space="preserve"> and support to regional development in </w:t>
      </w:r>
      <w:r w:rsidR="00FD595F">
        <w:rPr>
          <w:sz w:val="22"/>
          <w:szCs w:val="22"/>
          <w:lang w:val="en-GB"/>
        </w:rPr>
        <w:t xml:space="preserve">the </w:t>
      </w:r>
      <w:r w:rsidR="0014696F">
        <w:rPr>
          <w:sz w:val="22"/>
          <w:szCs w:val="22"/>
          <w:lang w:val="en-GB"/>
        </w:rPr>
        <w:t>Black Sea Basin countries</w:t>
      </w:r>
      <w:r w:rsidR="00760EA8" w:rsidRPr="00760EA8">
        <w:rPr>
          <w:sz w:val="22"/>
          <w:szCs w:val="22"/>
          <w:lang w:val="en-GB"/>
        </w:rPr>
        <w:t xml:space="preserve">. </w:t>
      </w:r>
    </w:p>
    <w:p w:rsidR="002E3758" w:rsidRPr="00905757" w:rsidRDefault="002E3758" w:rsidP="00905757">
      <w:pPr>
        <w:spacing w:before="120" w:after="0" w:line="252" w:lineRule="auto"/>
        <w:jc w:val="both"/>
        <w:rPr>
          <w:sz w:val="22"/>
          <w:szCs w:val="22"/>
          <w:lang w:val="en-GB"/>
        </w:rPr>
      </w:pPr>
    </w:p>
    <w:tbl>
      <w:tblPr>
        <w:tblW w:w="0" w:type="auto"/>
        <w:tblBorders>
          <w:top w:val="single" w:sz="8" w:space="0" w:color="C1AD79"/>
          <w:left w:val="single" w:sz="8" w:space="0" w:color="C1AD79"/>
          <w:bottom w:val="single" w:sz="8" w:space="0" w:color="C1AD79"/>
          <w:right w:val="single" w:sz="8" w:space="0" w:color="C1AD79"/>
          <w:insideH w:val="single" w:sz="8" w:space="0" w:color="C1AD79"/>
          <w:insideV w:val="single" w:sz="8" w:space="0" w:color="C1AD79"/>
        </w:tblBorders>
        <w:tblLook w:val="04A0"/>
      </w:tblPr>
      <w:tblGrid>
        <w:gridCol w:w="1689"/>
        <w:gridCol w:w="9334"/>
      </w:tblGrid>
      <w:tr w:rsidR="0043779A" w:rsidRPr="001368E0" w:rsidTr="001368E0">
        <w:tc>
          <w:tcPr>
            <w:tcW w:w="1689" w:type="dxa"/>
            <w:vMerge w:val="restart"/>
            <w:shd w:val="clear" w:color="auto" w:fill="auto"/>
          </w:tcPr>
          <w:p w:rsidR="0043779A" w:rsidRPr="001368E0" w:rsidRDefault="0043779A" w:rsidP="001368E0">
            <w:pPr>
              <w:widowControl w:val="0"/>
              <w:autoSpaceDE w:val="0"/>
              <w:autoSpaceDN w:val="0"/>
              <w:adjustRightInd w:val="0"/>
              <w:spacing w:after="0" w:line="240" w:lineRule="auto"/>
              <w:rPr>
                <w:b/>
                <w:bCs/>
                <w:sz w:val="20"/>
                <w:szCs w:val="20"/>
                <w:lang w:val="en-GB"/>
              </w:rPr>
            </w:pPr>
            <w:r w:rsidRPr="001368E0">
              <w:rPr>
                <w:b/>
                <w:bCs/>
                <w:sz w:val="20"/>
                <w:szCs w:val="20"/>
                <w:lang w:val="en-GB"/>
              </w:rPr>
              <w:t>Other Cross-Border Cooperation or Transnational/</w:t>
            </w:r>
          </w:p>
          <w:p w:rsidR="0043779A" w:rsidRPr="001368E0" w:rsidRDefault="0043779A" w:rsidP="001368E0">
            <w:pPr>
              <w:widowControl w:val="0"/>
              <w:autoSpaceDE w:val="0"/>
              <w:autoSpaceDN w:val="0"/>
              <w:adjustRightInd w:val="0"/>
              <w:spacing w:after="0" w:line="240" w:lineRule="auto"/>
              <w:rPr>
                <w:b/>
                <w:bCs/>
                <w:sz w:val="20"/>
                <w:szCs w:val="20"/>
                <w:lang w:val="en-GB"/>
              </w:rPr>
            </w:pPr>
            <w:r w:rsidRPr="001368E0">
              <w:rPr>
                <w:b/>
                <w:bCs/>
                <w:sz w:val="20"/>
                <w:szCs w:val="20"/>
                <w:lang w:val="en-GB"/>
              </w:rPr>
              <w:t>Interregional programmes</w:t>
            </w:r>
          </w:p>
        </w:tc>
        <w:tc>
          <w:tcPr>
            <w:tcW w:w="9334" w:type="dxa"/>
            <w:shd w:val="clear" w:color="auto" w:fill="auto"/>
          </w:tcPr>
          <w:p w:rsidR="0043779A" w:rsidRPr="001368E0" w:rsidRDefault="0043779A" w:rsidP="001368E0">
            <w:pPr>
              <w:widowControl w:val="0"/>
              <w:autoSpaceDE w:val="0"/>
              <w:autoSpaceDN w:val="0"/>
              <w:adjustRightInd w:val="0"/>
              <w:rPr>
                <w:rFonts w:cs="Verdana"/>
                <w:bCs/>
                <w:sz w:val="20"/>
                <w:szCs w:val="20"/>
                <w:lang w:val="en-GB"/>
              </w:rPr>
            </w:pPr>
            <w:r w:rsidRPr="001368E0">
              <w:rPr>
                <w:rFonts w:cs="Verdana"/>
                <w:b/>
                <w:bCs/>
                <w:sz w:val="20"/>
                <w:szCs w:val="20"/>
                <w:lang w:val="en-GB"/>
              </w:rPr>
              <w:t>Romania-</w:t>
            </w:r>
            <w:r w:rsidR="00CB3FCC" w:rsidRPr="001368E0">
              <w:rPr>
                <w:rFonts w:cs="Verdana"/>
                <w:bCs/>
                <w:sz w:val="20"/>
                <w:szCs w:val="20"/>
                <w:lang w:val="en-GB"/>
              </w:rPr>
              <w:t xml:space="preserve"> </w:t>
            </w:r>
            <w:r w:rsidR="00CB3FCC" w:rsidRPr="001368E0">
              <w:rPr>
                <w:rFonts w:cs="Verdana"/>
                <w:b/>
                <w:bCs/>
                <w:sz w:val="20"/>
                <w:szCs w:val="20"/>
                <w:lang w:val="en-GB"/>
              </w:rPr>
              <w:t xml:space="preserve">Republic of </w:t>
            </w:r>
            <w:r w:rsidRPr="001368E0">
              <w:rPr>
                <w:rFonts w:cs="Verdana"/>
                <w:b/>
                <w:bCs/>
                <w:sz w:val="20"/>
                <w:szCs w:val="20"/>
                <w:lang w:val="en-GB"/>
              </w:rPr>
              <w:t>Moldova (ENI CBC)</w:t>
            </w:r>
          </w:p>
        </w:tc>
      </w:tr>
      <w:tr w:rsidR="0043779A" w:rsidRPr="001368E0" w:rsidTr="001368E0">
        <w:tc>
          <w:tcPr>
            <w:tcW w:w="1689" w:type="dxa"/>
            <w:vMerge/>
            <w:shd w:val="clear" w:color="auto" w:fill="auto"/>
          </w:tcPr>
          <w:p w:rsidR="0043779A" w:rsidRPr="001368E0" w:rsidRDefault="0043779A" w:rsidP="001368E0">
            <w:pPr>
              <w:widowControl w:val="0"/>
              <w:autoSpaceDE w:val="0"/>
              <w:autoSpaceDN w:val="0"/>
              <w:adjustRightInd w:val="0"/>
              <w:rPr>
                <w:b/>
                <w:bCs/>
                <w:sz w:val="20"/>
                <w:szCs w:val="20"/>
                <w:lang w:val="en-GB"/>
              </w:rPr>
            </w:pPr>
          </w:p>
        </w:tc>
        <w:tc>
          <w:tcPr>
            <w:tcW w:w="9334" w:type="dxa"/>
            <w:shd w:val="clear" w:color="auto" w:fill="auto"/>
          </w:tcPr>
          <w:p w:rsidR="0043779A" w:rsidRPr="001368E0" w:rsidRDefault="00CB3FCC" w:rsidP="001368E0">
            <w:pPr>
              <w:widowControl w:val="0"/>
              <w:autoSpaceDE w:val="0"/>
              <w:autoSpaceDN w:val="0"/>
              <w:adjustRightInd w:val="0"/>
              <w:spacing w:after="0" w:line="240" w:lineRule="auto"/>
              <w:rPr>
                <w:rFonts w:cs="Verdana"/>
                <w:b/>
                <w:sz w:val="20"/>
                <w:szCs w:val="20"/>
                <w:lang w:val="en-GB"/>
              </w:rPr>
            </w:pPr>
            <w:r w:rsidRPr="001368E0">
              <w:rPr>
                <w:rFonts w:cs="Verdana"/>
                <w:b/>
                <w:sz w:val="20"/>
                <w:szCs w:val="20"/>
                <w:lang w:val="en-GB"/>
              </w:rPr>
              <w:t xml:space="preserve">Republic of </w:t>
            </w:r>
            <w:r w:rsidR="0043779A" w:rsidRPr="001368E0">
              <w:rPr>
                <w:rFonts w:cs="Verdana"/>
                <w:b/>
                <w:sz w:val="20"/>
                <w:szCs w:val="20"/>
                <w:lang w:val="en-GB"/>
              </w:rPr>
              <w:t xml:space="preserve">Moldova-Ukraine </w:t>
            </w:r>
            <w:r w:rsidR="0043779A" w:rsidRPr="001368E0">
              <w:rPr>
                <w:rFonts w:cs="Verdana"/>
                <w:sz w:val="20"/>
                <w:szCs w:val="20"/>
                <w:lang w:val="en-GB"/>
              </w:rPr>
              <w:t>(Eastern Partnership Territorial Cooperation)</w:t>
            </w:r>
          </w:p>
        </w:tc>
      </w:tr>
      <w:tr w:rsidR="0043779A" w:rsidRPr="001368E0" w:rsidTr="001368E0">
        <w:tc>
          <w:tcPr>
            <w:tcW w:w="1689" w:type="dxa"/>
            <w:vMerge/>
            <w:shd w:val="clear" w:color="auto" w:fill="auto"/>
          </w:tcPr>
          <w:p w:rsidR="0043779A" w:rsidRPr="001368E0" w:rsidRDefault="0043779A"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43779A" w:rsidRPr="001368E0" w:rsidRDefault="0043779A" w:rsidP="001368E0">
            <w:pPr>
              <w:widowControl w:val="0"/>
              <w:autoSpaceDE w:val="0"/>
              <w:autoSpaceDN w:val="0"/>
              <w:adjustRightInd w:val="0"/>
              <w:spacing w:after="0" w:line="240" w:lineRule="auto"/>
              <w:rPr>
                <w:rFonts w:cs="Verdana"/>
                <w:b/>
                <w:sz w:val="20"/>
                <w:szCs w:val="20"/>
              </w:rPr>
            </w:pPr>
            <w:r w:rsidRPr="001368E0">
              <w:rPr>
                <w:rFonts w:cs="Verdana"/>
                <w:b/>
                <w:sz w:val="20"/>
                <w:szCs w:val="20"/>
              </w:rPr>
              <w:t xml:space="preserve">Romania-Ukraine </w:t>
            </w:r>
            <w:r w:rsidRPr="001368E0">
              <w:rPr>
                <w:rFonts w:cs="Verdana"/>
                <w:sz w:val="20"/>
                <w:szCs w:val="20"/>
              </w:rPr>
              <w:t>(ENI CBC)</w:t>
            </w:r>
          </w:p>
        </w:tc>
      </w:tr>
      <w:tr w:rsidR="0043779A" w:rsidRPr="001368E0" w:rsidTr="001368E0">
        <w:tc>
          <w:tcPr>
            <w:tcW w:w="1689" w:type="dxa"/>
            <w:vMerge/>
            <w:shd w:val="clear" w:color="auto" w:fill="auto"/>
          </w:tcPr>
          <w:p w:rsidR="0043779A" w:rsidRPr="001368E0" w:rsidRDefault="0043779A" w:rsidP="001368E0">
            <w:pPr>
              <w:widowControl w:val="0"/>
              <w:autoSpaceDE w:val="0"/>
              <w:autoSpaceDN w:val="0"/>
              <w:adjustRightInd w:val="0"/>
              <w:spacing w:after="0" w:line="240" w:lineRule="auto"/>
              <w:rPr>
                <w:b/>
                <w:bCs/>
                <w:sz w:val="20"/>
                <w:szCs w:val="20"/>
              </w:rPr>
            </w:pPr>
          </w:p>
        </w:tc>
        <w:tc>
          <w:tcPr>
            <w:tcW w:w="9334" w:type="dxa"/>
            <w:shd w:val="clear" w:color="auto" w:fill="auto"/>
          </w:tcPr>
          <w:p w:rsidR="0043779A" w:rsidRPr="001368E0" w:rsidRDefault="0043779A" w:rsidP="001368E0">
            <w:pPr>
              <w:widowControl w:val="0"/>
              <w:autoSpaceDE w:val="0"/>
              <w:autoSpaceDN w:val="0"/>
              <w:adjustRightInd w:val="0"/>
              <w:spacing w:after="0" w:line="240" w:lineRule="auto"/>
              <w:rPr>
                <w:rFonts w:cs="Verdana"/>
                <w:b/>
                <w:sz w:val="20"/>
                <w:szCs w:val="20"/>
              </w:rPr>
            </w:pPr>
            <w:r w:rsidRPr="001368E0">
              <w:rPr>
                <w:rFonts w:cs="Verdana"/>
                <w:b/>
                <w:sz w:val="20"/>
                <w:szCs w:val="20"/>
              </w:rPr>
              <w:t xml:space="preserve">Romania-Bulgaria </w:t>
            </w:r>
            <w:r w:rsidRPr="001368E0">
              <w:rPr>
                <w:rFonts w:cs="Verdana"/>
                <w:sz w:val="20"/>
                <w:szCs w:val="20"/>
              </w:rPr>
              <w:t>(European Territorial Cooperation)</w:t>
            </w:r>
          </w:p>
        </w:tc>
      </w:tr>
      <w:tr w:rsidR="0043779A" w:rsidRPr="001368E0" w:rsidTr="001368E0">
        <w:tc>
          <w:tcPr>
            <w:tcW w:w="1689" w:type="dxa"/>
            <w:vMerge/>
            <w:shd w:val="clear" w:color="auto" w:fill="auto"/>
          </w:tcPr>
          <w:p w:rsidR="0043779A" w:rsidRPr="001368E0" w:rsidRDefault="0043779A" w:rsidP="001368E0">
            <w:pPr>
              <w:widowControl w:val="0"/>
              <w:autoSpaceDE w:val="0"/>
              <w:autoSpaceDN w:val="0"/>
              <w:adjustRightInd w:val="0"/>
              <w:spacing w:after="0" w:line="240" w:lineRule="auto"/>
              <w:rPr>
                <w:b/>
                <w:bCs/>
                <w:sz w:val="20"/>
                <w:szCs w:val="20"/>
              </w:rPr>
            </w:pPr>
          </w:p>
        </w:tc>
        <w:tc>
          <w:tcPr>
            <w:tcW w:w="9334" w:type="dxa"/>
            <w:shd w:val="clear" w:color="auto" w:fill="auto"/>
          </w:tcPr>
          <w:p w:rsidR="0043779A" w:rsidRPr="001368E0" w:rsidRDefault="0043779A" w:rsidP="001368E0">
            <w:pPr>
              <w:widowControl w:val="0"/>
              <w:autoSpaceDE w:val="0"/>
              <w:autoSpaceDN w:val="0"/>
              <w:adjustRightInd w:val="0"/>
              <w:spacing w:after="0" w:line="240" w:lineRule="auto"/>
              <w:rPr>
                <w:rFonts w:cs="Verdana"/>
                <w:b/>
                <w:sz w:val="20"/>
                <w:szCs w:val="20"/>
              </w:rPr>
            </w:pPr>
            <w:r w:rsidRPr="001368E0">
              <w:rPr>
                <w:rFonts w:cs="Verdana"/>
                <w:b/>
                <w:sz w:val="20"/>
                <w:szCs w:val="20"/>
              </w:rPr>
              <w:t xml:space="preserve">Bulgaria-Turkey </w:t>
            </w:r>
            <w:r w:rsidRPr="001368E0">
              <w:rPr>
                <w:rFonts w:cs="Verdana"/>
                <w:sz w:val="20"/>
                <w:szCs w:val="20"/>
              </w:rPr>
              <w:t>(IPA CBC)</w:t>
            </w:r>
          </w:p>
        </w:tc>
      </w:tr>
      <w:tr w:rsidR="0043779A" w:rsidRPr="001368E0" w:rsidTr="001368E0">
        <w:tc>
          <w:tcPr>
            <w:tcW w:w="1689" w:type="dxa"/>
            <w:vMerge/>
            <w:shd w:val="clear" w:color="auto" w:fill="auto"/>
          </w:tcPr>
          <w:p w:rsidR="0043779A" w:rsidRPr="001368E0" w:rsidRDefault="0043779A" w:rsidP="001368E0">
            <w:pPr>
              <w:widowControl w:val="0"/>
              <w:autoSpaceDE w:val="0"/>
              <w:autoSpaceDN w:val="0"/>
              <w:adjustRightInd w:val="0"/>
              <w:spacing w:after="0" w:line="240" w:lineRule="auto"/>
              <w:rPr>
                <w:b/>
                <w:bCs/>
                <w:sz w:val="20"/>
                <w:szCs w:val="20"/>
              </w:rPr>
            </w:pPr>
          </w:p>
        </w:tc>
        <w:tc>
          <w:tcPr>
            <w:tcW w:w="9334" w:type="dxa"/>
            <w:shd w:val="clear" w:color="auto" w:fill="auto"/>
          </w:tcPr>
          <w:p w:rsidR="0043779A" w:rsidRPr="001368E0" w:rsidRDefault="0043779A" w:rsidP="001368E0">
            <w:pPr>
              <w:widowControl w:val="0"/>
              <w:autoSpaceDE w:val="0"/>
              <w:autoSpaceDN w:val="0"/>
              <w:adjustRightInd w:val="0"/>
              <w:spacing w:after="0" w:line="240" w:lineRule="auto"/>
              <w:rPr>
                <w:rFonts w:cs="Verdana"/>
                <w:b/>
                <w:sz w:val="20"/>
                <w:szCs w:val="20"/>
                <w:lang w:val="en-GB"/>
              </w:rPr>
            </w:pPr>
            <w:r w:rsidRPr="001368E0">
              <w:rPr>
                <w:rFonts w:cs="Verdana"/>
                <w:b/>
                <w:sz w:val="20"/>
                <w:szCs w:val="20"/>
                <w:lang w:val="en-GB"/>
              </w:rPr>
              <w:t xml:space="preserve">Greece-Bulgaria </w:t>
            </w:r>
            <w:r w:rsidRPr="001368E0">
              <w:rPr>
                <w:rFonts w:cs="Verdana"/>
                <w:sz w:val="20"/>
                <w:szCs w:val="20"/>
                <w:lang w:val="en-GB"/>
              </w:rPr>
              <w:t>(European Territorial Cooperation)</w:t>
            </w:r>
          </w:p>
        </w:tc>
      </w:tr>
      <w:tr w:rsidR="0043779A" w:rsidRPr="001368E0" w:rsidTr="001368E0">
        <w:tc>
          <w:tcPr>
            <w:tcW w:w="1689" w:type="dxa"/>
            <w:vMerge/>
            <w:shd w:val="clear" w:color="auto" w:fill="auto"/>
          </w:tcPr>
          <w:p w:rsidR="0043779A" w:rsidRPr="001368E0" w:rsidRDefault="0043779A"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43779A" w:rsidRPr="001368E0" w:rsidRDefault="0043779A" w:rsidP="001368E0">
            <w:pPr>
              <w:widowControl w:val="0"/>
              <w:autoSpaceDE w:val="0"/>
              <w:autoSpaceDN w:val="0"/>
              <w:adjustRightInd w:val="0"/>
              <w:spacing w:after="0" w:line="240" w:lineRule="auto"/>
              <w:rPr>
                <w:rFonts w:cs="Verdana"/>
                <w:b/>
                <w:sz w:val="20"/>
                <w:szCs w:val="20"/>
                <w:lang w:val="en-GB"/>
              </w:rPr>
            </w:pPr>
            <w:r w:rsidRPr="001368E0">
              <w:rPr>
                <w:rFonts w:cs="Verdana"/>
                <w:b/>
                <w:sz w:val="20"/>
                <w:szCs w:val="20"/>
                <w:lang w:val="en-GB"/>
              </w:rPr>
              <w:t xml:space="preserve">Armenia-Georgia </w:t>
            </w:r>
            <w:r w:rsidRPr="001368E0">
              <w:rPr>
                <w:rFonts w:cs="Verdana"/>
                <w:sz w:val="20"/>
                <w:szCs w:val="20"/>
                <w:lang w:val="en-GB"/>
              </w:rPr>
              <w:t>(Eastern Partnership Territorial Cooperation)</w:t>
            </w:r>
          </w:p>
        </w:tc>
      </w:tr>
      <w:tr w:rsidR="0043779A" w:rsidRPr="001368E0" w:rsidTr="001368E0">
        <w:tc>
          <w:tcPr>
            <w:tcW w:w="1689" w:type="dxa"/>
            <w:vMerge/>
            <w:shd w:val="clear" w:color="auto" w:fill="auto"/>
          </w:tcPr>
          <w:p w:rsidR="0043779A" w:rsidRPr="001368E0" w:rsidRDefault="0043779A"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43779A" w:rsidRPr="001368E0" w:rsidRDefault="0043779A" w:rsidP="001368E0">
            <w:pPr>
              <w:widowControl w:val="0"/>
              <w:autoSpaceDE w:val="0"/>
              <w:autoSpaceDN w:val="0"/>
              <w:adjustRightInd w:val="0"/>
              <w:spacing w:after="0" w:line="240" w:lineRule="auto"/>
              <w:rPr>
                <w:rFonts w:cs="Verdana"/>
                <w:b/>
                <w:sz w:val="20"/>
                <w:szCs w:val="20"/>
                <w:lang w:val="en-GB"/>
              </w:rPr>
            </w:pPr>
            <w:r w:rsidRPr="001368E0">
              <w:rPr>
                <w:rFonts w:cs="Verdana"/>
                <w:b/>
                <w:sz w:val="20"/>
                <w:szCs w:val="20"/>
                <w:lang w:val="en-GB"/>
              </w:rPr>
              <w:t xml:space="preserve">Azerbaijan-Georgia </w:t>
            </w:r>
            <w:r w:rsidRPr="001368E0">
              <w:rPr>
                <w:rFonts w:cs="Verdana"/>
                <w:sz w:val="20"/>
                <w:szCs w:val="20"/>
                <w:lang w:val="en-GB"/>
              </w:rPr>
              <w:t>(Eastern Partnership Territorial Cooperation)</w:t>
            </w:r>
          </w:p>
        </w:tc>
      </w:tr>
      <w:tr w:rsidR="0043779A" w:rsidRPr="001368E0" w:rsidTr="001368E0">
        <w:trPr>
          <w:trHeight w:val="358"/>
        </w:trPr>
        <w:tc>
          <w:tcPr>
            <w:tcW w:w="1689" w:type="dxa"/>
            <w:vMerge/>
            <w:shd w:val="clear" w:color="auto" w:fill="auto"/>
          </w:tcPr>
          <w:p w:rsidR="0043779A" w:rsidRPr="001368E0" w:rsidRDefault="0043779A"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43779A" w:rsidRPr="001368E0" w:rsidRDefault="0043779A" w:rsidP="001368E0">
            <w:pPr>
              <w:widowControl w:val="0"/>
              <w:autoSpaceDE w:val="0"/>
              <w:autoSpaceDN w:val="0"/>
              <w:adjustRightInd w:val="0"/>
              <w:spacing w:after="0" w:line="240" w:lineRule="auto"/>
              <w:rPr>
                <w:rFonts w:cs="Verdana"/>
                <w:b/>
                <w:sz w:val="20"/>
                <w:szCs w:val="20"/>
              </w:rPr>
            </w:pPr>
            <w:r w:rsidRPr="001368E0">
              <w:rPr>
                <w:rFonts w:cs="Verdana"/>
                <w:b/>
                <w:sz w:val="20"/>
                <w:szCs w:val="20"/>
                <w:lang w:val="en-GB"/>
              </w:rPr>
              <w:t xml:space="preserve">Danube transnational programme </w:t>
            </w:r>
            <w:r w:rsidRPr="001368E0">
              <w:rPr>
                <w:rFonts w:cs="Verdana"/>
                <w:sz w:val="20"/>
                <w:szCs w:val="20"/>
                <w:lang w:val="en-GB"/>
              </w:rPr>
              <w:t xml:space="preserve">(2014-20) includes notably Bulgaria, Romania, Moldova and some regions in Ukraine. </w:t>
            </w:r>
            <w:r w:rsidRPr="001368E0">
              <w:rPr>
                <w:rFonts w:cs="Verdana"/>
                <w:sz w:val="20"/>
                <w:szCs w:val="20"/>
              </w:rPr>
              <w:t>It will contribute to the Danube Strategy thematic goals.</w:t>
            </w:r>
          </w:p>
        </w:tc>
      </w:tr>
      <w:tr w:rsidR="0043779A" w:rsidRPr="001368E0" w:rsidTr="001368E0">
        <w:trPr>
          <w:trHeight w:val="358"/>
        </w:trPr>
        <w:tc>
          <w:tcPr>
            <w:tcW w:w="1689" w:type="dxa"/>
            <w:vMerge/>
            <w:shd w:val="clear" w:color="auto" w:fill="auto"/>
          </w:tcPr>
          <w:p w:rsidR="0043779A" w:rsidRPr="001368E0" w:rsidRDefault="0043779A"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43779A" w:rsidRPr="001368E0" w:rsidRDefault="0043779A" w:rsidP="001368E0">
            <w:pPr>
              <w:widowControl w:val="0"/>
              <w:autoSpaceDE w:val="0"/>
              <w:autoSpaceDN w:val="0"/>
              <w:adjustRightInd w:val="0"/>
              <w:spacing w:after="0" w:line="240" w:lineRule="auto"/>
              <w:rPr>
                <w:rFonts w:cs="Verdana"/>
                <w:b/>
                <w:sz w:val="20"/>
                <w:szCs w:val="20"/>
                <w:lang w:val="en-GB"/>
              </w:rPr>
            </w:pPr>
            <w:r w:rsidRPr="001368E0">
              <w:rPr>
                <w:rFonts w:cs="Verdana"/>
                <w:b/>
                <w:sz w:val="20"/>
                <w:szCs w:val="20"/>
                <w:lang w:val="en-GB"/>
              </w:rPr>
              <w:t xml:space="preserve">Interreg Europe interregional programme </w:t>
            </w:r>
            <w:r w:rsidRPr="001368E0">
              <w:rPr>
                <w:rFonts w:cs="Verdana"/>
                <w:sz w:val="20"/>
                <w:szCs w:val="20"/>
                <w:lang w:val="en-GB"/>
              </w:rPr>
              <w:t>(2014-20) includes notably Bulgaria, Greece and Romania.</w:t>
            </w:r>
          </w:p>
        </w:tc>
      </w:tr>
      <w:tr w:rsidR="0043779A" w:rsidRPr="001368E0" w:rsidTr="001368E0">
        <w:trPr>
          <w:trHeight w:val="358"/>
        </w:trPr>
        <w:tc>
          <w:tcPr>
            <w:tcW w:w="1689" w:type="dxa"/>
            <w:vMerge/>
            <w:shd w:val="clear" w:color="auto" w:fill="auto"/>
          </w:tcPr>
          <w:p w:rsidR="0043779A" w:rsidRPr="001368E0" w:rsidRDefault="0043779A"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43779A" w:rsidRPr="001368E0" w:rsidRDefault="0043779A" w:rsidP="001368E0">
            <w:pPr>
              <w:widowControl w:val="0"/>
              <w:autoSpaceDE w:val="0"/>
              <w:autoSpaceDN w:val="0"/>
              <w:adjustRightInd w:val="0"/>
              <w:spacing w:after="0" w:line="240" w:lineRule="auto"/>
              <w:rPr>
                <w:rFonts w:cs="Verdana"/>
                <w:b/>
                <w:sz w:val="20"/>
                <w:szCs w:val="20"/>
                <w:lang w:val="en-GB"/>
              </w:rPr>
            </w:pPr>
            <w:r w:rsidRPr="001368E0">
              <w:rPr>
                <w:rFonts w:cs="Verdana"/>
                <w:b/>
                <w:sz w:val="20"/>
                <w:szCs w:val="20"/>
                <w:lang w:val="en-GB"/>
              </w:rPr>
              <w:t xml:space="preserve">Balkan-Mediterranean transnational programme </w:t>
            </w:r>
            <w:r w:rsidRPr="001368E0">
              <w:rPr>
                <w:rFonts w:cs="Verdana"/>
                <w:sz w:val="20"/>
                <w:szCs w:val="20"/>
                <w:lang w:val="en-GB"/>
              </w:rPr>
              <w:t>(2014-20)</w:t>
            </w:r>
            <w:r w:rsidRPr="001368E0">
              <w:rPr>
                <w:rFonts w:cs="Verdana"/>
                <w:b/>
                <w:sz w:val="20"/>
                <w:szCs w:val="20"/>
                <w:lang w:val="en-GB"/>
              </w:rPr>
              <w:t xml:space="preserve"> </w:t>
            </w:r>
            <w:r w:rsidRPr="001368E0">
              <w:rPr>
                <w:rFonts w:cs="Verdana"/>
                <w:sz w:val="20"/>
                <w:szCs w:val="20"/>
                <w:lang w:val="en-GB"/>
              </w:rPr>
              <w:t>includes notably Bulgaria and Greece.</w:t>
            </w:r>
          </w:p>
        </w:tc>
      </w:tr>
      <w:tr w:rsidR="0010477C" w:rsidRPr="001368E0" w:rsidTr="001368E0">
        <w:tc>
          <w:tcPr>
            <w:tcW w:w="1689" w:type="dxa"/>
            <w:vMerge w:val="restart"/>
            <w:shd w:val="clear" w:color="auto" w:fill="auto"/>
          </w:tcPr>
          <w:p w:rsidR="0010477C" w:rsidRPr="001368E0" w:rsidRDefault="0010477C" w:rsidP="001368E0">
            <w:pPr>
              <w:widowControl w:val="0"/>
              <w:autoSpaceDE w:val="0"/>
              <w:autoSpaceDN w:val="0"/>
              <w:adjustRightInd w:val="0"/>
              <w:spacing w:after="0" w:line="240" w:lineRule="auto"/>
              <w:rPr>
                <w:b/>
                <w:bCs/>
                <w:sz w:val="20"/>
                <w:szCs w:val="20"/>
                <w:lang w:val="en-GB"/>
              </w:rPr>
            </w:pPr>
            <w:r w:rsidRPr="001368E0">
              <w:rPr>
                <w:b/>
                <w:bCs/>
                <w:sz w:val="20"/>
                <w:szCs w:val="20"/>
                <w:lang w:val="en-GB"/>
              </w:rPr>
              <w:t>Other programmes including EU/non EU partnerships</w:t>
            </w:r>
          </w:p>
        </w:tc>
        <w:tc>
          <w:tcPr>
            <w:tcW w:w="9334" w:type="dxa"/>
            <w:shd w:val="clear" w:color="auto" w:fill="auto"/>
          </w:tcPr>
          <w:p w:rsidR="0010477C" w:rsidRPr="001368E0" w:rsidRDefault="0010477C" w:rsidP="001368E0">
            <w:pPr>
              <w:widowControl w:val="0"/>
              <w:autoSpaceDE w:val="0"/>
              <w:autoSpaceDN w:val="0"/>
              <w:adjustRightInd w:val="0"/>
              <w:spacing w:after="0" w:line="240" w:lineRule="auto"/>
              <w:rPr>
                <w:sz w:val="20"/>
                <w:szCs w:val="20"/>
                <w:lang w:val="en-GB"/>
              </w:rPr>
            </w:pPr>
            <w:r w:rsidRPr="001368E0">
              <w:rPr>
                <w:rFonts w:cs="Verdana"/>
                <w:b/>
                <w:sz w:val="20"/>
                <w:szCs w:val="20"/>
                <w:lang w:val="en-GB"/>
              </w:rPr>
              <w:t>Erasmus+</w:t>
            </w:r>
            <w:r w:rsidRPr="001368E0">
              <w:rPr>
                <w:rFonts w:cs="Verdana"/>
                <w:sz w:val="20"/>
                <w:szCs w:val="20"/>
                <w:lang w:val="en-GB"/>
              </w:rPr>
              <w:t xml:space="preserve"> (2014-20) programme: to boost skills and employability, as well as modernising education, training, and youth work (supports mobility of students and teaching staff, joint degrees, capacity building projects, strategic partnerships).</w:t>
            </w:r>
          </w:p>
        </w:tc>
      </w:tr>
      <w:tr w:rsidR="0010477C" w:rsidRPr="001368E0" w:rsidTr="001368E0">
        <w:tc>
          <w:tcPr>
            <w:tcW w:w="1689" w:type="dxa"/>
            <w:vMerge/>
            <w:shd w:val="clear" w:color="auto" w:fill="auto"/>
          </w:tcPr>
          <w:p w:rsidR="0010477C" w:rsidRPr="001368E0" w:rsidRDefault="0010477C"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10477C" w:rsidRPr="001368E0" w:rsidRDefault="0010477C" w:rsidP="001368E0">
            <w:pPr>
              <w:widowControl w:val="0"/>
              <w:autoSpaceDE w:val="0"/>
              <w:autoSpaceDN w:val="0"/>
              <w:adjustRightInd w:val="0"/>
              <w:spacing w:after="0" w:line="240" w:lineRule="auto"/>
              <w:rPr>
                <w:sz w:val="20"/>
                <w:szCs w:val="20"/>
                <w:lang w:val="en-GB"/>
              </w:rPr>
            </w:pPr>
            <w:r w:rsidRPr="001368E0">
              <w:rPr>
                <w:b/>
                <w:sz w:val="20"/>
                <w:szCs w:val="20"/>
                <w:lang w:val="en-GB"/>
              </w:rPr>
              <w:t>Horizon 2020</w:t>
            </w:r>
            <w:r w:rsidRPr="001368E0">
              <w:rPr>
                <w:sz w:val="20"/>
                <w:szCs w:val="20"/>
                <w:lang w:val="en-GB"/>
              </w:rPr>
              <w:t xml:space="preserve"> – EU framework programme for research and innovation. </w:t>
            </w:r>
            <w:r w:rsidR="00AB24A5" w:rsidRPr="001368E0">
              <w:rPr>
                <w:sz w:val="20"/>
                <w:szCs w:val="20"/>
                <w:lang w:val="en-GB"/>
              </w:rPr>
              <w:t xml:space="preserve">It includes targets for cross-thematic marine and maritime research. </w:t>
            </w:r>
            <w:r w:rsidRPr="001368E0">
              <w:rPr>
                <w:sz w:val="20"/>
                <w:szCs w:val="20"/>
                <w:lang w:val="en-GB"/>
              </w:rPr>
              <w:t>Its first work program</w:t>
            </w:r>
            <w:r w:rsidR="004547A9" w:rsidRPr="001368E0">
              <w:rPr>
                <w:sz w:val="20"/>
                <w:szCs w:val="20"/>
                <w:lang w:val="en-GB"/>
              </w:rPr>
              <w:t>me (2014-15) includes a specific</w:t>
            </w:r>
            <w:r w:rsidRPr="001368E0">
              <w:rPr>
                <w:sz w:val="20"/>
                <w:szCs w:val="20"/>
                <w:lang w:val="en-GB"/>
              </w:rPr>
              <w:t xml:space="preserve"> call</w:t>
            </w:r>
            <w:r w:rsidR="009F3A99" w:rsidRPr="001368E0">
              <w:rPr>
                <w:sz w:val="20"/>
                <w:szCs w:val="20"/>
                <w:lang w:val="en-GB"/>
              </w:rPr>
              <w:t xml:space="preserve"> for proposals</w:t>
            </w:r>
            <w:r w:rsidRPr="001368E0">
              <w:rPr>
                <w:sz w:val="20"/>
                <w:szCs w:val="20"/>
                <w:lang w:val="en-GB"/>
              </w:rPr>
              <w:t xml:space="preserve"> for the Black Sea Region.</w:t>
            </w:r>
          </w:p>
        </w:tc>
      </w:tr>
      <w:tr w:rsidR="0010477C" w:rsidRPr="001368E0" w:rsidTr="001368E0">
        <w:tc>
          <w:tcPr>
            <w:tcW w:w="1689" w:type="dxa"/>
            <w:vMerge/>
            <w:shd w:val="clear" w:color="auto" w:fill="auto"/>
          </w:tcPr>
          <w:p w:rsidR="0010477C" w:rsidRPr="001368E0" w:rsidRDefault="0010477C"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10477C" w:rsidRPr="001368E0" w:rsidRDefault="0010477C" w:rsidP="001368E0">
            <w:pPr>
              <w:widowControl w:val="0"/>
              <w:autoSpaceDE w:val="0"/>
              <w:autoSpaceDN w:val="0"/>
              <w:adjustRightInd w:val="0"/>
              <w:spacing w:after="0" w:line="240" w:lineRule="auto"/>
              <w:rPr>
                <w:sz w:val="20"/>
                <w:szCs w:val="20"/>
                <w:lang w:val="en-GB"/>
              </w:rPr>
            </w:pPr>
            <w:r w:rsidRPr="001368E0">
              <w:rPr>
                <w:b/>
                <w:sz w:val="20"/>
                <w:szCs w:val="20"/>
                <w:lang w:val="en-GB"/>
              </w:rPr>
              <w:t>Twinning, TAIEX</w:t>
            </w:r>
            <w:r w:rsidRPr="001368E0">
              <w:rPr>
                <w:sz w:val="20"/>
                <w:szCs w:val="20"/>
                <w:lang w:val="en-GB"/>
              </w:rPr>
              <w:t> (Technical Assistance and Information Exchange):</w:t>
            </w:r>
            <w:r w:rsidRPr="001368E0">
              <w:rPr>
                <w:rFonts w:cs="Verdana"/>
                <w:sz w:val="20"/>
                <w:szCs w:val="20"/>
                <w:lang w:val="en-GB"/>
              </w:rPr>
              <w:t xml:space="preserve"> cooperation tools between a public administration in a partner country and the equivalent institution in an EU Member State to promote reforms</w:t>
            </w:r>
          </w:p>
        </w:tc>
      </w:tr>
      <w:tr w:rsidR="00E978B0" w:rsidRPr="001368E0" w:rsidTr="001368E0">
        <w:tc>
          <w:tcPr>
            <w:tcW w:w="1689" w:type="dxa"/>
            <w:vMerge w:val="restart"/>
            <w:shd w:val="clear" w:color="auto" w:fill="auto"/>
          </w:tcPr>
          <w:p w:rsidR="00E978B0" w:rsidRPr="001368E0" w:rsidRDefault="00E978B0" w:rsidP="001368E0">
            <w:pPr>
              <w:widowControl w:val="0"/>
              <w:autoSpaceDE w:val="0"/>
              <w:autoSpaceDN w:val="0"/>
              <w:adjustRightInd w:val="0"/>
              <w:spacing w:after="0" w:line="240" w:lineRule="auto"/>
              <w:rPr>
                <w:b/>
                <w:bCs/>
                <w:sz w:val="20"/>
                <w:szCs w:val="20"/>
              </w:rPr>
            </w:pPr>
            <w:r w:rsidRPr="001368E0">
              <w:rPr>
                <w:b/>
                <w:bCs/>
                <w:sz w:val="20"/>
                <w:szCs w:val="20"/>
              </w:rPr>
              <w:t>Thematic Cooperation programmes</w:t>
            </w:r>
          </w:p>
        </w:tc>
        <w:tc>
          <w:tcPr>
            <w:tcW w:w="9334" w:type="dxa"/>
            <w:shd w:val="clear" w:color="auto" w:fill="auto"/>
          </w:tcPr>
          <w:p w:rsidR="00E978B0" w:rsidRPr="001368E0" w:rsidRDefault="00E978B0" w:rsidP="001368E0">
            <w:pPr>
              <w:widowControl w:val="0"/>
              <w:autoSpaceDE w:val="0"/>
              <w:autoSpaceDN w:val="0"/>
              <w:adjustRightInd w:val="0"/>
              <w:spacing w:after="0" w:line="240" w:lineRule="auto"/>
              <w:rPr>
                <w:rFonts w:cs="Verdana"/>
                <w:b/>
                <w:sz w:val="20"/>
                <w:szCs w:val="20"/>
                <w:lang w:val="en-GB"/>
              </w:rPr>
            </w:pPr>
            <w:r w:rsidRPr="001368E0">
              <w:rPr>
                <w:rFonts w:cs="Verdana"/>
                <w:b/>
                <w:sz w:val="20"/>
                <w:szCs w:val="20"/>
                <w:lang w:val="en-GB"/>
              </w:rPr>
              <w:t>INOGATE:</w:t>
            </w:r>
            <w:r w:rsidRPr="001368E0">
              <w:rPr>
                <w:rFonts w:cs="Verdana"/>
                <w:sz w:val="20"/>
                <w:szCs w:val="20"/>
                <w:lang w:val="en-GB"/>
              </w:rPr>
              <w:t xml:space="preserve"> international energy co-operation programme between the EU, the littoral states of the Black and Caspian Seas and their neighbouring countries. The co-operation framework covers the areas of oil and gas, electricity, renewable energy and energy efficiency.</w:t>
            </w:r>
          </w:p>
        </w:tc>
      </w:tr>
      <w:tr w:rsidR="00E978B0" w:rsidRPr="001368E0" w:rsidTr="001368E0">
        <w:trPr>
          <w:trHeight w:val="1716"/>
        </w:trPr>
        <w:tc>
          <w:tcPr>
            <w:tcW w:w="1689" w:type="dxa"/>
            <w:vMerge/>
            <w:shd w:val="clear" w:color="auto" w:fill="auto"/>
          </w:tcPr>
          <w:p w:rsidR="00E978B0" w:rsidRPr="001368E0" w:rsidRDefault="00E978B0"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E978B0" w:rsidRPr="001368E0" w:rsidRDefault="00E978B0" w:rsidP="001368E0">
            <w:pPr>
              <w:widowControl w:val="0"/>
              <w:autoSpaceDE w:val="0"/>
              <w:autoSpaceDN w:val="0"/>
              <w:adjustRightInd w:val="0"/>
              <w:spacing w:after="0" w:line="240" w:lineRule="auto"/>
              <w:rPr>
                <w:rFonts w:cs="Verdana"/>
                <w:sz w:val="20"/>
                <w:szCs w:val="20"/>
                <w:lang w:val="en-GB"/>
              </w:rPr>
            </w:pPr>
            <w:r w:rsidRPr="001368E0">
              <w:rPr>
                <w:rFonts w:cs="Verdana"/>
                <w:b/>
                <w:sz w:val="20"/>
                <w:szCs w:val="20"/>
                <w:lang w:val="en-GB"/>
              </w:rPr>
              <w:t>TRACECA</w:t>
            </w:r>
            <w:r w:rsidRPr="001368E0">
              <w:rPr>
                <w:rFonts w:ascii="Tahoma" w:hAnsi="Tahoma" w:cs="Tahoma"/>
                <w:sz w:val="28"/>
                <w:szCs w:val="28"/>
                <w:lang w:val="en-GB"/>
              </w:rPr>
              <w:t xml:space="preserve"> </w:t>
            </w:r>
            <w:r w:rsidRPr="001368E0">
              <w:rPr>
                <w:rFonts w:cs="Verdana"/>
                <w:b/>
                <w:sz w:val="20"/>
                <w:szCs w:val="20"/>
                <w:lang w:val="en-GB"/>
              </w:rPr>
              <w:t>(Transport Corridor Europe-Caucasus-Asia)</w:t>
            </w:r>
            <w:r w:rsidRPr="001368E0">
              <w:rPr>
                <w:rFonts w:cs="Verdana"/>
                <w:sz w:val="20"/>
                <w:szCs w:val="20"/>
                <w:lang w:val="en-GB"/>
              </w:rPr>
              <w:t>: an international transport cooperation programme between the EU and Partner countries in Eastern Europe, South Caucasus and Central Asia. The cooperation framework covers the areas of maritime transport, aviation, road and rail, transport security and transport infrastructure. Strategy for the development of the international transport Europe-Caucasus-Asia corridor up to 2015 and aims to create a sustainable infrastructure chain ensuring multi-modal transport with step-by-step integration of the corridor into the Trans-European Transport Networks. It encourages regional cooperation and attracts the support of IFIs and private investors.</w:t>
            </w:r>
          </w:p>
        </w:tc>
      </w:tr>
      <w:tr w:rsidR="00E978B0" w:rsidRPr="001368E0" w:rsidTr="001368E0">
        <w:tc>
          <w:tcPr>
            <w:tcW w:w="1689" w:type="dxa"/>
            <w:vMerge/>
            <w:shd w:val="clear" w:color="auto" w:fill="auto"/>
          </w:tcPr>
          <w:p w:rsidR="00E978B0" w:rsidRPr="001368E0" w:rsidRDefault="00E978B0"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E978B0" w:rsidRPr="001368E0" w:rsidRDefault="00E978B0" w:rsidP="001368E0">
            <w:pPr>
              <w:widowControl w:val="0"/>
              <w:autoSpaceDE w:val="0"/>
              <w:autoSpaceDN w:val="0"/>
              <w:adjustRightInd w:val="0"/>
              <w:spacing w:after="0" w:line="240" w:lineRule="auto"/>
              <w:rPr>
                <w:sz w:val="20"/>
                <w:szCs w:val="20"/>
                <w:lang w:val="en-GB"/>
              </w:rPr>
            </w:pPr>
            <w:r w:rsidRPr="001368E0">
              <w:rPr>
                <w:rFonts w:cs="Verdana"/>
                <w:b/>
                <w:sz w:val="20"/>
                <w:szCs w:val="20"/>
                <w:lang w:val="en-GB"/>
              </w:rPr>
              <w:t>Environment and the Sustainable Management of Natural Resources including Energy (ENRTP)</w:t>
            </w:r>
            <w:r w:rsidRPr="001368E0">
              <w:rPr>
                <w:rFonts w:cs="Verdana"/>
                <w:sz w:val="20"/>
                <w:szCs w:val="20"/>
                <w:lang w:val="en-GB"/>
              </w:rPr>
              <w:t>: focuses on sustainable energy.</w:t>
            </w:r>
          </w:p>
        </w:tc>
      </w:tr>
      <w:tr w:rsidR="00E978B0" w:rsidRPr="001368E0" w:rsidTr="001368E0">
        <w:tc>
          <w:tcPr>
            <w:tcW w:w="1689" w:type="dxa"/>
            <w:vMerge/>
            <w:shd w:val="clear" w:color="auto" w:fill="auto"/>
          </w:tcPr>
          <w:p w:rsidR="00E978B0" w:rsidRPr="001368E0" w:rsidRDefault="00E978B0"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E978B0" w:rsidRPr="001368E0" w:rsidRDefault="00E978B0" w:rsidP="001368E0">
            <w:pPr>
              <w:widowControl w:val="0"/>
              <w:autoSpaceDE w:val="0"/>
              <w:autoSpaceDN w:val="0"/>
              <w:adjustRightInd w:val="0"/>
              <w:spacing w:after="0" w:line="240" w:lineRule="auto"/>
              <w:rPr>
                <w:sz w:val="20"/>
                <w:szCs w:val="20"/>
                <w:lang w:val="en-GB"/>
              </w:rPr>
            </w:pPr>
            <w:r w:rsidRPr="001368E0">
              <w:rPr>
                <w:b/>
                <w:sz w:val="20"/>
                <w:szCs w:val="20"/>
                <w:lang w:val="en-GB"/>
              </w:rPr>
              <w:t>Nuclear Safety and Cooperation Instrument (NSCI)</w:t>
            </w:r>
            <w:r w:rsidRPr="001368E0">
              <w:rPr>
                <w:sz w:val="20"/>
                <w:szCs w:val="20"/>
                <w:lang w:val="en-GB"/>
              </w:rPr>
              <w:t>: finances actions to improve nuclear safety (including safe transport, remediation and emergency preparedness).</w:t>
            </w:r>
          </w:p>
        </w:tc>
      </w:tr>
      <w:tr w:rsidR="00E978B0" w:rsidRPr="001368E0" w:rsidTr="001368E0">
        <w:tc>
          <w:tcPr>
            <w:tcW w:w="1689" w:type="dxa"/>
            <w:vMerge/>
            <w:shd w:val="clear" w:color="auto" w:fill="auto"/>
          </w:tcPr>
          <w:p w:rsidR="00E978B0" w:rsidRPr="001368E0" w:rsidRDefault="00E978B0"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E978B0" w:rsidRPr="001368E0" w:rsidRDefault="00E978B0" w:rsidP="001368E0">
            <w:pPr>
              <w:widowControl w:val="0"/>
              <w:autoSpaceDE w:val="0"/>
              <w:autoSpaceDN w:val="0"/>
              <w:adjustRightInd w:val="0"/>
              <w:spacing w:after="0" w:line="240" w:lineRule="auto"/>
              <w:rPr>
                <w:sz w:val="20"/>
                <w:szCs w:val="20"/>
              </w:rPr>
            </w:pPr>
            <w:r w:rsidRPr="001368E0">
              <w:rPr>
                <w:b/>
                <w:sz w:val="20"/>
                <w:szCs w:val="20"/>
                <w:lang w:val="en-GB"/>
              </w:rPr>
              <w:t>LIFE </w:t>
            </w:r>
            <w:r w:rsidRPr="001368E0">
              <w:rPr>
                <w:sz w:val="20"/>
                <w:szCs w:val="20"/>
                <w:lang w:val="en-GB"/>
              </w:rPr>
              <w:t>(2014-20): promote</w:t>
            </w:r>
            <w:r w:rsidR="00224EFC" w:rsidRPr="001368E0">
              <w:rPr>
                <w:sz w:val="20"/>
                <w:szCs w:val="20"/>
                <w:lang w:val="en-GB"/>
              </w:rPr>
              <w:t>s</w:t>
            </w:r>
            <w:r w:rsidRPr="001368E0">
              <w:rPr>
                <w:sz w:val="20"/>
                <w:szCs w:val="20"/>
                <w:lang w:val="en-GB"/>
              </w:rPr>
              <w:t xml:space="preserve"> implementation and integration of environment and climate objectives in other policie</w:t>
            </w:r>
            <w:r w:rsidR="00A124BB" w:rsidRPr="001368E0">
              <w:rPr>
                <w:sz w:val="20"/>
                <w:szCs w:val="20"/>
                <w:lang w:val="en-GB"/>
              </w:rPr>
              <w:t>s and EU Member States practice</w:t>
            </w:r>
            <w:r w:rsidR="00582ECC" w:rsidRPr="001368E0">
              <w:rPr>
                <w:sz w:val="20"/>
                <w:szCs w:val="20"/>
                <w:lang w:val="en-GB"/>
              </w:rPr>
              <w:t>; emphasis on better governance</w:t>
            </w:r>
            <w:r w:rsidRPr="001368E0">
              <w:rPr>
                <w:sz w:val="20"/>
                <w:szCs w:val="20"/>
                <w:lang w:val="en-GB"/>
              </w:rPr>
              <w:t xml:space="preserve">; priorities: resource efficiency, biodiversity loss and climate adaptation and mitigation. </w:t>
            </w:r>
            <w:r w:rsidRPr="001368E0">
              <w:rPr>
                <w:sz w:val="20"/>
                <w:szCs w:val="20"/>
              </w:rPr>
              <w:t>Limited possibilities for partner countries participation.</w:t>
            </w:r>
          </w:p>
        </w:tc>
      </w:tr>
      <w:tr w:rsidR="00D273E3" w:rsidRPr="001368E0" w:rsidTr="001368E0">
        <w:tblPrEx>
          <w:tblLook w:val="0480"/>
        </w:tblPrEx>
        <w:trPr>
          <w:trHeight w:val="446"/>
        </w:trPr>
        <w:tc>
          <w:tcPr>
            <w:tcW w:w="1689" w:type="dxa"/>
            <w:vMerge w:val="restart"/>
            <w:shd w:val="clear" w:color="auto" w:fill="auto"/>
          </w:tcPr>
          <w:p w:rsidR="00D273E3" w:rsidRPr="001368E0" w:rsidRDefault="00D273E3" w:rsidP="001368E0">
            <w:pPr>
              <w:widowControl w:val="0"/>
              <w:autoSpaceDE w:val="0"/>
              <w:autoSpaceDN w:val="0"/>
              <w:adjustRightInd w:val="0"/>
              <w:spacing w:after="0" w:line="240" w:lineRule="auto"/>
              <w:rPr>
                <w:b/>
                <w:bCs/>
                <w:sz w:val="20"/>
                <w:szCs w:val="20"/>
                <w:lang w:val="en-GB"/>
              </w:rPr>
            </w:pPr>
            <w:r w:rsidRPr="001368E0">
              <w:rPr>
                <w:b/>
                <w:bCs/>
                <w:sz w:val="20"/>
                <w:szCs w:val="20"/>
                <w:lang w:val="en-GB"/>
              </w:rPr>
              <w:t>ENPI (until 2013), ENI (from 2014)</w:t>
            </w:r>
          </w:p>
          <w:p w:rsidR="00D273E3" w:rsidRPr="001368E0" w:rsidRDefault="00D273E3" w:rsidP="001368E0">
            <w:pPr>
              <w:widowControl w:val="0"/>
              <w:autoSpaceDE w:val="0"/>
              <w:autoSpaceDN w:val="0"/>
              <w:adjustRightInd w:val="0"/>
              <w:spacing w:after="0" w:line="240" w:lineRule="auto"/>
              <w:rPr>
                <w:b/>
                <w:bCs/>
                <w:sz w:val="20"/>
                <w:szCs w:val="20"/>
                <w:lang w:val="en-GB"/>
              </w:rPr>
            </w:pPr>
            <w:r w:rsidRPr="001368E0">
              <w:rPr>
                <w:b/>
                <w:bCs/>
                <w:i/>
                <w:sz w:val="20"/>
                <w:szCs w:val="20"/>
                <w:lang w:val="en-GB"/>
              </w:rPr>
              <w:t>Partner countries</w:t>
            </w:r>
          </w:p>
        </w:tc>
        <w:tc>
          <w:tcPr>
            <w:tcW w:w="9334" w:type="dxa"/>
            <w:shd w:val="clear" w:color="auto" w:fill="auto"/>
          </w:tcPr>
          <w:p w:rsidR="00D273E3" w:rsidRPr="001368E0" w:rsidRDefault="00873DAC" w:rsidP="001368E0">
            <w:pPr>
              <w:widowControl w:val="0"/>
              <w:autoSpaceDE w:val="0"/>
              <w:autoSpaceDN w:val="0"/>
              <w:adjustRightInd w:val="0"/>
              <w:spacing w:after="0" w:line="240" w:lineRule="auto"/>
              <w:rPr>
                <w:rFonts w:cs="Verdana"/>
                <w:sz w:val="20"/>
                <w:szCs w:val="20"/>
                <w:lang w:val="en-GB"/>
              </w:rPr>
            </w:pPr>
            <w:r w:rsidRPr="001368E0">
              <w:rPr>
                <w:b/>
                <w:sz w:val="20"/>
                <w:szCs w:val="20"/>
                <w:lang w:val="en-GB"/>
              </w:rPr>
              <w:t>Bilateral country p</w:t>
            </w:r>
            <w:r w:rsidR="00D273E3" w:rsidRPr="001368E0">
              <w:rPr>
                <w:b/>
                <w:sz w:val="20"/>
                <w:szCs w:val="20"/>
                <w:lang w:val="en-GB"/>
              </w:rPr>
              <w:t>rogrammes </w:t>
            </w:r>
            <w:r w:rsidR="00D273E3" w:rsidRPr="001368E0">
              <w:rPr>
                <w:sz w:val="20"/>
                <w:szCs w:val="20"/>
                <w:lang w:val="en-GB"/>
              </w:rPr>
              <w:t>for each partner country (</w:t>
            </w:r>
            <w:r w:rsidR="00700497" w:rsidRPr="001368E0">
              <w:rPr>
                <w:sz w:val="20"/>
                <w:szCs w:val="20"/>
                <w:lang w:val="en-GB"/>
              </w:rPr>
              <w:t xml:space="preserve">the </w:t>
            </w:r>
            <w:r w:rsidR="00D273E3" w:rsidRPr="001368E0">
              <w:rPr>
                <w:sz w:val="20"/>
                <w:szCs w:val="20"/>
                <w:lang w:val="en-GB"/>
              </w:rPr>
              <w:t xml:space="preserve">main </w:t>
            </w:r>
            <w:r w:rsidR="00700497" w:rsidRPr="001368E0">
              <w:rPr>
                <w:sz w:val="20"/>
                <w:szCs w:val="20"/>
                <w:lang w:val="en-GB"/>
              </w:rPr>
              <w:t xml:space="preserve">EU </w:t>
            </w:r>
            <w:r w:rsidR="00D273E3" w:rsidRPr="001368E0">
              <w:rPr>
                <w:sz w:val="20"/>
                <w:szCs w:val="20"/>
                <w:lang w:val="en-GB"/>
              </w:rPr>
              <w:t xml:space="preserve">cooperation tool), includes </w:t>
            </w:r>
            <w:r w:rsidR="00A73E3F" w:rsidRPr="001368E0">
              <w:rPr>
                <w:sz w:val="20"/>
                <w:szCs w:val="20"/>
                <w:lang w:val="en-GB"/>
              </w:rPr>
              <w:t xml:space="preserve">a </w:t>
            </w:r>
            <w:r w:rsidR="00D273E3" w:rsidRPr="001368E0">
              <w:rPr>
                <w:b/>
                <w:sz w:val="20"/>
                <w:szCs w:val="20"/>
                <w:lang w:val="en-GB"/>
              </w:rPr>
              <w:t>Comprehensive Institution Building</w:t>
            </w:r>
            <w:r w:rsidR="00D273E3" w:rsidRPr="001368E0">
              <w:rPr>
                <w:sz w:val="20"/>
                <w:szCs w:val="20"/>
                <w:lang w:val="en-GB"/>
              </w:rPr>
              <w:t xml:space="preserve"> (CIB) component</w:t>
            </w:r>
          </w:p>
        </w:tc>
      </w:tr>
      <w:tr w:rsidR="00D273E3" w:rsidRPr="001368E0" w:rsidTr="001368E0">
        <w:tblPrEx>
          <w:tblLook w:val="0480"/>
        </w:tblPrEx>
        <w:tc>
          <w:tcPr>
            <w:tcW w:w="1689" w:type="dxa"/>
            <w:vMerge/>
            <w:shd w:val="clear" w:color="auto" w:fill="auto"/>
          </w:tcPr>
          <w:p w:rsidR="00D273E3" w:rsidRPr="001368E0" w:rsidRDefault="00D273E3"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D273E3" w:rsidRPr="001368E0" w:rsidRDefault="00D273E3" w:rsidP="00254070">
            <w:pPr>
              <w:pStyle w:val="Default"/>
              <w:rPr>
                <w:rFonts w:ascii="Calisto MT" w:hAnsi="Calisto MT" w:cs="Times New Roman"/>
                <w:b/>
                <w:sz w:val="20"/>
                <w:szCs w:val="20"/>
                <w:lang w:val="en-GB"/>
              </w:rPr>
            </w:pPr>
            <w:r w:rsidRPr="001368E0">
              <w:rPr>
                <w:rFonts w:ascii="Calisto MT" w:hAnsi="Calisto MT" w:cs="Times New Roman"/>
                <w:b/>
                <w:sz w:val="20"/>
                <w:szCs w:val="20"/>
                <w:lang w:val="en-GB"/>
              </w:rPr>
              <w:t xml:space="preserve">East </w:t>
            </w:r>
            <w:r w:rsidR="007544C7" w:rsidRPr="001368E0">
              <w:rPr>
                <w:rFonts w:ascii="Calisto MT" w:hAnsi="Calisto MT" w:cs="Times New Roman"/>
                <w:b/>
                <w:sz w:val="20"/>
                <w:szCs w:val="20"/>
                <w:lang w:val="en-GB"/>
              </w:rPr>
              <w:t>Regional</w:t>
            </w:r>
            <w:r w:rsidRPr="001368E0">
              <w:rPr>
                <w:rFonts w:ascii="Calisto MT" w:hAnsi="Calisto MT" w:cs="Times New Roman"/>
                <w:b/>
                <w:sz w:val="20"/>
                <w:szCs w:val="20"/>
                <w:lang w:val="en-GB"/>
              </w:rPr>
              <w:t xml:space="preserve"> Programmes, includ</w:t>
            </w:r>
            <w:r w:rsidR="00700497" w:rsidRPr="001368E0">
              <w:rPr>
                <w:rFonts w:ascii="Calisto MT" w:hAnsi="Calisto MT" w:cs="Times New Roman"/>
                <w:b/>
                <w:sz w:val="20"/>
                <w:szCs w:val="20"/>
                <w:lang w:val="en-GB"/>
              </w:rPr>
              <w:t>ing</w:t>
            </w:r>
            <w:r w:rsidR="00000AE2" w:rsidRPr="001368E0">
              <w:rPr>
                <w:rStyle w:val="FootnoteReference"/>
                <w:rFonts w:ascii="Calisto MT" w:hAnsi="Calisto MT" w:cs="Times New Roman"/>
                <w:b/>
                <w:sz w:val="20"/>
                <w:szCs w:val="20"/>
              </w:rPr>
              <w:footnoteReference w:id="60"/>
            </w:r>
            <w:r w:rsidRPr="001368E0">
              <w:rPr>
                <w:rFonts w:ascii="Calisto MT" w:hAnsi="Calisto MT" w:cs="Times New Roman"/>
                <w:b/>
                <w:sz w:val="20"/>
                <w:szCs w:val="20"/>
                <w:lang w:val="en-GB"/>
              </w:rPr>
              <w:t> :</w:t>
            </w:r>
          </w:p>
          <w:p w:rsidR="00D273E3" w:rsidRPr="001368E0" w:rsidRDefault="00D273E3" w:rsidP="00254070">
            <w:pPr>
              <w:pStyle w:val="Default"/>
              <w:rPr>
                <w:rFonts w:ascii="Calisto MT" w:hAnsi="Calisto MT" w:cs="Verdana"/>
                <w:color w:val="auto"/>
                <w:sz w:val="20"/>
                <w:szCs w:val="20"/>
                <w:lang w:val="en-GB"/>
              </w:rPr>
            </w:pPr>
            <w:r w:rsidRPr="001368E0">
              <w:rPr>
                <w:rFonts w:ascii="Calisto MT" w:hAnsi="Calisto MT" w:cs="Times New Roman"/>
                <w:b/>
                <w:sz w:val="20"/>
                <w:szCs w:val="20"/>
                <w:lang w:val="en-GB"/>
              </w:rPr>
              <w:t>- Eastern Partnership Integrated Border Management (IBM)</w:t>
            </w:r>
            <w:r w:rsidRPr="001368E0">
              <w:rPr>
                <w:rFonts w:ascii="Calisto MT" w:hAnsi="Calisto MT" w:cs="Times New Roman"/>
                <w:sz w:val="20"/>
                <w:szCs w:val="20"/>
                <w:lang w:val="en-GB"/>
              </w:rPr>
              <w:t xml:space="preserve">: </w:t>
            </w:r>
            <w:r w:rsidRPr="001368E0">
              <w:rPr>
                <w:rFonts w:ascii="Calisto MT" w:hAnsi="Calisto MT" w:cs="Verdana"/>
                <w:color w:val="auto"/>
                <w:sz w:val="20"/>
                <w:szCs w:val="20"/>
                <w:lang w:val="en-GB"/>
              </w:rPr>
              <w:t xml:space="preserve">supports the implementation of the concept of integrated border management, with the dual objective to secure the borders and to facilitate the legal passing of persons and goods. </w:t>
            </w:r>
          </w:p>
          <w:p w:rsidR="00D273E3" w:rsidRPr="001368E0" w:rsidRDefault="00D273E3" w:rsidP="001368E0">
            <w:pPr>
              <w:widowControl w:val="0"/>
              <w:autoSpaceDE w:val="0"/>
              <w:autoSpaceDN w:val="0"/>
              <w:adjustRightInd w:val="0"/>
              <w:spacing w:after="0" w:line="240" w:lineRule="auto"/>
              <w:rPr>
                <w:sz w:val="20"/>
                <w:szCs w:val="20"/>
                <w:lang w:val="en-GB"/>
              </w:rPr>
            </w:pPr>
            <w:r w:rsidRPr="001368E0">
              <w:rPr>
                <w:b/>
                <w:sz w:val="20"/>
                <w:szCs w:val="20"/>
                <w:lang w:val="en-GB"/>
              </w:rPr>
              <w:t xml:space="preserve">- Eastern Partnership SMEs development support: </w:t>
            </w:r>
            <w:r w:rsidRPr="001368E0">
              <w:rPr>
                <w:sz w:val="20"/>
                <w:szCs w:val="20"/>
                <w:lang w:val="en-GB"/>
              </w:rPr>
              <w:t>supports partner countr</w:t>
            </w:r>
            <w:r w:rsidR="00700497" w:rsidRPr="001368E0">
              <w:rPr>
                <w:sz w:val="20"/>
                <w:szCs w:val="20"/>
                <w:lang w:val="en-GB"/>
              </w:rPr>
              <w:t>y</w:t>
            </w:r>
            <w:r w:rsidRPr="001368E0">
              <w:rPr>
                <w:sz w:val="20"/>
                <w:szCs w:val="20"/>
                <w:lang w:val="en-GB"/>
              </w:rPr>
              <w:t xml:space="preserve"> institutions to put in place and implement policy and legislative reforms in support of SMEs ; supports Business Support organisations and promotes trade opportunities between European and partner countr</w:t>
            </w:r>
            <w:r w:rsidR="00700497" w:rsidRPr="001368E0">
              <w:rPr>
                <w:sz w:val="20"/>
                <w:szCs w:val="20"/>
                <w:lang w:val="en-GB"/>
              </w:rPr>
              <w:t>y</w:t>
            </w:r>
            <w:r w:rsidRPr="001368E0">
              <w:rPr>
                <w:sz w:val="20"/>
                <w:szCs w:val="20"/>
                <w:lang w:val="en-GB"/>
              </w:rPr>
              <w:t xml:space="preserve"> companies (East-Invest) ; strengthens auditing and reporting capacity of SMEs to improve their access to financing.</w:t>
            </w:r>
          </w:p>
          <w:p w:rsidR="001D38B4" w:rsidRPr="001368E0" w:rsidRDefault="00704B5C" w:rsidP="001D38B4">
            <w:pPr>
              <w:pStyle w:val="Default"/>
              <w:rPr>
                <w:rFonts w:ascii="Calisto MT" w:hAnsi="Calisto MT" w:cs="Times New Roman"/>
                <w:color w:val="auto"/>
                <w:sz w:val="20"/>
                <w:szCs w:val="20"/>
                <w:lang w:val="en-GB"/>
              </w:rPr>
            </w:pPr>
            <w:r w:rsidRPr="001368E0">
              <w:rPr>
                <w:rFonts w:cs="Times New Roman"/>
                <w:sz w:val="20"/>
                <w:szCs w:val="20"/>
                <w:lang w:val="en-GB"/>
              </w:rPr>
              <w:t xml:space="preserve">- </w:t>
            </w:r>
            <w:r w:rsidRPr="001368E0">
              <w:rPr>
                <w:rFonts w:ascii="Calisto MT" w:hAnsi="Calisto MT" w:cs="Times New Roman"/>
                <w:b/>
                <w:sz w:val="20"/>
                <w:szCs w:val="20"/>
                <w:lang w:val="en-GB"/>
              </w:rPr>
              <w:t>Eastern Partnership SME Finance Facility</w:t>
            </w:r>
            <w:r w:rsidR="00BB5434" w:rsidRPr="001368E0">
              <w:rPr>
                <w:rFonts w:ascii="Calisto MT" w:hAnsi="Calisto MT" w:cs="Times New Roman"/>
                <w:b/>
                <w:sz w:val="20"/>
                <w:szCs w:val="20"/>
                <w:lang w:val="en-GB"/>
              </w:rPr>
              <w:t xml:space="preserve">: </w:t>
            </w:r>
            <w:r w:rsidR="00BB5434" w:rsidRPr="001368E0">
              <w:rPr>
                <w:rFonts w:ascii="Calisto MT" w:hAnsi="Calisto MT" w:cs="Times New Roman"/>
                <w:color w:val="auto"/>
                <w:sz w:val="20"/>
                <w:szCs w:val="20"/>
                <w:lang w:val="en-GB"/>
              </w:rPr>
              <w:t>c</w:t>
            </w:r>
            <w:r w:rsidRPr="001368E0">
              <w:rPr>
                <w:rFonts w:ascii="Calisto MT" w:hAnsi="Calisto MT" w:cs="Times New Roman"/>
                <w:color w:val="auto"/>
                <w:sz w:val="20"/>
                <w:szCs w:val="20"/>
                <w:lang w:val="en-GB"/>
              </w:rPr>
              <w:t xml:space="preserve">ombines </w:t>
            </w:r>
            <w:r w:rsidR="00BB5434" w:rsidRPr="001368E0">
              <w:rPr>
                <w:rFonts w:ascii="Calisto MT" w:hAnsi="Calisto MT" w:cs="Times New Roman"/>
                <w:color w:val="auto"/>
                <w:sz w:val="20"/>
                <w:szCs w:val="20"/>
                <w:lang w:val="en-GB"/>
              </w:rPr>
              <w:t>EBRD, EIB</w:t>
            </w:r>
            <w:r w:rsidRPr="001368E0">
              <w:rPr>
                <w:rFonts w:ascii="Calisto MT" w:hAnsi="Calisto MT" w:cs="Times New Roman"/>
                <w:color w:val="auto"/>
                <w:sz w:val="20"/>
                <w:szCs w:val="20"/>
                <w:lang w:val="en-GB"/>
              </w:rPr>
              <w:t xml:space="preserve"> and KfW loans with EU grant resources, to support SME lending</w:t>
            </w:r>
          </w:p>
          <w:p w:rsidR="00CD669B" w:rsidRPr="001368E0" w:rsidRDefault="00CD669B" w:rsidP="001368E0">
            <w:pPr>
              <w:widowControl w:val="0"/>
              <w:autoSpaceDE w:val="0"/>
              <w:autoSpaceDN w:val="0"/>
              <w:adjustRightInd w:val="0"/>
              <w:spacing w:after="0" w:line="240" w:lineRule="auto"/>
              <w:rPr>
                <w:sz w:val="20"/>
                <w:szCs w:val="20"/>
                <w:lang w:val="en-GB"/>
              </w:rPr>
            </w:pPr>
            <w:r w:rsidRPr="001368E0">
              <w:rPr>
                <w:b/>
                <w:color w:val="000000"/>
                <w:sz w:val="20"/>
                <w:szCs w:val="20"/>
                <w:lang w:val="en-GB"/>
              </w:rPr>
              <w:t xml:space="preserve">- Small Business Support Programmes in the Eastern Partnership: </w:t>
            </w:r>
            <w:r w:rsidRPr="001368E0">
              <w:rPr>
                <w:sz w:val="20"/>
                <w:szCs w:val="20"/>
                <w:lang w:val="en-GB"/>
              </w:rPr>
              <w:t>Business Advisory Services and Enterprise Growth Programmes provide individual and customised technical assistance to help micro, small and medium-sized enterprises adapt to the demands of a liberal market economy, and develop the capacities of local SMEs as well as local business advisory services.</w:t>
            </w:r>
          </w:p>
          <w:p w:rsidR="001D38B4" w:rsidRPr="001368E0" w:rsidRDefault="00CD669B" w:rsidP="001368E0">
            <w:pPr>
              <w:widowControl w:val="0"/>
              <w:autoSpaceDE w:val="0"/>
              <w:autoSpaceDN w:val="0"/>
              <w:adjustRightInd w:val="0"/>
              <w:spacing w:after="0" w:line="240" w:lineRule="auto"/>
              <w:rPr>
                <w:b/>
                <w:color w:val="000000"/>
                <w:sz w:val="20"/>
                <w:szCs w:val="20"/>
                <w:lang w:val="en-GB"/>
              </w:rPr>
            </w:pPr>
            <w:r w:rsidRPr="001368E0">
              <w:rPr>
                <w:b/>
                <w:color w:val="000000"/>
                <w:sz w:val="20"/>
                <w:szCs w:val="20"/>
                <w:lang w:val="en-GB"/>
              </w:rPr>
              <w:t xml:space="preserve">- </w:t>
            </w:r>
            <w:r w:rsidR="001D38B4" w:rsidRPr="001368E0">
              <w:rPr>
                <w:b/>
                <w:color w:val="000000"/>
                <w:sz w:val="20"/>
                <w:szCs w:val="20"/>
                <w:lang w:val="en-GB"/>
              </w:rPr>
              <w:t>Eastern Partnership Youth Window</w:t>
            </w:r>
            <w:r w:rsidR="001D38B4" w:rsidRPr="001368E0">
              <w:rPr>
                <w:b/>
                <w:sz w:val="20"/>
                <w:szCs w:val="20"/>
                <w:lang w:val="en-GB"/>
              </w:rPr>
              <w:t>: </w:t>
            </w:r>
            <w:r w:rsidR="001D38B4" w:rsidRPr="001368E0">
              <w:rPr>
                <w:sz w:val="20"/>
                <w:szCs w:val="20"/>
                <w:lang w:val="en-GB"/>
              </w:rPr>
              <w:t>support</w:t>
            </w:r>
            <w:r w:rsidR="007F6C7A" w:rsidRPr="001368E0">
              <w:rPr>
                <w:sz w:val="20"/>
                <w:szCs w:val="20"/>
                <w:lang w:val="en-GB"/>
              </w:rPr>
              <w:t xml:space="preserve"> i</w:t>
            </w:r>
            <w:r w:rsidR="001D38B4" w:rsidRPr="001368E0">
              <w:rPr>
                <w:sz w:val="20"/>
                <w:szCs w:val="20"/>
                <w:lang w:val="en-GB"/>
              </w:rPr>
              <w:t>n responding</w:t>
            </w:r>
            <w:r w:rsidR="007F6C7A" w:rsidRPr="001368E0">
              <w:rPr>
                <w:sz w:val="20"/>
                <w:szCs w:val="20"/>
                <w:lang w:val="en-GB"/>
              </w:rPr>
              <w:t xml:space="preserve"> to the needs of youth in </w:t>
            </w:r>
            <w:r w:rsidR="001D38B4" w:rsidRPr="001368E0">
              <w:rPr>
                <w:sz w:val="20"/>
                <w:szCs w:val="20"/>
                <w:lang w:val="en-GB"/>
              </w:rPr>
              <w:t>societies through cooperation among young people and youth worker</w:t>
            </w:r>
          </w:p>
          <w:p w:rsidR="00C67CF5" w:rsidRPr="001368E0" w:rsidRDefault="007544C7" w:rsidP="001368E0">
            <w:pPr>
              <w:widowControl w:val="0"/>
              <w:autoSpaceDE w:val="0"/>
              <w:autoSpaceDN w:val="0"/>
              <w:adjustRightInd w:val="0"/>
              <w:spacing w:after="0" w:line="240" w:lineRule="auto"/>
              <w:rPr>
                <w:sz w:val="20"/>
                <w:szCs w:val="20"/>
                <w:lang w:val="en-GB"/>
              </w:rPr>
            </w:pPr>
            <w:r w:rsidRPr="001368E0">
              <w:rPr>
                <w:sz w:val="20"/>
                <w:szCs w:val="20"/>
                <w:lang w:val="en-GB"/>
              </w:rPr>
              <w:t xml:space="preserve">- </w:t>
            </w:r>
            <w:r w:rsidR="00C510E1" w:rsidRPr="001368E0">
              <w:rPr>
                <w:b/>
                <w:sz w:val="20"/>
                <w:szCs w:val="20"/>
                <w:lang w:val="en-GB"/>
              </w:rPr>
              <w:t>ClimaEast: supporting climate change mitigation and adaptation </w:t>
            </w:r>
            <w:r w:rsidR="00C510E1" w:rsidRPr="001368E0">
              <w:rPr>
                <w:sz w:val="20"/>
                <w:szCs w:val="20"/>
                <w:lang w:val="en-GB"/>
              </w:rPr>
              <w:t xml:space="preserve"> to foster improved climate change policies, strategies and market mechanisms</w:t>
            </w:r>
          </w:p>
          <w:p w:rsidR="00D273E3" w:rsidRPr="001368E0" w:rsidRDefault="00C67CF5" w:rsidP="001368E0">
            <w:pPr>
              <w:widowControl w:val="0"/>
              <w:autoSpaceDE w:val="0"/>
              <w:autoSpaceDN w:val="0"/>
              <w:adjustRightInd w:val="0"/>
              <w:spacing w:after="0" w:line="240" w:lineRule="auto"/>
              <w:rPr>
                <w:sz w:val="20"/>
                <w:szCs w:val="20"/>
                <w:lang w:val="en-GB"/>
              </w:rPr>
            </w:pPr>
            <w:r w:rsidRPr="001368E0">
              <w:rPr>
                <w:sz w:val="20"/>
                <w:szCs w:val="20"/>
                <w:lang w:val="en-GB"/>
              </w:rPr>
              <w:t xml:space="preserve">- </w:t>
            </w:r>
            <w:r w:rsidRPr="001368E0">
              <w:rPr>
                <w:b/>
                <w:sz w:val="20"/>
                <w:szCs w:val="20"/>
                <w:lang w:val="en-GB"/>
              </w:rPr>
              <w:t>Greening economies in the Eastern Neighbourhood</w:t>
            </w:r>
            <w:r w:rsidR="00144BD7" w:rsidRPr="001368E0">
              <w:rPr>
                <w:b/>
                <w:sz w:val="20"/>
                <w:szCs w:val="20"/>
                <w:lang w:val="en-GB"/>
              </w:rPr>
              <w:t> </w:t>
            </w:r>
            <w:r w:rsidR="00144BD7" w:rsidRPr="001368E0">
              <w:rPr>
                <w:sz w:val="20"/>
                <w:szCs w:val="20"/>
                <w:lang w:val="en-GB"/>
              </w:rPr>
              <w:t>: s</w:t>
            </w:r>
            <w:r w:rsidRPr="001368E0">
              <w:rPr>
                <w:sz w:val="20"/>
                <w:szCs w:val="20"/>
                <w:lang w:val="en-GB"/>
              </w:rPr>
              <w:t xml:space="preserve">upports </w:t>
            </w:r>
            <w:r w:rsidR="00AC27C0" w:rsidRPr="001368E0">
              <w:rPr>
                <w:sz w:val="20"/>
                <w:szCs w:val="20"/>
                <w:lang w:val="en-GB"/>
              </w:rPr>
              <w:t>the</w:t>
            </w:r>
            <w:r w:rsidR="00144BD7" w:rsidRPr="001368E0">
              <w:rPr>
                <w:sz w:val="20"/>
                <w:szCs w:val="20"/>
                <w:lang w:val="en-GB"/>
              </w:rPr>
              <w:t xml:space="preserve"> </w:t>
            </w:r>
            <w:r w:rsidRPr="001368E0">
              <w:rPr>
                <w:sz w:val="20"/>
                <w:szCs w:val="20"/>
                <w:lang w:val="en-GB"/>
              </w:rPr>
              <w:t>move towards a green economy by decoupling economic growth from environmental degradation and resource depletion and by promoting sustainable consumption and production strategies</w:t>
            </w:r>
          </w:p>
          <w:p w:rsidR="00A124BB" w:rsidRPr="001368E0" w:rsidRDefault="00A124BB" w:rsidP="001368E0">
            <w:pPr>
              <w:widowControl w:val="0"/>
              <w:autoSpaceDE w:val="0"/>
              <w:autoSpaceDN w:val="0"/>
              <w:adjustRightInd w:val="0"/>
              <w:spacing w:after="0" w:line="240" w:lineRule="auto"/>
              <w:rPr>
                <w:sz w:val="20"/>
                <w:szCs w:val="20"/>
                <w:lang w:val="en-GB"/>
              </w:rPr>
            </w:pPr>
            <w:r w:rsidRPr="001368E0">
              <w:rPr>
                <w:b/>
                <w:sz w:val="20"/>
                <w:szCs w:val="20"/>
                <w:lang w:val="en-GB"/>
              </w:rPr>
              <w:t>- Eastern Parnership Culture programme:</w:t>
            </w:r>
            <w:r w:rsidRPr="001368E0">
              <w:rPr>
                <w:sz w:val="20"/>
                <w:szCs w:val="20"/>
                <w:lang w:val="en-GB"/>
              </w:rPr>
              <w:t xml:space="preserve"> strengthens regional cultural links and dialogue within the Eastern Partnership region, and between the EU and ENP Eastern countries' cultural networks and actors</w:t>
            </w:r>
          </w:p>
        </w:tc>
      </w:tr>
      <w:tr w:rsidR="00D273E3" w:rsidRPr="001368E0" w:rsidTr="001368E0">
        <w:tblPrEx>
          <w:tblLook w:val="0480"/>
        </w:tblPrEx>
        <w:tc>
          <w:tcPr>
            <w:tcW w:w="1689" w:type="dxa"/>
            <w:vMerge/>
            <w:shd w:val="clear" w:color="auto" w:fill="auto"/>
          </w:tcPr>
          <w:p w:rsidR="00D273E3" w:rsidRPr="001368E0" w:rsidRDefault="00D273E3"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D273E3" w:rsidRPr="001368E0" w:rsidRDefault="007544C7" w:rsidP="001368E0">
            <w:pPr>
              <w:widowControl w:val="0"/>
              <w:autoSpaceDE w:val="0"/>
              <w:autoSpaceDN w:val="0"/>
              <w:adjustRightInd w:val="0"/>
              <w:spacing w:after="0" w:line="240" w:lineRule="auto"/>
              <w:rPr>
                <w:lang w:val="en-GB"/>
              </w:rPr>
            </w:pPr>
            <w:r w:rsidRPr="001368E0">
              <w:rPr>
                <w:rFonts w:cs="Verdana"/>
                <w:b/>
                <w:sz w:val="20"/>
                <w:szCs w:val="20"/>
                <w:lang w:val="en-GB"/>
              </w:rPr>
              <w:t>The Eastern Partnership Integration and Cooperation (EaPIC) programme</w:t>
            </w:r>
            <w:r w:rsidRPr="001368E0">
              <w:rPr>
                <w:rFonts w:cs="Verdana"/>
                <w:sz w:val="20"/>
                <w:szCs w:val="20"/>
                <w:lang w:val="en-GB"/>
              </w:rPr>
              <w:t>: additional funding based on reforms achieved to support democratic transformation and institution building, sustainable and inclusive growth and economic development</w:t>
            </w:r>
          </w:p>
        </w:tc>
      </w:tr>
      <w:tr w:rsidR="00D273E3" w:rsidRPr="001368E0" w:rsidTr="001368E0">
        <w:tblPrEx>
          <w:tblLook w:val="0480"/>
        </w:tblPrEx>
        <w:tc>
          <w:tcPr>
            <w:tcW w:w="1689" w:type="dxa"/>
            <w:vMerge/>
            <w:shd w:val="clear" w:color="auto" w:fill="auto"/>
          </w:tcPr>
          <w:p w:rsidR="00D273E3" w:rsidRPr="001368E0" w:rsidRDefault="00D273E3"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D273E3" w:rsidRPr="001368E0" w:rsidRDefault="007544C7" w:rsidP="001368E0">
            <w:pPr>
              <w:widowControl w:val="0"/>
              <w:autoSpaceDE w:val="0"/>
              <w:autoSpaceDN w:val="0"/>
              <w:adjustRightInd w:val="0"/>
              <w:spacing w:after="0" w:line="240" w:lineRule="auto"/>
              <w:rPr>
                <w:b/>
                <w:sz w:val="20"/>
                <w:szCs w:val="20"/>
                <w:lang w:val="en-GB"/>
              </w:rPr>
            </w:pPr>
            <w:r w:rsidRPr="001368E0">
              <w:rPr>
                <w:b/>
                <w:sz w:val="20"/>
                <w:szCs w:val="20"/>
                <w:lang w:val="en-GB"/>
              </w:rPr>
              <w:t>Neighbourhood Investment Facility (NIF)</w:t>
            </w:r>
            <w:r w:rsidRPr="001368E0">
              <w:rPr>
                <w:sz w:val="20"/>
                <w:szCs w:val="20"/>
                <w:lang w:val="en-GB"/>
              </w:rPr>
              <w:t>:</w:t>
            </w:r>
            <w:r w:rsidRPr="001368E0">
              <w:rPr>
                <w:rFonts w:cs="Verdana"/>
                <w:sz w:val="20"/>
                <w:szCs w:val="20"/>
                <w:lang w:val="en-GB"/>
              </w:rPr>
              <w:t xml:space="preserve"> finances key </w:t>
            </w:r>
            <w:r w:rsidRPr="001368E0">
              <w:rPr>
                <w:rFonts w:cs="Verdana"/>
                <w:bCs/>
                <w:sz w:val="20"/>
                <w:szCs w:val="20"/>
                <w:lang w:val="en-GB"/>
              </w:rPr>
              <w:t xml:space="preserve">infrastructure </w:t>
            </w:r>
            <w:r w:rsidRPr="001368E0">
              <w:rPr>
                <w:rFonts w:cs="Verdana"/>
                <w:sz w:val="20"/>
                <w:szCs w:val="20"/>
                <w:lang w:val="en-GB"/>
              </w:rPr>
              <w:t xml:space="preserve">projects in partner countries as well as supports their </w:t>
            </w:r>
            <w:r w:rsidRPr="001368E0">
              <w:rPr>
                <w:rFonts w:cs="Verdana"/>
                <w:bCs/>
                <w:sz w:val="20"/>
                <w:szCs w:val="20"/>
                <w:lang w:val="en-GB"/>
              </w:rPr>
              <w:t>private sector</w:t>
            </w:r>
            <w:r w:rsidR="00700497" w:rsidRPr="001368E0">
              <w:rPr>
                <w:rFonts w:cs="Verdana"/>
                <w:bCs/>
                <w:sz w:val="20"/>
                <w:szCs w:val="20"/>
                <w:lang w:val="en-GB"/>
              </w:rPr>
              <w:t>s</w:t>
            </w:r>
            <w:r w:rsidRPr="001368E0">
              <w:rPr>
                <w:rFonts w:cs="Verdana"/>
                <w:bCs/>
                <w:sz w:val="20"/>
                <w:szCs w:val="20"/>
                <w:lang w:val="en-GB"/>
              </w:rPr>
              <w:t xml:space="preserve"> (mix of grants and loans)</w:t>
            </w:r>
          </w:p>
        </w:tc>
      </w:tr>
      <w:tr w:rsidR="00EE0009" w:rsidRPr="001368E0" w:rsidTr="001368E0">
        <w:tc>
          <w:tcPr>
            <w:tcW w:w="1689" w:type="dxa"/>
            <w:vMerge/>
            <w:shd w:val="clear" w:color="auto" w:fill="auto"/>
          </w:tcPr>
          <w:p w:rsidR="00EE0009" w:rsidRPr="001368E0" w:rsidRDefault="00EE0009"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EE0009" w:rsidRPr="001368E0" w:rsidRDefault="00EE0009" w:rsidP="001368E0">
            <w:pPr>
              <w:widowControl w:val="0"/>
              <w:autoSpaceDE w:val="0"/>
              <w:autoSpaceDN w:val="0"/>
              <w:adjustRightInd w:val="0"/>
              <w:spacing w:after="0" w:line="240" w:lineRule="auto"/>
              <w:rPr>
                <w:sz w:val="20"/>
                <w:szCs w:val="20"/>
                <w:lang w:val="en-GB"/>
              </w:rPr>
            </w:pPr>
            <w:r w:rsidRPr="001368E0">
              <w:rPr>
                <w:b/>
                <w:sz w:val="20"/>
                <w:szCs w:val="20"/>
                <w:lang w:val="en-GB"/>
              </w:rPr>
              <w:t>Neighbourhood Civil Society Facility</w:t>
            </w:r>
            <w:r w:rsidRPr="001368E0">
              <w:rPr>
                <w:sz w:val="20"/>
                <w:szCs w:val="20"/>
                <w:lang w:val="en-GB"/>
              </w:rPr>
              <w:t xml:space="preserve">: </w:t>
            </w:r>
            <w:r w:rsidRPr="001368E0">
              <w:rPr>
                <w:rFonts w:cs="Verdana"/>
                <w:sz w:val="20"/>
                <w:szCs w:val="20"/>
                <w:lang w:val="en-GB"/>
              </w:rPr>
              <w:t>financial support to projects, capacity building, involvement in sector policy dialogues for civil society actors</w:t>
            </w:r>
          </w:p>
        </w:tc>
      </w:tr>
      <w:tr w:rsidR="00EE0009" w:rsidRPr="001368E0" w:rsidTr="001368E0">
        <w:trPr>
          <w:trHeight w:val="529"/>
        </w:trPr>
        <w:tc>
          <w:tcPr>
            <w:tcW w:w="1689" w:type="dxa"/>
            <w:vMerge/>
            <w:shd w:val="clear" w:color="auto" w:fill="auto"/>
          </w:tcPr>
          <w:p w:rsidR="00EE0009" w:rsidRPr="001368E0" w:rsidRDefault="00EE0009"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EE0009" w:rsidRPr="001368E0" w:rsidRDefault="00EE0009" w:rsidP="001368E0">
            <w:pPr>
              <w:widowControl w:val="0"/>
              <w:autoSpaceDE w:val="0"/>
              <w:autoSpaceDN w:val="0"/>
              <w:adjustRightInd w:val="0"/>
              <w:spacing w:after="0"/>
              <w:rPr>
                <w:sz w:val="20"/>
                <w:szCs w:val="20"/>
                <w:lang w:val="en-GB"/>
              </w:rPr>
            </w:pPr>
            <w:r w:rsidRPr="001368E0">
              <w:rPr>
                <w:b/>
                <w:sz w:val="20"/>
                <w:szCs w:val="20"/>
                <w:lang w:val="en-GB"/>
              </w:rPr>
              <w:t>SIGMA</w:t>
            </w:r>
            <w:r w:rsidRPr="001368E0">
              <w:rPr>
                <w:sz w:val="20"/>
                <w:szCs w:val="20"/>
                <w:lang w:val="en-GB"/>
              </w:rPr>
              <w:t xml:space="preserve"> (Support for Improvement in Governance and Management): joint initiative </w:t>
            </w:r>
            <w:r w:rsidR="00700497" w:rsidRPr="001368E0">
              <w:rPr>
                <w:sz w:val="20"/>
                <w:szCs w:val="20"/>
                <w:lang w:val="en-GB"/>
              </w:rPr>
              <w:t xml:space="preserve">of the </w:t>
            </w:r>
            <w:r w:rsidRPr="001368E0">
              <w:rPr>
                <w:sz w:val="20"/>
                <w:szCs w:val="20"/>
                <w:lang w:val="en-GB"/>
              </w:rPr>
              <w:t>EU</w:t>
            </w:r>
            <w:r w:rsidR="00700497" w:rsidRPr="001368E0">
              <w:rPr>
                <w:sz w:val="20"/>
                <w:szCs w:val="20"/>
                <w:lang w:val="en-GB"/>
              </w:rPr>
              <w:t xml:space="preserve"> and </w:t>
            </w:r>
            <w:r w:rsidRPr="001368E0">
              <w:rPr>
                <w:sz w:val="20"/>
                <w:szCs w:val="20"/>
                <w:lang w:val="en-GB"/>
              </w:rPr>
              <w:t>OECD provides technical support at national level</w:t>
            </w:r>
          </w:p>
        </w:tc>
      </w:tr>
      <w:tr w:rsidR="00BD571E" w:rsidRPr="001368E0" w:rsidTr="001368E0">
        <w:tblPrEx>
          <w:tblLook w:val="0480"/>
        </w:tblPrEx>
        <w:tc>
          <w:tcPr>
            <w:tcW w:w="1689" w:type="dxa"/>
            <w:vMerge w:val="restart"/>
            <w:shd w:val="clear" w:color="auto" w:fill="auto"/>
          </w:tcPr>
          <w:p w:rsidR="00BD571E" w:rsidRPr="001368E0" w:rsidRDefault="00BD571E" w:rsidP="001368E0">
            <w:pPr>
              <w:widowControl w:val="0"/>
              <w:autoSpaceDE w:val="0"/>
              <w:autoSpaceDN w:val="0"/>
              <w:adjustRightInd w:val="0"/>
              <w:spacing w:after="0" w:line="240" w:lineRule="auto"/>
              <w:rPr>
                <w:b/>
                <w:bCs/>
                <w:sz w:val="20"/>
                <w:szCs w:val="20"/>
                <w:lang w:val="en-GB"/>
              </w:rPr>
            </w:pPr>
            <w:r w:rsidRPr="001368E0">
              <w:rPr>
                <w:b/>
                <w:bCs/>
                <w:sz w:val="20"/>
                <w:szCs w:val="20"/>
                <w:lang w:val="en-GB"/>
              </w:rPr>
              <w:t>Cohesion Policy under European Structural and Investment Funds</w:t>
            </w:r>
          </w:p>
          <w:p w:rsidR="00BD571E" w:rsidRPr="001368E0" w:rsidRDefault="00BD571E" w:rsidP="001368E0">
            <w:pPr>
              <w:widowControl w:val="0"/>
              <w:autoSpaceDE w:val="0"/>
              <w:autoSpaceDN w:val="0"/>
              <w:adjustRightInd w:val="0"/>
              <w:spacing w:after="0" w:line="240" w:lineRule="auto"/>
              <w:rPr>
                <w:b/>
                <w:bCs/>
                <w:i/>
                <w:sz w:val="20"/>
                <w:szCs w:val="20"/>
              </w:rPr>
            </w:pPr>
            <w:r w:rsidRPr="001368E0">
              <w:rPr>
                <w:b/>
                <w:bCs/>
                <w:i/>
                <w:sz w:val="20"/>
                <w:szCs w:val="20"/>
              </w:rPr>
              <w:t>EU Member States</w:t>
            </w:r>
          </w:p>
        </w:tc>
        <w:tc>
          <w:tcPr>
            <w:tcW w:w="9334" w:type="dxa"/>
            <w:shd w:val="clear" w:color="auto" w:fill="auto"/>
          </w:tcPr>
          <w:p w:rsidR="00BD571E" w:rsidRPr="001368E0" w:rsidRDefault="00BD571E" w:rsidP="001368E0">
            <w:pPr>
              <w:widowControl w:val="0"/>
              <w:autoSpaceDE w:val="0"/>
              <w:autoSpaceDN w:val="0"/>
              <w:adjustRightInd w:val="0"/>
              <w:spacing w:after="0" w:line="240" w:lineRule="auto"/>
              <w:rPr>
                <w:sz w:val="20"/>
                <w:szCs w:val="20"/>
                <w:lang w:val="en-GB"/>
              </w:rPr>
            </w:pPr>
            <w:r w:rsidRPr="001368E0">
              <w:rPr>
                <w:b/>
                <w:sz w:val="20"/>
                <w:szCs w:val="20"/>
                <w:lang w:val="en-GB"/>
              </w:rPr>
              <w:t>European Regional Development Fund (ERDF):</w:t>
            </w:r>
            <w:r w:rsidRPr="001368E0">
              <w:rPr>
                <w:rFonts w:ascii="Verdana" w:hAnsi="Verdana" w:cs="Verdana"/>
                <w:lang w:val="en-GB"/>
              </w:rPr>
              <w:t xml:space="preserve"> </w:t>
            </w:r>
            <w:r w:rsidRPr="001368E0">
              <w:rPr>
                <w:sz w:val="20"/>
                <w:szCs w:val="20"/>
                <w:lang w:val="en-GB"/>
              </w:rPr>
              <w:t>investments in 2014-20 will be concentrated on 4 key priorities: innovation and research, ICT, support for SMEs and shift towards a low-carbon economy</w:t>
            </w:r>
          </w:p>
        </w:tc>
      </w:tr>
      <w:tr w:rsidR="00BD571E" w:rsidRPr="001368E0" w:rsidTr="001368E0">
        <w:tblPrEx>
          <w:tblLook w:val="0480"/>
        </w:tblPrEx>
        <w:tc>
          <w:tcPr>
            <w:tcW w:w="1689" w:type="dxa"/>
            <w:vMerge/>
            <w:shd w:val="clear" w:color="auto" w:fill="auto"/>
          </w:tcPr>
          <w:p w:rsidR="00BD571E" w:rsidRPr="001368E0" w:rsidRDefault="00BD571E"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BD571E" w:rsidRPr="001368E0" w:rsidRDefault="00BD571E" w:rsidP="001368E0">
            <w:pPr>
              <w:widowControl w:val="0"/>
              <w:autoSpaceDE w:val="0"/>
              <w:autoSpaceDN w:val="0"/>
              <w:adjustRightInd w:val="0"/>
              <w:spacing w:after="0" w:line="240" w:lineRule="auto"/>
              <w:rPr>
                <w:sz w:val="20"/>
                <w:szCs w:val="20"/>
                <w:lang w:val="en-GB"/>
              </w:rPr>
            </w:pPr>
            <w:r w:rsidRPr="001368E0">
              <w:rPr>
                <w:b/>
                <w:sz w:val="20"/>
                <w:szCs w:val="20"/>
                <w:lang w:val="en-GB"/>
              </w:rPr>
              <w:t>Cohesion Fund</w:t>
            </w:r>
            <w:r w:rsidRPr="001368E0">
              <w:rPr>
                <w:sz w:val="20"/>
                <w:szCs w:val="20"/>
                <w:lang w:val="en-GB"/>
              </w:rPr>
              <w:t>: focused on priority Trans-European transport links and key environmental infrastructure projects</w:t>
            </w:r>
          </w:p>
        </w:tc>
      </w:tr>
      <w:tr w:rsidR="00BD571E" w:rsidRPr="001368E0" w:rsidTr="001368E0">
        <w:tblPrEx>
          <w:tblLook w:val="0480"/>
        </w:tblPrEx>
        <w:tc>
          <w:tcPr>
            <w:tcW w:w="1689" w:type="dxa"/>
            <w:vMerge/>
            <w:shd w:val="clear" w:color="auto" w:fill="auto"/>
          </w:tcPr>
          <w:p w:rsidR="00BD571E" w:rsidRPr="001368E0" w:rsidRDefault="00BD571E"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BD571E" w:rsidRPr="001368E0" w:rsidRDefault="00BD571E" w:rsidP="001368E0">
            <w:pPr>
              <w:widowControl w:val="0"/>
              <w:autoSpaceDE w:val="0"/>
              <w:autoSpaceDN w:val="0"/>
              <w:adjustRightInd w:val="0"/>
              <w:spacing w:after="0" w:line="240" w:lineRule="auto"/>
              <w:rPr>
                <w:sz w:val="20"/>
                <w:szCs w:val="20"/>
                <w:lang w:val="en-GB"/>
              </w:rPr>
            </w:pPr>
            <w:r w:rsidRPr="001368E0">
              <w:rPr>
                <w:b/>
                <w:sz w:val="20"/>
                <w:szCs w:val="20"/>
                <w:lang w:val="en-GB"/>
              </w:rPr>
              <w:t>European Social Fund (ESF)</w:t>
            </w:r>
            <w:r w:rsidRPr="001368E0">
              <w:rPr>
                <w:sz w:val="20"/>
                <w:szCs w:val="20"/>
                <w:lang w:val="en-GB"/>
              </w:rPr>
              <w:t>: employment, education and social inclusion</w:t>
            </w:r>
          </w:p>
        </w:tc>
      </w:tr>
      <w:tr w:rsidR="00BD571E" w:rsidRPr="001368E0" w:rsidTr="001368E0">
        <w:tblPrEx>
          <w:tblLook w:val="0480"/>
        </w:tblPrEx>
        <w:tc>
          <w:tcPr>
            <w:tcW w:w="1689" w:type="dxa"/>
            <w:vMerge/>
            <w:shd w:val="clear" w:color="auto" w:fill="auto"/>
          </w:tcPr>
          <w:p w:rsidR="00BD571E" w:rsidRPr="001368E0" w:rsidRDefault="00BD571E"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BD571E" w:rsidRPr="001368E0" w:rsidRDefault="00BD571E" w:rsidP="001368E0">
            <w:pPr>
              <w:widowControl w:val="0"/>
              <w:autoSpaceDE w:val="0"/>
              <w:autoSpaceDN w:val="0"/>
              <w:adjustRightInd w:val="0"/>
              <w:spacing w:after="0" w:line="240" w:lineRule="auto"/>
              <w:rPr>
                <w:sz w:val="20"/>
                <w:szCs w:val="20"/>
                <w:lang w:val="en-GB"/>
              </w:rPr>
            </w:pPr>
            <w:r w:rsidRPr="001368E0">
              <w:rPr>
                <w:b/>
                <w:sz w:val="20"/>
                <w:szCs w:val="20"/>
                <w:lang w:val="en-GB"/>
              </w:rPr>
              <w:t>European Agricultural Fund for Rural Development</w:t>
            </w:r>
            <w:r w:rsidRPr="001368E0">
              <w:rPr>
                <w:sz w:val="20"/>
                <w:szCs w:val="20"/>
                <w:lang w:val="en-GB"/>
              </w:rPr>
              <w:t xml:space="preserve">: finances rural development programmes </w:t>
            </w:r>
          </w:p>
        </w:tc>
      </w:tr>
      <w:tr w:rsidR="00BD571E" w:rsidRPr="001368E0" w:rsidTr="001368E0">
        <w:tblPrEx>
          <w:tblLook w:val="0480"/>
        </w:tblPrEx>
        <w:tc>
          <w:tcPr>
            <w:tcW w:w="1689" w:type="dxa"/>
            <w:vMerge/>
            <w:shd w:val="clear" w:color="auto" w:fill="auto"/>
          </w:tcPr>
          <w:p w:rsidR="00BD571E" w:rsidRPr="001368E0" w:rsidRDefault="00BD571E" w:rsidP="001368E0">
            <w:pPr>
              <w:widowControl w:val="0"/>
              <w:autoSpaceDE w:val="0"/>
              <w:autoSpaceDN w:val="0"/>
              <w:adjustRightInd w:val="0"/>
              <w:spacing w:after="0" w:line="240" w:lineRule="auto"/>
              <w:rPr>
                <w:b/>
                <w:bCs/>
                <w:sz w:val="20"/>
                <w:szCs w:val="20"/>
                <w:lang w:val="en-GB"/>
              </w:rPr>
            </w:pPr>
          </w:p>
        </w:tc>
        <w:tc>
          <w:tcPr>
            <w:tcW w:w="9334" w:type="dxa"/>
            <w:shd w:val="clear" w:color="auto" w:fill="auto"/>
          </w:tcPr>
          <w:p w:rsidR="00BD571E" w:rsidRPr="001368E0" w:rsidRDefault="00BD571E" w:rsidP="001368E0">
            <w:pPr>
              <w:widowControl w:val="0"/>
              <w:autoSpaceDE w:val="0"/>
              <w:autoSpaceDN w:val="0"/>
              <w:adjustRightInd w:val="0"/>
              <w:spacing w:after="0" w:line="240" w:lineRule="auto"/>
              <w:rPr>
                <w:sz w:val="20"/>
                <w:szCs w:val="20"/>
                <w:lang w:val="en-GB"/>
              </w:rPr>
            </w:pPr>
            <w:r w:rsidRPr="001368E0">
              <w:rPr>
                <w:b/>
                <w:sz w:val="20"/>
                <w:szCs w:val="20"/>
                <w:lang w:val="en-GB"/>
              </w:rPr>
              <w:t xml:space="preserve">European </w:t>
            </w:r>
            <w:r w:rsidR="00071A17" w:rsidRPr="001368E0">
              <w:rPr>
                <w:b/>
                <w:sz w:val="20"/>
                <w:szCs w:val="20"/>
                <w:lang w:val="en-GB"/>
              </w:rPr>
              <w:t>Maritime and Fisheries Fund (EMF</w:t>
            </w:r>
            <w:r w:rsidRPr="001368E0">
              <w:rPr>
                <w:b/>
                <w:sz w:val="20"/>
                <w:szCs w:val="20"/>
                <w:lang w:val="en-GB"/>
              </w:rPr>
              <w:t>F)</w:t>
            </w:r>
            <w:r w:rsidRPr="001368E0">
              <w:rPr>
                <w:sz w:val="20"/>
                <w:szCs w:val="20"/>
                <w:lang w:val="en-GB"/>
              </w:rPr>
              <w:t>: priorities for 2014-20 are to help fishermen in the transition to sustainable fishing, to support coastal communities in diversifying their economies, to finance projects that create new jobs and improve quality of life along European coasts and to make it easier to access financing</w:t>
            </w:r>
          </w:p>
        </w:tc>
      </w:tr>
      <w:tr w:rsidR="00BD571E" w:rsidRPr="001368E0" w:rsidTr="001368E0">
        <w:tblPrEx>
          <w:tblLook w:val="0480"/>
        </w:tblPrEx>
        <w:tc>
          <w:tcPr>
            <w:tcW w:w="1689" w:type="dxa"/>
            <w:shd w:val="clear" w:color="auto" w:fill="auto"/>
          </w:tcPr>
          <w:p w:rsidR="00BD571E" w:rsidRPr="001368E0" w:rsidRDefault="00BD571E" w:rsidP="001368E0">
            <w:pPr>
              <w:widowControl w:val="0"/>
              <w:autoSpaceDE w:val="0"/>
              <w:autoSpaceDN w:val="0"/>
              <w:adjustRightInd w:val="0"/>
              <w:spacing w:after="0" w:line="240" w:lineRule="auto"/>
              <w:ind w:right="504"/>
              <w:rPr>
                <w:b/>
                <w:bCs/>
                <w:sz w:val="20"/>
                <w:szCs w:val="20"/>
              </w:rPr>
            </w:pPr>
            <w:r w:rsidRPr="001368E0">
              <w:rPr>
                <w:b/>
                <w:bCs/>
                <w:sz w:val="20"/>
                <w:szCs w:val="20"/>
              </w:rPr>
              <w:t>Instrument for pre-accession (IPA)</w:t>
            </w:r>
          </w:p>
          <w:p w:rsidR="00BD571E" w:rsidRPr="001368E0" w:rsidRDefault="00BD571E" w:rsidP="001368E0">
            <w:pPr>
              <w:widowControl w:val="0"/>
              <w:autoSpaceDE w:val="0"/>
              <w:autoSpaceDN w:val="0"/>
              <w:adjustRightInd w:val="0"/>
              <w:spacing w:after="0" w:line="240" w:lineRule="auto"/>
              <w:rPr>
                <w:b/>
                <w:bCs/>
                <w:i/>
                <w:sz w:val="20"/>
                <w:szCs w:val="20"/>
              </w:rPr>
            </w:pPr>
            <w:r w:rsidRPr="001368E0">
              <w:rPr>
                <w:b/>
                <w:bCs/>
                <w:i/>
                <w:sz w:val="20"/>
                <w:szCs w:val="20"/>
              </w:rPr>
              <w:t>Turkey</w:t>
            </w:r>
          </w:p>
        </w:tc>
        <w:tc>
          <w:tcPr>
            <w:tcW w:w="9334" w:type="dxa"/>
            <w:shd w:val="clear" w:color="auto" w:fill="auto"/>
          </w:tcPr>
          <w:p w:rsidR="00BD571E" w:rsidRPr="001368E0" w:rsidRDefault="00A21D1A" w:rsidP="001368E0">
            <w:pPr>
              <w:widowControl w:val="0"/>
              <w:autoSpaceDE w:val="0"/>
              <w:autoSpaceDN w:val="0"/>
              <w:adjustRightInd w:val="0"/>
              <w:spacing w:after="0" w:line="240" w:lineRule="auto"/>
              <w:jc w:val="both"/>
              <w:rPr>
                <w:sz w:val="20"/>
                <w:szCs w:val="20"/>
                <w:lang w:val="en-GB"/>
              </w:rPr>
            </w:pPr>
            <w:r w:rsidRPr="001368E0">
              <w:rPr>
                <w:sz w:val="20"/>
                <w:szCs w:val="20"/>
                <w:lang w:val="en-GB"/>
              </w:rPr>
              <w:t>For the 2014-2020 period</w:t>
            </w:r>
            <w:r w:rsidR="00EA2E75" w:rsidRPr="001368E0">
              <w:rPr>
                <w:sz w:val="20"/>
                <w:szCs w:val="20"/>
                <w:lang w:val="en-GB"/>
              </w:rPr>
              <w:t>, f</w:t>
            </w:r>
            <w:r w:rsidRPr="001368E0">
              <w:rPr>
                <w:sz w:val="20"/>
                <w:szCs w:val="20"/>
                <w:lang w:val="en-GB"/>
              </w:rPr>
              <w:t xml:space="preserve">inancing under IPA is provided through </w:t>
            </w:r>
            <w:r w:rsidR="00D96F22" w:rsidRPr="001368E0">
              <w:rPr>
                <w:sz w:val="20"/>
                <w:szCs w:val="20"/>
                <w:lang w:val="en-GB"/>
              </w:rPr>
              <w:t xml:space="preserve">the following </w:t>
            </w:r>
            <w:r w:rsidR="00720DA8" w:rsidRPr="001368E0">
              <w:rPr>
                <w:sz w:val="20"/>
                <w:szCs w:val="20"/>
                <w:lang w:val="en-GB"/>
              </w:rPr>
              <w:t>policy areas</w:t>
            </w:r>
            <w:r w:rsidR="00146712" w:rsidRPr="001368E0">
              <w:rPr>
                <w:sz w:val="20"/>
                <w:szCs w:val="20"/>
                <w:lang w:val="en-GB"/>
              </w:rPr>
              <w:t>:</w:t>
            </w:r>
            <w:r w:rsidRPr="001368E0">
              <w:rPr>
                <w:sz w:val="20"/>
                <w:szCs w:val="20"/>
                <w:lang w:val="en-GB"/>
              </w:rPr>
              <w:t xml:space="preserve"> 1)</w:t>
            </w:r>
            <w:r w:rsidR="00720DA8" w:rsidRPr="001368E0">
              <w:rPr>
                <w:sz w:val="20"/>
                <w:szCs w:val="20"/>
                <w:lang w:val="en-GB"/>
              </w:rPr>
              <w:t xml:space="preserve"> R</w:t>
            </w:r>
            <w:r w:rsidRPr="001368E0">
              <w:rPr>
                <w:sz w:val="20"/>
                <w:szCs w:val="20"/>
                <w:lang w:val="en-GB"/>
              </w:rPr>
              <w:t>eforms in preparation for Union mem</w:t>
            </w:r>
            <w:r w:rsidR="00720DA8" w:rsidRPr="001368E0">
              <w:rPr>
                <w:sz w:val="20"/>
                <w:szCs w:val="20"/>
                <w:lang w:val="en-GB"/>
              </w:rPr>
              <w:t>bership and related institution</w:t>
            </w:r>
            <w:r w:rsidRPr="001368E0">
              <w:rPr>
                <w:sz w:val="20"/>
                <w:szCs w:val="20"/>
                <w:lang w:val="en-GB"/>
              </w:rPr>
              <w:t xml:space="preserve"> and capacity-building, 2)</w:t>
            </w:r>
            <w:r w:rsidR="00720DA8" w:rsidRPr="001368E0">
              <w:rPr>
                <w:sz w:val="20"/>
                <w:szCs w:val="20"/>
                <w:lang w:val="en-GB"/>
              </w:rPr>
              <w:t xml:space="preserve"> S</w:t>
            </w:r>
            <w:r w:rsidRPr="001368E0">
              <w:rPr>
                <w:sz w:val="20"/>
                <w:szCs w:val="20"/>
                <w:lang w:val="en-GB"/>
              </w:rPr>
              <w:t>ocio-economic and regional development, 3)</w:t>
            </w:r>
            <w:r w:rsidR="00720DA8" w:rsidRPr="001368E0">
              <w:rPr>
                <w:sz w:val="20"/>
                <w:szCs w:val="20"/>
                <w:lang w:val="en-GB"/>
              </w:rPr>
              <w:t xml:space="preserve"> E</w:t>
            </w:r>
            <w:r w:rsidRPr="001368E0">
              <w:rPr>
                <w:sz w:val="20"/>
                <w:szCs w:val="20"/>
                <w:lang w:val="en-GB"/>
              </w:rPr>
              <w:t>mployment, social policies, educatio</w:t>
            </w:r>
            <w:r w:rsidR="0067084D" w:rsidRPr="001368E0">
              <w:rPr>
                <w:sz w:val="20"/>
                <w:szCs w:val="20"/>
                <w:lang w:val="en-GB"/>
              </w:rPr>
              <w:t>n, promotion of gender equality</w:t>
            </w:r>
            <w:r w:rsidRPr="001368E0">
              <w:rPr>
                <w:sz w:val="20"/>
                <w:szCs w:val="20"/>
                <w:lang w:val="en-GB"/>
              </w:rPr>
              <w:t xml:space="preserve"> and human resources development, 4)</w:t>
            </w:r>
            <w:r w:rsidR="00720DA8" w:rsidRPr="001368E0">
              <w:rPr>
                <w:sz w:val="20"/>
                <w:szCs w:val="20"/>
                <w:lang w:val="en-GB"/>
              </w:rPr>
              <w:t xml:space="preserve"> A</w:t>
            </w:r>
            <w:r w:rsidRPr="001368E0">
              <w:rPr>
                <w:sz w:val="20"/>
                <w:szCs w:val="20"/>
                <w:lang w:val="en-GB"/>
              </w:rPr>
              <w:t>griculture and rural development; 5)</w:t>
            </w:r>
            <w:r w:rsidR="00720DA8" w:rsidRPr="001368E0">
              <w:rPr>
                <w:sz w:val="20"/>
                <w:szCs w:val="20"/>
                <w:lang w:val="en-GB"/>
              </w:rPr>
              <w:t xml:space="preserve"> R</w:t>
            </w:r>
            <w:r w:rsidRPr="001368E0">
              <w:rPr>
                <w:sz w:val="20"/>
                <w:szCs w:val="20"/>
                <w:lang w:val="en-GB"/>
              </w:rPr>
              <w:t>egional and territorial cooperation</w:t>
            </w:r>
          </w:p>
        </w:tc>
      </w:tr>
    </w:tbl>
    <w:p w:rsidR="002E3758" w:rsidRDefault="005C4840" w:rsidP="0020166B">
      <w:pPr>
        <w:rPr>
          <w:rFonts w:eastAsia="Times New Roman"/>
          <w:i/>
          <w:color w:val="000000"/>
          <w:sz w:val="22"/>
          <w:szCs w:val="22"/>
          <w:lang w:val="en-GB"/>
        </w:rPr>
      </w:pPr>
      <w:r>
        <w:rPr>
          <w:rFonts w:eastAsia="Times New Roman"/>
          <w:i/>
          <w:color w:val="000000"/>
          <w:sz w:val="22"/>
          <w:szCs w:val="22"/>
          <w:lang w:val="en-GB"/>
        </w:rPr>
        <w:t>Table 3</w:t>
      </w:r>
      <w:r w:rsidR="002E3758" w:rsidRPr="004B58D3">
        <w:rPr>
          <w:rFonts w:eastAsia="Times New Roman"/>
          <w:i/>
          <w:color w:val="000000"/>
          <w:sz w:val="22"/>
          <w:szCs w:val="22"/>
          <w:lang w:val="en-GB"/>
        </w:rPr>
        <w:t xml:space="preserve">. </w:t>
      </w:r>
      <w:r w:rsidR="00755312">
        <w:rPr>
          <w:rFonts w:eastAsia="Times New Roman"/>
          <w:i/>
          <w:color w:val="000000"/>
          <w:sz w:val="22"/>
          <w:szCs w:val="22"/>
          <w:lang w:val="en-GB"/>
        </w:rPr>
        <w:t>O</w:t>
      </w:r>
      <w:r w:rsidR="00C55FD8">
        <w:rPr>
          <w:rFonts w:eastAsia="Times New Roman"/>
          <w:i/>
          <w:color w:val="000000"/>
          <w:sz w:val="22"/>
          <w:szCs w:val="22"/>
          <w:lang w:val="en-GB"/>
        </w:rPr>
        <w:t>verview of o</w:t>
      </w:r>
      <w:r w:rsidR="00755312">
        <w:rPr>
          <w:rFonts w:eastAsia="Times New Roman"/>
          <w:i/>
          <w:color w:val="000000"/>
          <w:sz w:val="22"/>
          <w:szCs w:val="22"/>
          <w:lang w:val="en-GB"/>
        </w:rPr>
        <w:t>ther</w:t>
      </w:r>
      <w:r w:rsidR="000C0E7C">
        <w:rPr>
          <w:rFonts w:eastAsia="Times New Roman"/>
          <w:i/>
          <w:color w:val="000000"/>
          <w:sz w:val="22"/>
          <w:szCs w:val="22"/>
          <w:lang w:val="en-GB"/>
        </w:rPr>
        <w:t xml:space="preserve"> </w:t>
      </w:r>
      <w:r w:rsidR="002E3758" w:rsidRPr="002E3758">
        <w:rPr>
          <w:rFonts w:eastAsia="Times New Roman"/>
          <w:i/>
          <w:color w:val="000000"/>
          <w:sz w:val="22"/>
          <w:szCs w:val="22"/>
          <w:lang w:val="en-GB"/>
        </w:rPr>
        <w:t>EU</w:t>
      </w:r>
      <w:r w:rsidR="00A17CA5">
        <w:rPr>
          <w:rFonts w:eastAsia="Times New Roman"/>
          <w:i/>
          <w:color w:val="000000"/>
          <w:sz w:val="22"/>
          <w:szCs w:val="22"/>
          <w:lang w:val="en-GB"/>
        </w:rPr>
        <w:t xml:space="preserve"> financial</w:t>
      </w:r>
      <w:r w:rsidR="002E3758" w:rsidRPr="002E3758">
        <w:rPr>
          <w:rFonts w:eastAsia="Times New Roman"/>
          <w:i/>
          <w:color w:val="000000"/>
          <w:sz w:val="22"/>
          <w:szCs w:val="22"/>
          <w:lang w:val="en-GB"/>
        </w:rPr>
        <w:t xml:space="preserve"> instruments for cooperation and regional development in Black Sea Basin countries </w:t>
      </w:r>
    </w:p>
    <w:p w:rsidR="002F2B86" w:rsidRDefault="002F2B86" w:rsidP="00EE604A">
      <w:pPr>
        <w:spacing w:before="120" w:after="0" w:line="264" w:lineRule="auto"/>
        <w:jc w:val="both"/>
        <w:rPr>
          <w:sz w:val="22"/>
          <w:szCs w:val="22"/>
          <w:lang w:val="en-GB"/>
        </w:rPr>
      </w:pPr>
      <w:r w:rsidRPr="00762489">
        <w:rPr>
          <w:b/>
          <w:sz w:val="22"/>
          <w:szCs w:val="22"/>
          <w:lang w:val="en-GB"/>
        </w:rPr>
        <w:t xml:space="preserve">Thematic </w:t>
      </w:r>
      <w:r w:rsidR="00700497">
        <w:rPr>
          <w:b/>
          <w:sz w:val="22"/>
          <w:szCs w:val="22"/>
          <w:lang w:val="en-GB"/>
        </w:rPr>
        <w:t>O</w:t>
      </w:r>
      <w:r w:rsidRPr="00762489">
        <w:rPr>
          <w:b/>
          <w:sz w:val="22"/>
          <w:szCs w:val="22"/>
          <w:lang w:val="en-GB"/>
        </w:rPr>
        <w:t>bjective 1</w:t>
      </w:r>
      <w:r w:rsidR="00762489" w:rsidRPr="00762489">
        <w:rPr>
          <w:b/>
          <w:sz w:val="22"/>
          <w:szCs w:val="22"/>
          <w:lang w:val="en-GB"/>
        </w:rPr>
        <w:t>.</w:t>
      </w:r>
      <w:r w:rsidR="003B47D1">
        <w:rPr>
          <w:sz w:val="22"/>
          <w:szCs w:val="22"/>
          <w:lang w:val="en-GB"/>
        </w:rPr>
        <w:t xml:space="preserve"> EU </w:t>
      </w:r>
      <w:r w:rsidR="0071274A">
        <w:rPr>
          <w:sz w:val="22"/>
          <w:szCs w:val="22"/>
          <w:lang w:val="en-GB"/>
        </w:rPr>
        <w:t xml:space="preserve">cooperation </w:t>
      </w:r>
      <w:r w:rsidR="003B47D1">
        <w:rPr>
          <w:sz w:val="22"/>
          <w:szCs w:val="22"/>
          <w:lang w:val="en-GB"/>
        </w:rPr>
        <w:t xml:space="preserve">programmes </w:t>
      </w:r>
      <w:r w:rsidR="00431F0E">
        <w:rPr>
          <w:sz w:val="22"/>
          <w:szCs w:val="22"/>
          <w:lang w:val="en-GB"/>
        </w:rPr>
        <w:t xml:space="preserve">focus mostly on SME development and technical assistance, leaving a </w:t>
      </w:r>
      <w:r w:rsidR="00130E73">
        <w:rPr>
          <w:sz w:val="22"/>
          <w:szCs w:val="22"/>
          <w:lang w:val="en-GB"/>
        </w:rPr>
        <w:t xml:space="preserve">broad </w:t>
      </w:r>
      <w:r w:rsidR="00431F0E">
        <w:rPr>
          <w:sz w:val="22"/>
          <w:szCs w:val="22"/>
          <w:lang w:val="en-GB"/>
        </w:rPr>
        <w:t xml:space="preserve">scope for </w:t>
      </w:r>
      <w:r w:rsidR="00520858">
        <w:rPr>
          <w:sz w:val="22"/>
          <w:szCs w:val="22"/>
          <w:lang w:val="en-GB"/>
        </w:rPr>
        <w:t xml:space="preserve">the development of </w:t>
      </w:r>
      <w:r w:rsidR="00900DF8">
        <w:rPr>
          <w:sz w:val="22"/>
          <w:szCs w:val="22"/>
          <w:lang w:val="en-GB"/>
        </w:rPr>
        <w:t xml:space="preserve">non-overlapping </w:t>
      </w:r>
      <w:r w:rsidR="00431F0E">
        <w:rPr>
          <w:sz w:val="22"/>
          <w:szCs w:val="22"/>
          <w:lang w:val="en-GB"/>
        </w:rPr>
        <w:t>cooperation opportunities</w:t>
      </w:r>
      <w:r w:rsidR="006F2CB2">
        <w:rPr>
          <w:sz w:val="22"/>
          <w:szCs w:val="22"/>
          <w:lang w:val="en-GB"/>
        </w:rPr>
        <w:t xml:space="preserve"> within the Black Sea Basin priorities</w:t>
      </w:r>
      <w:r w:rsidR="00BB3ADD">
        <w:rPr>
          <w:sz w:val="22"/>
          <w:szCs w:val="22"/>
          <w:lang w:val="en-GB"/>
        </w:rPr>
        <w:t xml:space="preserve">, as identified </w:t>
      </w:r>
      <w:r w:rsidR="00130E73">
        <w:rPr>
          <w:sz w:val="22"/>
          <w:szCs w:val="22"/>
          <w:lang w:val="en-GB"/>
        </w:rPr>
        <w:t>in the</w:t>
      </w:r>
      <w:r w:rsidR="00BB3ADD">
        <w:rPr>
          <w:sz w:val="22"/>
          <w:szCs w:val="22"/>
          <w:lang w:val="en-GB"/>
        </w:rPr>
        <w:t xml:space="preserve"> analyses</w:t>
      </w:r>
      <w:r w:rsidR="000E4A5C">
        <w:rPr>
          <w:sz w:val="22"/>
          <w:szCs w:val="22"/>
          <w:lang w:val="en-GB"/>
        </w:rPr>
        <w:t xml:space="preserve"> and during the consultations</w:t>
      </w:r>
      <w:r w:rsidR="00B6456E">
        <w:rPr>
          <w:sz w:val="22"/>
          <w:szCs w:val="22"/>
          <w:lang w:val="en-GB"/>
        </w:rPr>
        <w:t xml:space="preserve"> (notably tourism, etc.)</w:t>
      </w:r>
      <w:r w:rsidR="00431F0E">
        <w:rPr>
          <w:sz w:val="22"/>
          <w:szCs w:val="22"/>
          <w:lang w:val="en-GB"/>
        </w:rPr>
        <w:t>.</w:t>
      </w:r>
      <w:r w:rsidR="003B47D1">
        <w:rPr>
          <w:sz w:val="22"/>
          <w:szCs w:val="22"/>
          <w:lang w:val="en-GB"/>
        </w:rPr>
        <w:t xml:space="preserve"> </w:t>
      </w:r>
    </w:p>
    <w:p w:rsidR="00130E73" w:rsidRDefault="003B47D1" w:rsidP="00EE604A">
      <w:pPr>
        <w:spacing w:before="120" w:after="0" w:line="264" w:lineRule="auto"/>
        <w:jc w:val="both"/>
        <w:rPr>
          <w:sz w:val="22"/>
          <w:szCs w:val="22"/>
          <w:lang w:val="en-GB"/>
        </w:rPr>
      </w:pPr>
      <w:r w:rsidRPr="00762489">
        <w:rPr>
          <w:b/>
          <w:sz w:val="22"/>
          <w:szCs w:val="22"/>
          <w:lang w:val="en-GB"/>
        </w:rPr>
        <w:t xml:space="preserve">Thematic </w:t>
      </w:r>
      <w:r w:rsidR="00700497">
        <w:rPr>
          <w:b/>
          <w:sz w:val="22"/>
          <w:szCs w:val="22"/>
          <w:lang w:val="en-GB"/>
        </w:rPr>
        <w:t>O</w:t>
      </w:r>
      <w:r w:rsidR="00762489" w:rsidRPr="00762489">
        <w:rPr>
          <w:b/>
          <w:sz w:val="22"/>
          <w:szCs w:val="22"/>
          <w:lang w:val="en-GB"/>
        </w:rPr>
        <w:t>bjective 2.</w:t>
      </w:r>
      <w:r w:rsidR="00762489">
        <w:rPr>
          <w:sz w:val="22"/>
          <w:szCs w:val="22"/>
          <w:lang w:val="en-GB"/>
        </w:rPr>
        <w:t xml:space="preserve"> S</w:t>
      </w:r>
      <w:r w:rsidR="00C7790A">
        <w:rPr>
          <w:sz w:val="22"/>
          <w:szCs w:val="22"/>
          <w:lang w:val="en-GB"/>
        </w:rPr>
        <w:t>everal partnership programmes (</w:t>
      </w:r>
      <w:r w:rsidR="00C7790A" w:rsidRPr="00B555DB">
        <w:rPr>
          <w:i/>
          <w:sz w:val="22"/>
          <w:szCs w:val="22"/>
          <w:lang w:val="en-GB"/>
        </w:rPr>
        <w:t>Horizon 2020, Erasmus+)</w:t>
      </w:r>
      <w:r w:rsidR="00C7790A">
        <w:rPr>
          <w:sz w:val="22"/>
          <w:szCs w:val="22"/>
          <w:lang w:val="en-GB"/>
        </w:rPr>
        <w:t xml:space="preserve"> provide </w:t>
      </w:r>
      <w:r w:rsidR="003979A7">
        <w:rPr>
          <w:sz w:val="22"/>
          <w:szCs w:val="22"/>
          <w:lang w:val="en-GB"/>
        </w:rPr>
        <w:t xml:space="preserve">suitable </w:t>
      </w:r>
      <w:r w:rsidR="00C7790A">
        <w:rPr>
          <w:sz w:val="22"/>
          <w:szCs w:val="22"/>
          <w:lang w:val="en-GB"/>
        </w:rPr>
        <w:t xml:space="preserve">funding for </w:t>
      </w:r>
      <w:r w:rsidR="001C45AC">
        <w:rPr>
          <w:sz w:val="22"/>
          <w:szCs w:val="22"/>
          <w:lang w:val="en-GB"/>
        </w:rPr>
        <w:t>cooperation in the field of research and innovation</w:t>
      </w:r>
      <w:r w:rsidR="007375C6">
        <w:rPr>
          <w:sz w:val="22"/>
          <w:szCs w:val="22"/>
          <w:lang w:val="en-GB"/>
        </w:rPr>
        <w:t xml:space="preserve"> within the Black Sea Basin</w:t>
      </w:r>
      <w:r w:rsidR="001C45AC">
        <w:rPr>
          <w:sz w:val="22"/>
          <w:szCs w:val="22"/>
          <w:lang w:val="en-GB"/>
        </w:rPr>
        <w:t xml:space="preserve">, including </w:t>
      </w:r>
      <w:r w:rsidR="003979A7">
        <w:rPr>
          <w:sz w:val="22"/>
          <w:szCs w:val="22"/>
          <w:lang w:val="en-GB"/>
        </w:rPr>
        <w:t xml:space="preserve">exchange of students and searchers </w:t>
      </w:r>
      <w:r w:rsidR="001C45AC">
        <w:rPr>
          <w:sz w:val="22"/>
          <w:szCs w:val="22"/>
          <w:lang w:val="en-GB"/>
        </w:rPr>
        <w:t xml:space="preserve">and </w:t>
      </w:r>
      <w:r w:rsidR="007375C6">
        <w:rPr>
          <w:sz w:val="22"/>
          <w:szCs w:val="22"/>
          <w:lang w:val="en-GB"/>
        </w:rPr>
        <w:t>establish</w:t>
      </w:r>
      <w:r w:rsidR="00AD363A">
        <w:rPr>
          <w:sz w:val="22"/>
          <w:szCs w:val="22"/>
          <w:lang w:val="en-GB"/>
        </w:rPr>
        <w:t xml:space="preserve">ment of </w:t>
      </w:r>
      <w:r w:rsidR="001C45AC">
        <w:rPr>
          <w:sz w:val="22"/>
          <w:szCs w:val="22"/>
          <w:lang w:val="en-GB"/>
        </w:rPr>
        <w:t>partnerships</w:t>
      </w:r>
      <w:r w:rsidR="00AD363A">
        <w:rPr>
          <w:sz w:val="22"/>
          <w:szCs w:val="22"/>
          <w:lang w:val="en-GB"/>
        </w:rPr>
        <w:t xml:space="preserve"> between</w:t>
      </w:r>
      <w:r w:rsidR="003979A7">
        <w:rPr>
          <w:sz w:val="22"/>
          <w:szCs w:val="22"/>
          <w:lang w:val="en-GB"/>
        </w:rPr>
        <w:t xml:space="preserve"> </w:t>
      </w:r>
      <w:r w:rsidR="007375C6">
        <w:rPr>
          <w:sz w:val="22"/>
          <w:szCs w:val="22"/>
          <w:lang w:val="en-GB"/>
        </w:rPr>
        <w:t xml:space="preserve">education </w:t>
      </w:r>
      <w:r w:rsidR="00AD363A">
        <w:rPr>
          <w:sz w:val="22"/>
          <w:szCs w:val="22"/>
          <w:lang w:val="en-GB"/>
        </w:rPr>
        <w:t>and research centres</w:t>
      </w:r>
      <w:r w:rsidR="003979A7">
        <w:rPr>
          <w:sz w:val="22"/>
          <w:szCs w:val="22"/>
          <w:lang w:val="en-GB"/>
        </w:rPr>
        <w:t>.</w:t>
      </w:r>
      <w:r w:rsidR="00664BBB">
        <w:rPr>
          <w:sz w:val="22"/>
          <w:szCs w:val="22"/>
          <w:lang w:val="en-GB"/>
        </w:rPr>
        <w:t xml:space="preserve"> The inclusion of </w:t>
      </w:r>
      <w:r w:rsidR="00130E73">
        <w:rPr>
          <w:sz w:val="22"/>
          <w:szCs w:val="22"/>
          <w:lang w:val="en-GB"/>
        </w:rPr>
        <w:t>T</w:t>
      </w:r>
      <w:r w:rsidR="00664BBB">
        <w:rPr>
          <w:sz w:val="22"/>
          <w:szCs w:val="22"/>
          <w:lang w:val="en-GB"/>
        </w:rPr>
        <w:t xml:space="preserve">hematic </w:t>
      </w:r>
      <w:r w:rsidR="00130E73">
        <w:rPr>
          <w:sz w:val="22"/>
          <w:szCs w:val="22"/>
          <w:lang w:val="en-GB"/>
        </w:rPr>
        <w:t>O</w:t>
      </w:r>
      <w:r w:rsidR="00664BBB">
        <w:rPr>
          <w:sz w:val="22"/>
          <w:szCs w:val="22"/>
          <w:lang w:val="en-GB"/>
        </w:rPr>
        <w:t xml:space="preserve">bjective 2 </w:t>
      </w:r>
      <w:r w:rsidR="00641F28">
        <w:rPr>
          <w:sz w:val="22"/>
          <w:szCs w:val="22"/>
          <w:lang w:val="en-GB"/>
        </w:rPr>
        <w:t xml:space="preserve">therefore </w:t>
      </w:r>
      <w:r w:rsidR="00C83975">
        <w:rPr>
          <w:sz w:val="22"/>
          <w:szCs w:val="22"/>
          <w:lang w:val="en-GB"/>
        </w:rPr>
        <w:t>does not appear full</w:t>
      </w:r>
      <w:r w:rsidR="0093797C">
        <w:rPr>
          <w:sz w:val="22"/>
          <w:szCs w:val="22"/>
          <w:lang w:val="en-GB"/>
        </w:rPr>
        <w:t>y</w:t>
      </w:r>
      <w:r w:rsidR="00664BBB">
        <w:rPr>
          <w:sz w:val="22"/>
          <w:szCs w:val="22"/>
          <w:lang w:val="en-GB"/>
        </w:rPr>
        <w:t xml:space="preserve"> justified.</w:t>
      </w:r>
      <w:r w:rsidR="00762489">
        <w:rPr>
          <w:sz w:val="22"/>
          <w:szCs w:val="22"/>
          <w:lang w:val="en-GB"/>
        </w:rPr>
        <w:t xml:space="preserve"> </w:t>
      </w:r>
    </w:p>
    <w:p w:rsidR="003B47D1" w:rsidRDefault="00762489" w:rsidP="00EE604A">
      <w:pPr>
        <w:spacing w:before="120" w:after="0" w:line="264" w:lineRule="auto"/>
        <w:jc w:val="both"/>
        <w:rPr>
          <w:sz w:val="22"/>
          <w:szCs w:val="22"/>
          <w:lang w:val="en-GB"/>
        </w:rPr>
      </w:pPr>
      <w:r>
        <w:rPr>
          <w:sz w:val="22"/>
          <w:szCs w:val="22"/>
          <w:lang w:val="en-GB"/>
        </w:rPr>
        <w:t xml:space="preserve">Nonetheless, some specific research activities </w:t>
      </w:r>
      <w:r w:rsidR="002C423C">
        <w:rPr>
          <w:sz w:val="22"/>
          <w:szCs w:val="22"/>
          <w:lang w:val="en-GB"/>
        </w:rPr>
        <w:t xml:space="preserve">could be included in </w:t>
      </w:r>
      <w:r w:rsidR="00D01A03">
        <w:rPr>
          <w:sz w:val="22"/>
          <w:szCs w:val="22"/>
          <w:lang w:val="en-GB"/>
        </w:rPr>
        <w:t>CBC projects</w:t>
      </w:r>
      <w:r w:rsidR="00645314">
        <w:rPr>
          <w:sz w:val="22"/>
          <w:szCs w:val="22"/>
          <w:lang w:val="en-GB"/>
        </w:rPr>
        <w:t xml:space="preserve"> as relevant</w:t>
      </w:r>
      <w:r w:rsidR="00861844">
        <w:rPr>
          <w:sz w:val="22"/>
          <w:szCs w:val="22"/>
          <w:lang w:val="en-GB"/>
        </w:rPr>
        <w:t xml:space="preserve">, </w:t>
      </w:r>
      <w:r w:rsidR="002C423C">
        <w:rPr>
          <w:sz w:val="22"/>
          <w:szCs w:val="22"/>
          <w:lang w:val="en-GB"/>
        </w:rPr>
        <w:t>without being the main aim of the project</w:t>
      </w:r>
      <w:r w:rsidR="00F14A82">
        <w:rPr>
          <w:sz w:val="22"/>
          <w:szCs w:val="22"/>
          <w:lang w:val="en-GB"/>
        </w:rPr>
        <w:t>s</w:t>
      </w:r>
      <w:r w:rsidR="002C423C">
        <w:rPr>
          <w:sz w:val="22"/>
          <w:szCs w:val="22"/>
          <w:lang w:val="en-GB"/>
        </w:rPr>
        <w:t>.</w:t>
      </w:r>
      <w:r w:rsidR="00D01A03">
        <w:rPr>
          <w:sz w:val="22"/>
          <w:szCs w:val="22"/>
          <w:lang w:val="en-GB"/>
        </w:rPr>
        <w:t xml:space="preserve"> Likewise, universities, education institutions and research</w:t>
      </w:r>
      <w:r w:rsidR="00B647FB">
        <w:rPr>
          <w:sz w:val="22"/>
          <w:szCs w:val="22"/>
          <w:lang w:val="en-GB"/>
        </w:rPr>
        <w:t>/tehnological</w:t>
      </w:r>
      <w:r w:rsidR="00D01A03">
        <w:rPr>
          <w:sz w:val="22"/>
          <w:szCs w:val="22"/>
          <w:lang w:val="en-GB"/>
        </w:rPr>
        <w:t xml:space="preserve"> centers may remain among the target groups for the valuable input they may provide under other thematic objectives.</w:t>
      </w:r>
    </w:p>
    <w:p w:rsidR="00B555DB" w:rsidRPr="00D269BE" w:rsidRDefault="00762489" w:rsidP="00EE604A">
      <w:pPr>
        <w:spacing w:before="120" w:after="0" w:line="264" w:lineRule="auto"/>
        <w:jc w:val="both"/>
        <w:rPr>
          <w:sz w:val="22"/>
          <w:szCs w:val="22"/>
          <w:lang w:val="en-GB"/>
        </w:rPr>
      </w:pPr>
      <w:r w:rsidRPr="009B20B4">
        <w:rPr>
          <w:b/>
          <w:sz w:val="22"/>
          <w:szCs w:val="22"/>
          <w:lang w:val="en-GB"/>
        </w:rPr>
        <w:t xml:space="preserve">Thematic </w:t>
      </w:r>
      <w:r w:rsidR="00700497" w:rsidRPr="009B20B4">
        <w:rPr>
          <w:b/>
          <w:sz w:val="22"/>
          <w:szCs w:val="22"/>
          <w:lang w:val="en-GB"/>
        </w:rPr>
        <w:t>O</w:t>
      </w:r>
      <w:r w:rsidRPr="009B20B4">
        <w:rPr>
          <w:b/>
          <w:sz w:val="22"/>
          <w:szCs w:val="22"/>
          <w:lang w:val="en-GB"/>
        </w:rPr>
        <w:t>bjective 3</w:t>
      </w:r>
      <w:r w:rsidRPr="009B20B4">
        <w:rPr>
          <w:sz w:val="22"/>
          <w:szCs w:val="22"/>
          <w:lang w:val="en-GB"/>
        </w:rPr>
        <w:t>.</w:t>
      </w:r>
      <w:r w:rsidR="00993BAA" w:rsidRPr="009B20B4">
        <w:rPr>
          <w:sz w:val="22"/>
          <w:szCs w:val="22"/>
          <w:lang w:val="en-GB"/>
        </w:rPr>
        <w:t xml:space="preserve"> </w:t>
      </w:r>
      <w:r w:rsidR="00674F2F" w:rsidRPr="009B20B4">
        <w:rPr>
          <w:sz w:val="22"/>
          <w:szCs w:val="22"/>
          <w:lang w:val="en-GB"/>
        </w:rPr>
        <w:t>T</w:t>
      </w:r>
      <w:r w:rsidR="00993BAA" w:rsidRPr="009B20B4">
        <w:rPr>
          <w:sz w:val="22"/>
          <w:szCs w:val="22"/>
          <w:lang w:val="en-GB"/>
        </w:rPr>
        <w:t xml:space="preserve">he </w:t>
      </w:r>
      <w:r w:rsidR="00993BAA" w:rsidRPr="009B20B4">
        <w:rPr>
          <w:i/>
          <w:sz w:val="22"/>
          <w:szCs w:val="22"/>
          <w:lang w:val="en-GB"/>
        </w:rPr>
        <w:t>Eastern Partnership culture programme</w:t>
      </w:r>
      <w:r w:rsidR="00F95A87" w:rsidRPr="009B20B4">
        <w:rPr>
          <w:sz w:val="22"/>
          <w:szCs w:val="22"/>
          <w:lang w:val="en-GB"/>
        </w:rPr>
        <w:t xml:space="preserve"> </w:t>
      </w:r>
      <w:r w:rsidR="00674F2F" w:rsidRPr="009B20B4">
        <w:rPr>
          <w:sz w:val="22"/>
          <w:szCs w:val="22"/>
          <w:lang w:val="en-GB"/>
        </w:rPr>
        <w:t>targets support to partner countries</w:t>
      </w:r>
      <w:r w:rsidR="004369F3" w:rsidRPr="009B20B4">
        <w:rPr>
          <w:sz w:val="22"/>
          <w:szCs w:val="22"/>
          <w:lang w:val="en-GB"/>
        </w:rPr>
        <w:t>.</w:t>
      </w:r>
      <w:r w:rsidR="00674F2F" w:rsidRPr="009B20B4">
        <w:rPr>
          <w:sz w:val="22"/>
          <w:szCs w:val="22"/>
          <w:lang w:val="en-GB"/>
        </w:rPr>
        <w:t xml:space="preserve"> </w:t>
      </w:r>
      <w:r w:rsidR="004369F3" w:rsidRPr="009B20B4">
        <w:rPr>
          <w:sz w:val="22"/>
          <w:szCs w:val="22"/>
          <w:lang w:val="en-GB"/>
        </w:rPr>
        <w:t>I</w:t>
      </w:r>
      <w:r w:rsidR="00674F2F" w:rsidRPr="009B20B4">
        <w:rPr>
          <w:sz w:val="22"/>
          <w:szCs w:val="22"/>
          <w:lang w:val="en-GB"/>
        </w:rPr>
        <w:t xml:space="preserve">n the future </w:t>
      </w:r>
      <w:r w:rsidR="004369F3" w:rsidRPr="009B20B4">
        <w:rPr>
          <w:sz w:val="22"/>
          <w:szCs w:val="22"/>
          <w:lang w:val="en-GB"/>
        </w:rPr>
        <w:t xml:space="preserve">it </w:t>
      </w:r>
      <w:r w:rsidR="00674F2F" w:rsidRPr="009B20B4">
        <w:rPr>
          <w:sz w:val="22"/>
          <w:szCs w:val="22"/>
          <w:lang w:val="en-GB"/>
        </w:rPr>
        <w:t xml:space="preserve">will focus on technical assistance and </w:t>
      </w:r>
      <w:r w:rsidR="004369F3" w:rsidRPr="009B20B4">
        <w:rPr>
          <w:sz w:val="22"/>
          <w:szCs w:val="22"/>
          <w:lang w:val="en-GB"/>
        </w:rPr>
        <w:t xml:space="preserve">will </w:t>
      </w:r>
      <w:r w:rsidR="00674F2F" w:rsidRPr="009B20B4">
        <w:rPr>
          <w:sz w:val="22"/>
          <w:szCs w:val="22"/>
          <w:lang w:val="en-GB"/>
        </w:rPr>
        <w:t>not provide further opportunities for direct partnerships between cultural actors</w:t>
      </w:r>
      <w:r w:rsidR="00A502E9" w:rsidRPr="009B20B4">
        <w:rPr>
          <w:sz w:val="22"/>
          <w:szCs w:val="22"/>
          <w:lang w:val="en-GB"/>
        </w:rPr>
        <w:t xml:space="preserve"> so </w:t>
      </w:r>
      <w:r w:rsidR="004369F3" w:rsidRPr="009B20B4">
        <w:rPr>
          <w:sz w:val="22"/>
          <w:szCs w:val="22"/>
          <w:lang w:val="en-GB"/>
        </w:rPr>
        <w:t xml:space="preserve">there are now </w:t>
      </w:r>
      <w:r w:rsidR="00A502E9" w:rsidRPr="009B20B4">
        <w:rPr>
          <w:sz w:val="22"/>
          <w:szCs w:val="22"/>
          <w:lang w:val="en-GB"/>
        </w:rPr>
        <w:t>few o</w:t>
      </w:r>
      <w:r w:rsidR="0009754B" w:rsidRPr="009B20B4">
        <w:rPr>
          <w:sz w:val="22"/>
          <w:szCs w:val="22"/>
          <w:lang w:val="en-GB"/>
        </w:rPr>
        <w:t xml:space="preserve">pportunities for cooperation </w:t>
      </w:r>
      <w:r w:rsidR="00346261" w:rsidRPr="009B20B4">
        <w:rPr>
          <w:sz w:val="22"/>
          <w:szCs w:val="22"/>
          <w:lang w:val="en-GB"/>
        </w:rPr>
        <w:t xml:space="preserve">in the cultural </w:t>
      </w:r>
      <w:r w:rsidR="0009754B" w:rsidRPr="009B20B4">
        <w:rPr>
          <w:sz w:val="22"/>
          <w:szCs w:val="22"/>
          <w:lang w:val="en-GB"/>
        </w:rPr>
        <w:t>sector</w:t>
      </w:r>
      <w:r w:rsidR="00674F2F" w:rsidRPr="009B20B4">
        <w:rPr>
          <w:sz w:val="22"/>
          <w:szCs w:val="22"/>
          <w:lang w:val="en-GB"/>
        </w:rPr>
        <w:t xml:space="preserve">. </w:t>
      </w:r>
      <w:r w:rsidR="0071391E" w:rsidRPr="009B20B4">
        <w:rPr>
          <w:sz w:val="22"/>
          <w:szCs w:val="22"/>
          <w:lang w:val="en-GB"/>
        </w:rPr>
        <w:t>S</w:t>
      </w:r>
      <w:r w:rsidR="00357BB1" w:rsidRPr="009B20B4">
        <w:rPr>
          <w:sz w:val="22"/>
          <w:szCs w:val="22"/>
          <w:lang w:val="en-GB"/>
        </w:rPr>
        <w:t>ome c</w:t>
      </w:r>
      <w:r w:rsidR="00DE6040" w:rsidRPr="009B20B4">
        <w:rPr>
          <w:sz w:val="22"/>
          <w:szCs w:val="22"/>
          <w:lang w:val="en-GB"/>
        </w:rPr>
        <w:t>ultural aspects may</w:t>
      </w:r>
      <w:r w:rsidR="008F57D5" w:rsidRPr="009B20B4">
        <w:rPr>
          <w:sz w:val="22"/>
          <w:szCs w:val="22"/>
          <w:lang w:val="en-GB"/>
        </w:rPr>
        <w:t xml:space="preserve"> nonetheless be reflected also under</w:t>
      </w:r>
      <w:r w:rsidR="00DE6040" w:rsidRPr="009B20B4">
        <w:rPr>
          <w:sz w:val="22"/>
          <w:szCs w:val="22"/>
          <w:lang w:val="en-GB"/>
        </w:rPr>
        <w:t xml:space="preserve"> economic </w:t>
      </w:r>
      <w:r w:rsidR="00374943" w:rsidRPr="009B20B4">
        <w:rPr>
          <w:sz w:val="22"/>
          <w:szCs w:val="22"/>
          <w:lang w:val="en-GB"/>
        </w:rPr>
        <w:t xml:space="preserve">(e.g. tourism) </w:t>
      </w:r>
      <w:r w:rsidR="00357BB1" w:rsidRPr="009B20B4">
        <w:rPr>
          <w:sz w:val="22"/>
          <w:szCs w:val="22"/>
          <w:lang w:val="en-GB"/>
        </w:rPr>
        <w:t>and environmental</w:t>
      </w:r>
      <w:r w:rsidR="00DE6040" w:rsidRPr="009B20B4">
        <w:rPr>
          <w:sz w:val="22"/>
          <w:szCs w:val="22"/>
          <w:lang w:val="en-GB"/>
        </w:rPr>
        <w:t xml:space="preserve"> </w:t>
      </w:r>
      <w:r w:rsidR="00374943" w:rsidRPr="009B20B4">
        <w:rPr>
          <w:sz w:val="22"/>
          <w:szCs w:val="22"/>
          <w:lang w:val="en-GB"/>
        </w:rPr>
        <w:t xml:space="preserve">(e.g. archeological sites) </w:t>
      </w:r>
      <w:r w:rsidR="00357BB1" w:rsidRPr="009B20B4">
        <w:rPr>
          <w:sz w:val="22"/>
          <w:szCs w:val="22"/>
          <w:lang w:val="en-GB"/>
        </w:rPr>
        <w:t xml:space="preserve">issues </w:t>
      </w:r>
      <w:r w:rsidR="008F57D5" w:rsidRPr="009B20B4">
        <w:rPr>
          <w:sz w:val="22"/>
          <w:szCs w:val="22"/>
          <w:lang w:val="en-GB"/>
        </w:rPr>
        <w:t xml:space="preserve">so that </w:t>
      </w:r>
      <w:r w:rsidR="00836B1D" w:rsidRPr="009B20B4">
        <w:rPr>
          <w:sz w:val="22"/>
          <w:szCs w:val="22"/>
          <w:lang w:val="en-GB"/>
        </w:rPr>
        <w:t>cultural</w:t>
      </w:r>
      <w:r w:rsidR="003B1C76" w:rsidRPr="009B20B4">
        <w:rPr>
          <w:sz w:val="22"/>
          <w:szCs w:val="22"/>
          <w:lang w:val="en-GB"/>
        </w:rPr>
        <w:t xml:space="preserve"> actors</w:t>
      </w:r>
      <w:r w:rsidR="00557572" w:rsidRPr="009B20B4">
        <w:rPr>
          <w:sz w:val="22"/>
          <w:szCs w:val="22"/>
          <w:lang w:val="en-GB"/>
        </w:rPr>
        <w:t xml:space="preserve"> and some</w:t>
      </w:r>
      <w:r w:rsidR="00961BAE" w:rsidRPr="009B20B4">
        <w:rPr>
          <w:sz w:val="22"/>
          <w:szCs w:val="22"/>
          <w:lang w:val="en-GB"/>
        </w:rPr>
        <w:t xml:space="preserve"> specific</w:t>
      </w:r>
      <w:r w:rsidR="00557572" w:rsidRPr="009B20B4">
        <w:rPr>
          <w:sz w:val="22"/>
          <w:szCs w:val="22"/>
          <w:lang w:val="en-GB"/>
        </w:rPr>
        <w:t xml:space="preserve"> cultural activities </w:t>
      </w:r>
      <w:r w:rsidR="00130E73" w:rsidRPr="009B20B4">
        <w:rPr>
          <w:sz w:val="22"/>
          <w:szCs w:val="22"/>
          <w:lang w:val="en-GB"/>
        </w:rPr>
        <w:t xml:space="preserve">could </w:t>
      </w:r>
      <w:r w:rsidR="003B1C76" w:rsidRPr="009B20B4">
        <w:rPr>
          <w:sz w:val="22"/>
          <w:szCs w:val="22"/>
          <w:lang w:val="en-GB"/>
        </w:rPr>
        <w:t xml:space="preserve">also </w:t>
      </w:r>
      <w:r w:rsidR="00130E73" w:rsidRPr="009B20B4">
        <w:rPr>
          <w:sz w:val="22"/>
          <w:szCs w:val="22"/>
          <w:lang w:val="en-GB"/>
        </w:rPr>
        <w:t xml:space="preserve">be </w:t>
      </w:r>
      <w:r w:rsidR="00557572" w:rsidRPr="009B20B4">
        <w:rPr>
          <w:sz w:val="22"/>
          <w:szCs w:val="22"/>
          <w:lang w:val="en-GB"/>
        </w:rPr>
        <w:t xml:space="preserve">included </w:t>
      </w:r>
      <w:r w:rsidR="00961BAE" w:rsidRPr="009B20B4">
        <w:rPr>
          <w:sz w:val="22"/>
          <w:szCs w:val="22"/>
          <w:lang w:val="en-GB"/>
        </w:rPr>
        <w:t xml:space="preserve">under </w:t>
      </w:r>
      <w:r w:rsidR="003B1C76" w:rsidRPr="009B20B4">
        <w:rPr>
          <w:sz w:val="22"/>
          <w:szCs w:val="22"/>
          <w:lang w:val="en-GB"/>
        </w:rPr>
        <w:t xml:space="preserve">those priorities </w:t>
      </w:r>
      <w:r w:rsidR="00517FD7" w:rsidRPr="009B20B4">
        <w:rPr>
          <w:sz w:val="22"/>
          <w:szCs w:val="22"/>
          <w:lang w:val="en-GB"/>
        </w:rPr>
        <w:t>as relevant</w:t>
      </w:r>
      <w:r w:rsidR="00961BAE" w:rsidRPr="009B20B4">
        <w:rPr>
          <w:sz w:val="22"/>
          <w:szCs w:val="22"/>
          <w:lang w:val="en-GB"/>
        </w:rPr>
        <w:t>.</w:t>
      </w:r>
    </w:p>
    <w:p w:rsidR="00641F28" w:rsidRPr="00762489" w:rsidRDefault="00762489" w:rsidP="00EE604A">
      <w:pPr>
        <w:spacing w:before="120" w:after="0" w:line="264" w:lineRule="auto"/>
        <w:jc w:val="both"/>
        <w:rPr>
          <w:b/>
          <w:sz w:val="22"/>
          <w:szCs w:val="22"/>
          <w:lang w:val="en-GB"/>
        </w:rPr>
      </w:pPr>
      <w:r w:rsidRPr="00762489">
        <w:rPr>
          <w:b/>
          <w:sz w:val="22"/>
          <w:szCs w:val="22"/>
          <w:lang w:val="en-GB"/>
        </w:rPr>
        <w:t xml:space="preserve">Thematic </w:t>
      </w:r>
      <w:r w:rsidR="00700497">
        <w:rPr>
          <w:b/>
          <w:sz w:val="22"/>
          <w:szCs w:val="22"/>
          <w:lang w:val="en-GB"/>
        </w:rPr>
        <w:t>O</w:t>
      </w:r>
      <w:r w:rsidRPr="00762489">
        <w:rPr>
          <w:b/>
          <w:sz w:val="22"/>
          <w:szCs w:val="22"/>
          <w:lang w:val="en-GB"/>
        </w:rPr>
        <w:t>bjective 4.</w:t>
      </w:r>
      <w:r w:rsidR="007517A1">
        <w:rPr>
          <w:b/>
          <w:sz w:val="22"/>
          <w:szCs w:val="22"/>
          <w:lang w:val="en-GB"/>
        </w:rPr>
        <w:t xml:space="preserve"> </w:t>
      </w:r>
      <w:r w:rsidR="00872DC9">
        <w:rPr>
          <w:sz w:val="22"/>
          <w:szCs w:val="22"/>
          <w:lang w:val="en-GB"/>
        </w:rPr>
        <w:t>EU support to s</w:t>
      </w:r>
      <w:r w:rsidR="007517A1" w:rsidRPr="007517A1">
        <w:rPr>
          <w:sz w:val="22"/>
          <w:szCs w:val="22"/>
          <w:lang w:val="en-GB"/>
        </w:rPr>
        <w:t xml:space="preserve">ocial </w:t>
      </w:r>
      <w:r w:rsidR="00DD044E">
        <w:rPr>
          <w:sz w:val="22"/>
          <w:szCs w:val="22"/>
          <w:lang w:val="en-GB"/>
        </w:rPr>
        <w:t>issues is mostly fund</w:t>
      </w:r>
      <w:r w:rsidR="00872DC9">
        <w:rPr>
          <w:sz w:val="22"/>
          <w:szCs w:val="22"/>
          <w:lang w:val="en-GB"/>
        </w:rPr>
        <w:t>ed</w:t>
      </w:r>
      <w:r w:rsidR="007517A1">
        <w:rPr>
          <w:sz w:val="22"/>
          <w:szCs w:val="22"/>
          <w:lang w:val="en-GB"/>
        </w:rPr>
        <w:t xml:space="preserve"> under coun</w:t>
      </w:r>
      <w:r w:rsidR="00803062">
        <w:rPr>
          <w:sz w:val="22"/>
          <w:szCs w:val="22"/>
          <w:lang w:val="en-GB"/>
        </w:rPr>
        <w:t>try-specific</w:t>
      </w:r>
      <w:r w:rsidR="00076752">
        <w:rPr>
          <w:sz w:val="22"/>
          <w:szCs w:val="22"/>
          <w:lang w:val="en-GB"/>
        </w:rPr>
        <w:t xml:space="preserve"> programmes so</w:t>
      </w:r>
      <w:r w:rsidR="00ED2378">
        <w:rPr>
          <w:sz w:val="22"/>
          <w:szCs w:val="22"/>
          <w:lang w:val="en-GB"/>
        </w:rPr>
        <w:t xml:space="preserve"> there are few</w:t>
      </w:r>
      <w:r w:rsidR="00076752">
        <w:rPr>
          <w:sz w:val="22"/>
          <w:szCs w:val="22"/>
          <w:lang w:val="en-GB"/>
        </w:rPr>
        <w:t xml:space="preserve"> </w:t>
      </w:r>
      <w:r w:rsidR="007517A1">
        <w:rPr>
          <w:sz w:val="22"/>
          <w:szCs w:val="22"/>
          <w:lang w:val="en-GB"/>
        </w:rPr>
        <w:t xml:space="preserve">opportunities for cooperation </w:t>
      </w:r>
      <w:r w:rsidR="00055BD4">
        <w:rPr>
          <w:sz w:val="22"/>
          <w:szCs w:val="22"/>
          <w:lang w:val="en-GB"/>
        </w:rPr>
        <w:t xml:space="preserve">and exchange of experience </w:t>
      </w:r>
      <w:r w:rsidR="00ED2378">
        <w:rPr>
          <w:sz w:val="22"/>
          <w:szCs w:val="22"/>
          <w:lang w:val="en-GB"/>
        </w:rPr>
        <w:t xml:space="preserve">between countries </w:t>
      </w:r>
      <w:r w:rsidR="007517A1">
        <w:rPr>
          <w:sz w:val="22"/>
          <w:szCs w:val="22"/>
          <w:lang w:val="en-GB"/>
        </w:rPr>
        <w:t xml:space="preserve">within </w:t>
      </w:r>
      <w:r w:rsidR="00ED2378">
        <w:rPr>
          <w:sz w:val="22"/>
          <w:szCs w:val="22"/>
          <w:lang w:val="en-GB"/>
        </w:rPr>
        <w:t>the</w:t>
      </w:r>
      <w:r w:rsidR="007517A1">
        <w:rPr>
          <w:sz w:val="22"/>
          <w:szCs w:val="22"/>
          <w:lang w:val="en-GB"/>
        </w:rPr>
        <w:t xml:space="preserve"> Black Sea Basin</w:t>
      </w:r>
      <w:r w:rsidR="00ED2378">
        <w:rPr>
          <w:sz w:val="22"/>
          <w:szCs w:val="22"/>
          <w:lang w:val="en-GB"/>
        </w:rPr>
        <w:t xml:space="preserve"> area under current</w:t>
      </w:r>
      <w:r w:rsidR="007517A1">
        <w:rPr>
          <w:sz w:val="22"/>
          <w:szCs w:val="22"/>
          <w:lang w:val="en-GB"/>
        </w:rPr>
        <w:t xml:space="preserve"> </w:t>
      </w:r>
      <w:r w:rsidR="00B34CA9">
        <w:rPr>
          <w:sz w:val="22"/>
          <w:szCs w:val="22"/>
          <w:lang w:val="en-GB"/>
        </w:rPr>
        <w:t>EU</w:t>
      </w:r>
      <w:r w:rsidR="001F5319">
        <w:rPr>
          <w:sz w:val="22"/>
          <w:szCs w:val="22"/>
          <w:lang w:val="en-GB"/>
        </w:rPr>
        <w:t xml:space="preserve"> programmes</w:t>
      </w:r>
      <w:r w:rsidR="00B34CA9">
        <w:rPr>
          <w:sz w:val="22"/>
          <w:szCs w:val="22"/>
          <w:lang w:val="en-GB"/>
        </w:rPr>
        <w:t>.</w:t>
      </w:r>
      <w:r w:rsidR="007517A1">
        <w:rPr>
          <w:b/>
          <w:sz w:val="22"/>
          <w:szCs w:val="22"/>
          <w:lang w:val="en-GB"/>
        </w:rPr>
        <w:t xml:space="preserve"> </w:t>
      </w:r>
    </w:p>
    <w:p w:rsidR="00762489" w:rsidRPr="00762489" w:rsidRDefault="00762489" w:rsidP="00EE604A">
      <w:pPr>
        <w:spacing w:before="120" w:after="0" w:line="264" w:lineRule="auto"/>
        <w:jc w:val="both"/>
        <w:rPr>
          <w:b/>
          <w:sz w:val="22"/>
          <w:szCs w:val="22"/>
          <w:lang w:val="en-GB"/>
        </w:rPr>
      </w:pPr>
      <w:r w:rsidRPr="00762489">
        <w:rPr>
          <w:b/>
          <w:sz w:val="22"/>
          <w:szCs w:val="22"/>
          <w:lang w:val="en-GB"/>
        </w:rPr>
        <w:t xml:space="preserve">Thematic </w:t>
      </w:r>
      <w:r w:rsidR="00700497">
        <w:rPr>
          <w:b/>
          <w:sz w:val="22"/>
          <w:szCs w:val="22"/>
          <w:lang w:val="en-GB"/>
        </w:rPr>
        <w:t>O</w:t>
      </w:r>
      <w:r w:rsidRPr="00762489">
        <w:rPr>
          <w:b/>
          <w:sz w:val="22"/>
          <w:szCs w:val="22"/>
          <w:lang w:val="en-GB"/>
        </w:rPr>
        <w:t>bjective 6.</w:t>
      </w:r>
      <w:r w:rsidR="00AD3876">
        <w:rPr>
          <w:b/>
          <w:sz w:val="22"/>
          <w:szCs w:val="22"/>
          <w:lang w:val="en-GB"/>
        </w:rPr>
        <w:t xml:space="preserve"> </w:t>
      </w:r>
      <w:r w:rsidR="00AD3876" w:rsidRPr="00AD3876">
        <w:rPr>
          <w:sz w:val="22"/>
          <w:szCs w:val="22"/>
          <w:lang w:val="en-GB"/>
        </w:rPr>
        <w:t>EU cooperation programmes</w:t>
      </w:r>
      <w:r w:rsidR="00AD3876">
        <w:rPr>
          <w:sz w:val="22"/>
          <w:szCs w:val="22"/>
          <w:lang w:val="en-GB"/>
        </w:rPr>
        <w:t xml:space="preserve"> in the env</w:t>
      </w:r>
      <w:r w:rsidR="00A428D5">
        <w:rPr>
          <w:sz w:val="22"/>
          <w:szCs w:val="22"/>
          <w:lang w:val="en-GB"/>
        </w:rPr>
        <w:t xml:space="preserve">ironmental sector target </w:t>
      </w:r>
      <w:r w:rsidR="00AD3876">
        <w:rPr>
          <w:sz w:val="22"/>
          <w:szCs w:val="22"/>
          <w:lang w:val="en-GB"/>
        </w:rPr>
        <w:t>energy efficiency measures</w:t>
      </w:r>
      <w:r w:rsidR="00147EFD" w:rsidRPr="00147EFD">
        <w:rPr>
          <w:sz w:val="22"/>
          <w:szCs w:val="22"/>
          <w:lang w:val="en-GB"/>
        </w:rPr>
        <w:t>, sustainable use of natural resources</w:t>
      </w:r>
      <w:r w:rsidR="00A428D5">
        <w:rPr>
          <w:sz w:val="22"/>
          <w:szCs w:val="22"/>
          <w:lang w:val="en-GB"/>
        </w:rPr>
        <w:t xml:space="preserve">, </w:t>
      </w:r>
      <w:r w:rsidR="00147EFD" w:rsidRPr="00147EFD">
        <w:rPr>
          <w:sz w:val="22"/>
          <w:szCs w:val="22"/>
          <w:lang w:val="en-GB"/>
        </w:rPr>
        <w:t>promotion of a low carbon economy</w:t>
      </w:r>
      <w:r w:rsidR="00A428D5">
        <w:rPr>
          <w:sz w:val="22"/>
          <w:szCs w:val="22"/>
          <w:lang w:val="en-GB"/>
        </w:rPr>
        <w:t xml:space="preserve"> and adaptation to climate change</w:t>
      </w:r>
      <w:r w:rsidR="00147EFD" w:rsidRPr="00147EFD">
        <w:rPr>
          <w:sz w:val="22"/>
          <w:szCs w:val="22"/>
          <w:lang w:val="en-GB"/>
        </w:rPr>
        <w:t>.</w:t>
      </w:r>
      <w:r w:rsidR="003D272E">
        <w:rPr>
          <w:sz w:val="22"/>
          <w:szCs w:val="22"/>
          <w:lang w:val="en-GB"/>
        </w:rPr>
        <w:t xml:space="preserve"> This leaves considerabl</w:t>
      </w:r>
      <w:r w:rsidR="00130E73">
        <w:rPr>
          <w:sz w:val="22"/>
          <w:szCs w:val="22"/>
          <w:lang w:val="en-GB"/>
        </w:rPr>
        <w:t>e</w:t>
      </w:r>
      <w:r w:rsidR="003D272E">
        <w:rPr>
          <w:sz w:val="22"/>
          <w:szCs w:val="22"/>
          <w:lang w:val="en-GB"/>
        </w:rPr>
        <w:t xml:space="preserve"> scope for further joint actions </w:t>
      </w:r>
      <w:r w:rsidR="00130E73">
        <w:rPr>
          <w:sz w:val="22"/>
          <w:szCs w:val="22"/>
          <w:lang w:val="en-GB"/>
        </w:rPr>
        <w:t xml:space="preserve">for </w:t>
      </w:r>
      <w:r w:rsidR="003D272E">
        <w:rPr>
          <w:sz w:val="22"/>
          <w:szCs w:val="22"/>
          <w:lang w:val="en-GB"/>
        </w:rPr>
        <w:t>environmental protection</w:t>
      </w:r>
      <w:r w:rsidR="00BB3ADD">
        <w:rPr>
          <w:sz w:val="22"/>
          <w:szCs w:val="22"/>
          <w:lang w:val="en-GB"/>
        </w:rPr>
        <w:t xml:space="preserve">, as identified </w:t>
      </w:r>
      <w:r w:rsidR="00130E73">
        <w:rPr>
          <w:sz w:val="22"/>
          <w:szCs w:val="22"/>
          <w:lang w:val="en-GB"/>
        </w:rPr>
        <w:t>in the</w:t>
      </w:r>
      <w:r w:rsidR="00BB3ADD">
        <w:rPr>
          <w:sz w:val="22"/>
          <w:szCs w:val="22"/>
          <w:lang w:val="en-GB"/>
        </w:rPr>
        <w:t xml:space="preserve"> analyses</w:t>
      </w:r>
      <w:r w:rsidR="000E4A5C">
        <w:rPr>
          <w:sz w:val="22"/>
          <w:szCs w:val="22"/>
          <w:lang w:val="en-GB"/>
        </w:rPr>
        <w:t xml:space="preserve"> and during the consultations</w:t>
      </w:r>
      <w:r w:rsidR="00F46365">
        <w:rPr>
          <w:sz w:val="22"/>
          <w:szCs w:val="22"/>
          <w:lang w:val="en-GB"/>
        </w:rPr>
        <w:t xml:space="preserve"> (notably monitoring, etc)</w:t>
      </w:r>
      <w:r w:rsidR="003D272E">
        <w:rPr>
          <w:sz w:val="22"/>
          <w:szCs w:val="22"/>
          <w:lang w:val="en-GB"/>
        </w:rPr>
        <w:t>.</w:t>
      </w:r>
    </w:p>
    <w:p w:rsidR="00B3638B" w:rsidRDefault="00323BC7" w:rsidP="00EE604A">
      <w:pPr>
        <w:spacing w:before="120" w:after="0" w:line="264" w:lineRule="auto"/>
        <w:jc w:val="both"/>
        <w:rPr>
          <w:sz w:val="22"/>
          <w:szCs w:val="22"/>
          <w:lang w:val="en-GB"/>
        </w:rPr>
      </w:pPr>
      <w:r w:rsidRPr="00762489">
        <w:rPr>
          <w:b/>
          <w:sz w:val="22"/>
          <w:szCs w:val="22"/>
          <w:lang w:val="en-GB"/>
        </w:rPr>
        <w:t xml:space="preserve">Thematic </w:t>
      </w:r>
      <w:r w:rsidR="00700497">
        <w:rPr>
          <w:b/>
          <w:sz w:val="22"/>
          <w:szCs w:val="22"/>
          <w:lang w:val="en-GB"/>
        </w:rPr>
        <w:t>O</w:t>
      </w:r>
      <w:r w:rsidR="00762489" w:rsidRPr="00762489">
        <w:rPr>
          <w:b/>
          <w:sz w:val="22"/>
          <w:szCs w:val="22"/>
          <w:lang w:val="en-GB"/>
        </w:rPr>
        <w:t xml:space="preserve">bjective </w:t>
      </w:r>
      <w:r w:rsidRPr="00762489">
        <w:rPr>
          <w:b/>
          <w:sz w:val="22"/>
          <w:szCs w:val="22"/>
          <w:lang w:val="en-GB"/>
        </w:rPr>
        <w:t>7</w:t>
      </w:r>
      <w:r w:rsidR="00762489" w:rsidRPr="00762489">
        <w:rPr>
          <w:b/>
          <w:sz w:val="22"/>
          <w:szCs w:val="22"/>
          <w:lang w:val="en-GB"/>
        </w:rPr>
        <w:t>.</w:t>
      </w:r>
      <w:r>
        <w:rPr>
          <w:sz w:val="22"/>
          <w:szCs w:val="22"/>
          <w:lang w:val="en-GB"/>
        </w:rPr>
        <w:t xml:space="preserve"> </w:t>
      </w:r>
      <w:r w:rsidR="00940D19">
        <w:rPr>
          <w:sz w:val="22"/>
          <w:szCs w:val="22"/>
          <w:lang w:val="en-GB"/>
        </w:rPr>
        <w:t>The TRA</w:t>
      </w:r>
      <w:r w:rsidR="00FB1B9D">
        <w:rPr>
          <w:sz w:val="22"/>
          <w:szCs w:val="22"/>
          <w:lang w:val="en-GB"/>
        </w:rPr>
        <w:t>CECA programme provides a highly</w:t>
      </w:r>
      <w:r w:rsidR="00940D19">
        <w:rPr>
          <w:sz w:val="22"/>
          <w:szCs w:val="22"/>
          <w:lang w:val="en-GB"/>
        </w:rPr>
        <w:t xml:space="preserve"> suitable</w:t>
      </w:r>
      <w:r w:rsidR="00BE1710">
        <w:rPr>
          <w:sz w:val="22"/>
          <w:szCs w:val="22"/>
          <w:lang w:val="en-GB"/>
        </w:rPr>
        <w:t>, comprehensive</w:t>
      </w:r>
      <w:r w:rsidR="00940D19">
        <w:rPr>
          <w:sz w:val="22"/>
          <w:szCs w:val="22"/>
          <w:lang w:val="en-GB"/>
        </w:rPr>
        <w:t xml:space="preserve"> and long-lastin</w:t>
      </w:r>
      <w:r w:rsidR="00BE1710">
        <w:rPr>
          <w:sz w:val="22"/>
          <w:szCs w:val="22"/>
          <w:lang w:val="en-GB"/>
        </w:rPr>
        <w:t xml:space="preserve">g cooperation framework to enhance </w:t>
      </w:r>
      <w:r w:rsidR="00940D19">
        <w:rPr>
          <w:sz w:val="22"/>
          <w:szCs w:val="22"/>
          <w:lang w:val="en-GB"/>
        </w:rPr>
        <w:t xml:space="preserve">transport </w:t>
      </w:r>
      <w:r w:rsidR="00BE1710">
        <w:rPr>
          <w:sz w:val="22"/>
          <w:szCs w:val="22"/>
          <w:lang w:val="en-GB"/>
        </w:rPr>
        <w:t xml:space="preserve">networks </w:t>
      </w:r>
      <w:r w:rsidR="006A0211">
        <w:rPr>
          <w:sz w:val="22"/>
          <w:szCs w:val="22"/>
          <w:lang w:val="en-GB"/>
        </w:rPr>
        <w:t xml:space="preserve">and infrastructure </w:t>
      </w:r>
      <w:r w:rsidR="00940D19">
        <w:rPr>
          <w:sz w:val="22"/>
          <w:szCs w:val="22"/>
          <w:lang w:val="en-GB"/>
        </w:rPr>
        <w:t>within the Black Sea Basin</w:t>
      </w:r>
      <w:r w:rsidR="00BE1710">
        <w:rPr>
          <w:sz w:val="22"/>
          <w:szCs w:val="22"/>
          <w:lang w:val="en-GB"/>
        </w:rPr>
        <w:t>. Transport infrastructure</w:t>
      </w:r>
      <w:r w:rsidR="00D10DBF">
        <w:rPr>
          <w:sz w:val="22"/>
          <w:szCs w:val="22"/>
          <w:lang w:val="en-GB"/>
        </w:rPr>
        <w:t xml:space="preserve"> development</w:t>
      </w:r>
      <w:r w:rsidR="00BE1710">
        <w:rPr>
          <w:sz w:val="22"/>
          <w:szCs w:val="22"/>
          <w:lang w:val="en-GB"/>
        </w:rPr>
        <w:t xml:space="preserve"> is otherwise supported </w:t>
      </w:r>
      <w:r w:rsidR="00D92006">
        <w:rPr>
          <w:sz w:val="22"/>
          <w:szCs w:val="22"/>
          <w:lang w:val="en-GB"/>
        </w:rPr>
        <w:t xml:space="preserve">notably </w:t>
      </w:r>
      <w:r w:rsidR="00BE1710">
        <w:rPr>
          <w:sz w:val="22"/>
          <w:szCs w:val="22"/>
          <w:lang w:val="en-GB"/>
        </w:rPr>
        <w:t>un</w:t>
      </w:r>
      <w:r w:rsidR="00D10DBF">
        <w:rPr>
          <w:sz w:val="22"/>
          <w:szCs w:val="22"/>
          <w:lang w:val="en-GB"/>
        </w:rPr>
        <w:t>der country-specific programmes</w:t>
      </w:r>
      <w:r w:rsidR="00300F3D">
        <w:rPr>
          <w:sz w:val="22"/>
          <w:szCs w:val="22"/>
          <w:lang w:val="en-GB"/>
        </w:rPr>
        <w:t xml:space="preserve">, </w:t>
      </w:r>
      <w:r w:rsidR="0039151A">
        <w:rPr>
          <w:sz w:val="22"/>
          <w:szCs w:val="22"/>
          <w:lang w:val="en-GB"/>
        </w:rPr>
        <w:t xml:space="preserve">via </w:t>
      </w:r>
      <w:r w:rsidR="00300F3D">
        <w:rPr>
          <w:sz w:val="22"/>
          <w:szCs w:val="22"/>
          <w:lang w:val="en-GB"/>
        </w:rPr>
        <w:t>cohesion fund</w:t>
      </w:r>
      <w:r w:rsidR="0039151A">
        <w:rPr>
          <w:sz w:val="22"/>
          <w:szCs w:val="22"/>
          <w:lang w:val="en-GB"/>
        </w:rPr>
        <w:t>s</w:t>
      </w:r>
      <w:r w:rsidR="00D10DBF">
        <w:rPr>
          <w:sz w:val="22"/>
          <w:szCs w:val="22"/>
          <w:lang w:val="en-GB"/>
        </w:rPr>
        <w:t xml:space="preserve"> and the NIF.</w:t>
      </w:r>
      <w:r w:rsidR="00144BE3">
        <w:rPr>
          <w:sz w:val="22"/>
          <w:szCs w:val="22"/>
          <w:lang w:val="en-GB"/>
        </w:rPr>
        <w:t xml:space="preserve"> T</w:t>
      </w:r>
      <w:r w:rsidR="0037248B">
        <w:rPr>
          <w:sz w:val="22"/>
          <w:szCs w:val="22"/>
          <w:lang w:val="en-GB"/>
        </w:rPr>
        <w:t>herefore</w:t>
      </w:r>
      <w:r w:rsidR="00A73B36">
        <w:rPr>
          <w:sz w:val="22"/>
          <w:szCs w:val="22"/>
          <w:lang w:val="en-GB"/>
        </w:rPr>
        <w:t>, despite the large remaining need to upgrade transp</w:t>
      </w:r>
      <w:r w:rsidR="00172AA1">
        <w:rPr>
          <w:sz w:val="22"/>
          <w:szCs w:val="22"/>
          <w:lang w:val="en-GB"/>
        </w:rPr>
        <w:t>ort facilities</w:t>
      </w:r>
      <w:r w:rsidR="00D06B17">
        <w:rPr>
          <w:sz w:val="22"/>
          <w:szCs w:val="22"/>
          <w:lang w:val="en-GB"/>
        </w:rPr>
        <w:t xml:space="preserve"> within the region</w:t>
      </w:r>
      <w:r w:rsidR="00A73B36">
        <w:rPr>
          <w:sz w:val="22"/>
          <w:szCs w:val="22"/>
          <w:lang w:val="en-GB"/>
        </w:rPr>
        <w:t>,</w:t>
      </w:r>
      <w:r w:rsidR="0037248B">
        <w:rPr>
          <w:sz w:val="22"/>
          <w:szCs w:val="22"/>
          <w:lang w:val="en-GB"/>
        </w:rPr>
        <w:t xml:space="preserve"> </w:t>
      </w:r>
      <w:r w:rsidR="00130E73">
        <w:rPr>
          <w:sz w:val="22"/>
          <w:szCs w:val="22"/>
          <w:lang w:val="en-GB"/>
        </w:rPr>
        <w:t xml:space="preserve">the </w:t>
      </w:r>
      <w:r w:rsidR="00016F71">
        <w:rPr>
          <w:sz w:val="22"/>
          <w:szCs w:val="22"/>
          <w:lang w:val="en-GB"/>
        </w:rPr>
        <w:t>inclusion of transport in</w:t>
      </w:r>
      <w:r w:rsidR="0037248B">
        <w:rPr>
          <w:sz w:val="22"/>
          <w:szCs w:val="22"/>
          <w:lang w:val="en-GB"/>
        </w:rPr>
        <w:t xml:space="preserve"> the Black Sea Basin strategy does not appear justified</w:t>
      </w:r>
      <w:r w:rsidR="00940D19">
        <w:rPr>
          <w:sz w:val="22"/>
          <w:szCs w:val="22"/>
          <w:lang w:val="en-GB"/>
        </w:rPr>
        <w:t xml:space="preserve">. </w:t>
      </w:r>
      <w:r w:rsidR="00262D9F">
        <w:rPr>
          <w:sz w:val="22"/>
          <w:szCs w:val="22"/>
          <w:lang w:val="en-GB"/>
        </w:rPr>
        <w:t>Some specific transport</w:t>
      </w:r>
      <w:r w:rsidR="00E7772C">
        <w:rPr>
          <w:sz w:val="22"/>
          <w:szCs w:val="22"/>
          <w:lang w:val="en-GB"/>
        </w:rPr>
        <w:t>-related</w:t>
      </w:r>
      <w:r w:rsidR="00262D9F">
        <w:rPr>
          <w:sz w:val="22"/>
          <w:szCs w:val="22"/>
          <w:lang w:val="en-GB"/>
        </w:rPr>
        <w:t xml:space="preserve"> </w:t>
      </w:r>
      <w:r w:rsidR="00E7772C">
        <w:rPr>
          <w:sz w:val="22"/>
          <w:szCs w:val="22"/>
          <w:lang w:val="en-GB"/>
        </w:rPr>
        <w:t>issues could still be considered for</w:t>
      </w:r>
      <w:r w:rsidR="00262D9F">
        <w:rPr>
          <w:sz w:val="22"/>
          <w:szCs w:val="22"/>
          <w:lang w:val="en-GB"/>
        </w:rPr>
        <w:t xml:space="preserve"> their economic or</w:t>
      </w:r>
      <w:r w:rsidR="00326E53">
        <w:rPr>
          <w:sz w:val="22"/>
          <w:szCs w:val="22"/>
          <w:lang w:val="en-GB"/>
        </w:rPr>
        <w:t xml:space="preserve"> environmental dimensions</w:t>
      </w:r>
      <w:r w:rsidR="00A17C2D">
        <w:rPr>
          <w:sz w:val="22"/>
          <w:szCs w:val="22"/>
          <w:lang w:val="en-GB"/>
        </w:rPr>
        <w:t xml:space="preserve"> and included in </w:t>
      </w:r>
      <w:r w:rsidR="00326E53">
        <w:rPr>
          <w:sz w:val="22"/>
          <w:szCs w:val="22"/>
          <w:lang w:val="en-GB"/>
        </w:rPr>
        <w:t xml:space="preserve">CBC </w:t>
      </w:r>
      <w:r w:rsidR="00A17C2D">
        <w:rPr>
          <w:sz w:val="22"/>
          <w:szCs w:val="22"/>
          <w:lang w:val="en-GB"/>
        </w:rPr>
        <w:t>projects when relevant</w:t>
      </w:r>
      <w:r w:rsidR="00E7772C">
        <w:rPr>
          <w:sz w:val="22"/>
          <w:szCs w:val="22"/>
          <w:lang w:val="en-GB"/>
        </w:rPr>
        <w:t xml:space="preserve"> but not constitute the main aim of </w:t>
      </w:r>
      <w:r w:rsidR="00326E53">
        <w:rPr>
          <w:sz w:val="22"/>
          <w:szCs w:val="22"/>
          <w:lang w:val="en-GB"/>
        </w:rPr>
        <w:t>the project</w:t>
      </w:r>
      <w:r w:rsidR="00A17C2D">
        <w:rPr>
          <w:sz w:val="22"/>
          <w:szCs w:val="22"/>
          <w:lang w:val="en-GB"/>
        </w:rPr>
        <w:t>.</w:t>
      </w:r>
      <w:r w:rsidR="00262D9F">
        <w:rPr>
          <w:sz w:val="22"/>
          <w:szCs w:val="22"/>
          <w:lang w:val="en-GB"/>
        </w:rPr>
        <w:t xml:space="preserve"> </w:t>
      </w:r>
    </w:p>
    <w:p w:rsidR="000A20CF" w:rsidRPr="00B3638B" w:rsidRDefault="00130E73" w:rsidP="00EE604A">
      <w:pPr>
        <w:spacing w:before="120" w:after="0" w:line="264" w:lineRule="auto"/>
        <w:jc w:val="both"/>
        <w:rPr>
          <w:sz w:val="22"/>
          <w:szCs w:val="22"/>
          <w:lang w:val="en-GB"/>
        </w:rPr>
      </w:pPr>
      <w:r>
        <w:rPr>
          <w:sz w:val="22"/>
          <w:szCs w:val="22"/>
          <w:lang w:val="en-GB"/>
        </w:rPr>
        <w:t>In regard to the</w:t>
      </w:r>
      <w:r w:rsidR="00AD3B65">
        <w:rPr>
          <w:sz w:val="22"/>
          <w:szCs w:val="22"/>
          <w:lang w:val="en-GB"/>
        </w:rPr>
        <w:t xml:space="preserve"> </w:t>
      </w:r>
      <w:r w:rsidR="00C53B35">
        <w:rPr>
          <w:sz w:val="22"/>
          <w:szCs w:val="22"/>
          <w:lang w:val="en-GB"/>
        </w:rPr>
        <w:t>development of</w:t>
      </w:r>
      <w:r w:rsidR="00E51AEF">
        <w:rPr>
          <w:sz w:val="22"/>
          <w:szCs w:val="22"/>
          <w:lang w:val="en-GB"/>
        </w:rPr>
        <w:t xml:space="preserve"> information and communication technologies</w:t>
      </w:r>
      <w:r w:rsidR="00C53B35">
        <w:rPr>
          <w:sz w:val="22"/>
          <w:szCs w:val="22"/>
          <w:lang w:val="en-GB"/>
        </w:rPr>
        <w:t xml:space="preserve"> </w:t>
      </w:r>
      <w:r w:rsidR="00E51AEF">
        <w:rPr>
          <w:sz w:val="22"/>
          <w:szCs w:val="22"/>
          <w:lang w:val="en-GB"/>
        </w:rPr>
        <w:t>(</w:t>
      </w:r>
      <w:r w:rsidR="00C53B35">
        <w:rPr>
          <w:sz w:val="22"/>
          <w:szCs w:val="22"/>
          <w:lang w:val="en-GB"/>
        </w:rPr>
        <w:t>ICT</w:t>
      </w:r>
      <w:r w:rsidR="00E51AEF">
        <w:rPr>
          <w:sz w:val="22"/>
          <w:szCs w:val="22"/>
          <w:lang w:val="en-GB"/>
        </w:rPr>
        <w:t xml:space="preserve">), </w:t>
      </w:r>
      <w:r>
        <w:rPr>
          <w:sz w:val="22"/>
          <w:szCs w:val="22"/>
          <w:lang w:val="en-GB"/>
        </w:rPr>
        <w:t xml:space="preserve">these </w:t>
      </w:r>
      <w:r w:rsidR="00E51AEF">
        <w:rPr>
          <w:sz w:val="22"/>
          <w:szCs w:val="22"/>
          <w:lang w:val="en-GB"/>
        </w:rPr>
        <w:t>are</w:t>
      </w:r>
      <w:r w:rsidR="003C6137">
        <w:rPr>
          <w:sz w:val="22"/>
          <w:szCs w:val="22"/>
          <w:lang w:val="en-GB"/>
        </w:rPr>
        <w:t xml:space="preserve"> </w:t>
      </w:r>
      <w:r w:rsidR="0039151A">
        <w:rPr>
          <w:sz w:val="22"/>
          <w:szCs w:val="22"/>
          <w:lang w:val="en-GB"/>
        </w:rPr>
        <w:t xml:space="preserve">most </w:t>
      </w:r>
      <w:r w:rsidR="00AE063F">
        <w:rPr>
          <w:sz w:val="22"/>
          <w:szCs w:val="22"/>
          <w:lang w:val="en-GB"/>
        </w:rPr>
        <w:t>notably supporte</w:t>
      </w:r>
      <w:r w:rsidR="00C53B35">
        <w:rPr>
          <w:sz w:val="22"/>
          <w:szCs w:val="22"/>
          <w:lang w:val="en-GB"/>
        </w:rPr>
        <w:t>d</w:t>
      </w:r>
      <w:r w:rsidR="00AE063F">
        <w:rPr>
          <w:sz w:val="22"/>
          <w:szCs w:val="22"/>
          <w:lang w:val="en-GB"/>
        </w:rPr>
        <w:t xml:space="preserve"> under </w:t>
      </w:r>
      <w:r w:rsidR="00AE063F" w:rsidRPr="00C53B35">
        <w:rPr>
          <w:i/>
          <w:sz w:val="22"/>
          <w:szCs w:val="22"/>
          <w:lang w:val="en-GB"/>
        </w:rPr>
        <w:t>Horizon 2020</w:t>
      </w:r>
      <w:r w:rsidR="00C53B35">
        <w:rPr>
          <w:sz w:val="22"/>
          <w:szCs w:val="22"/>
          <w:lang w:val="en-GB"/>
        </w:rPr>
        <w:t>. Cons</w:t>
      </w:r>
      <w:r w:rsidR="0019511C">
        <w:rPr>
          <w:sz w:val="22"/>
          <w:szCs w:val="22"/>
          <w:lang w:val="en-GB"/>
        </w:rPr>
        <w:t>idering</w:t>
      </w:r>
      <w:r w:rsidR="00255E5A">
        <w:rPr>
          <w:sz w:val="22"/>
          <w:szCs w:val="22"/>
          <w:lang w:val="en-GB"/>
        </w:rPr>
        <w:t xml:space="preserve"> that ICT </w:t>
      </w:r>
      <w:r>
        <w:rPr>
          <w:sz w:val="22"/>
          <w:szCs w:val="22"/>
          <w:lang w:val="en-GB"/>
        </w:rPr>
        <w:t xml:space="preserve">is </w:t>
      </w:r>
      <w:r w:rsidR="00255E5A">
        <w:rPr>
          <w:sz w:val="22"/>
          <w:szCs w:val="22"/>
          <w:lang w:val="en-GB"/>
        </w:rPr>
        <w:t xml:space="preserve">also a </w:t>
      </w:r>
      <w:r w:rsidR="004A4081">
        <w:rPr>
          <w:sz w:val="22"/>
          <w:szCs w:val="22"/>
          <w:lang w:val="en-GB"/>
        </w:rPr>
        <w:t xml:space="preserve">transversal </w:t>
      </w:r>
      <w:r w:rsidR="00255E5A">
        <w:rPr>
          <w:sz w:val="22"/>
          <w:szCs w:val="22"/>
          <w:lang w:val="en-GB"/>
        </w:rPr>
        <w:t xml:space="preserve">tool </w:t>
      </w:r>
      <w:r w:rsidR="00BE66C4">
        <w:rPr>
          <w:sz w:val="22"/>
          <w:szCs w:val="22"/>
          <w:lang w:val="en-GB"/>
        </w:rPr>
        <w:t xml:space="preserve">that </w:t>
      </w:r>
      <w:r w:rsidR="00BE66C4" w:rsidRPr="00BE66C4">
        <w:rPr>
          <w:sz w:val="22"/>
          <w:szCs w:val="22"/>
          <w:lang w:val="en-GB"/>
        </w:rPr>
        <w:t>underpins innovation and competitiveness across a broad range of sector</w:t>
      </w:r>
      <w:r w:rsidR="008476AB">
        <w:rPr>
          <w:sz w:val="22"/>
          <w:szCs w:val="22"/>
          <w:lang w:val="en-GB"/>
        </w:rPr>
        <w:t>s</w:t>
      </w:r>
      <w:r w:rsidR="0019511C">
        <w:rPr>
          <w:sz w:val="22"/>
          <w:szCs w:val="22"/>
          <w:lang w:val="en-GB"/>
        </w:rPr>
        <w:t xml:space="preserve">, </w:t>
      </w:r>
      <w:r w:rsidR="009A2995">
        <w:rPr>
          <w:sz w:val="22"/>
          <w:szCs w:val="22"/>
          <w:lang w:val="en-GB"/>
        </w:rPr>
        <w:t>the</w:t>
      </w:r>
      <w:r w:rsidR="00BE66C4">
        <w:rPr>
          <w:sz w:val="22"/>
          <w:szCs w:val="22"/>
          <w:lang w:val="en-GB"/>
        </w:rPr>
        <w:t xml:space="preserve"> inclusion of </w:t>
      </w:r>
      <w:r w:rsidR="00EE1BA7">
        <w:rPr>
          <w:sz w:val="22"/>
          <w:szCs w:val="22"/>
          <w:lang w:val="en-GB"/>
        </w:rPr>
        <w:t>ICT components may</w:t>
      </w:r>
      <w:r w:rsidR="009A2995">
        <w:rPr>
          <w:sz w:val="22"/>
          <w:szCs w:val="22"/>
          <w:lang w:val="en-GB"/>
        </w:rPr>
        <w:t xml:space="preserve"> </w:t>
      </w:r>
      <w:r w:rsidR="00CF228D">
        <w:rPr>
          <w:sz w:val="22"/>
          <w:szCs w:val="22"/>
          <w:lang w:val="en-GB"/>
        </w:rPr>
        <w:t xml:space="preserve">still </w:t>
      </w:r>
      <w:r w:rsidR="009A2995">
        <w:rPr>
          <w:sz w:val="22"/>
          <w:szCs w:val="22"/>
          <w:lang w:val="en-GB"/>
        </w:rPr>
        <w:t>be considered</w:t>
      </w:r>
      <w:r w:rsidR="000D2834">
        <w:rPr>
          <w:sz w:val="22"/>
          <w:szCs w:val="22"/>
          <w:lang w:val="en-GB"/>
        </w:rPr>
        <w:t xml:space="preserve"> in CBC project</w:t>
      </w:r>
      <w:r>
        <w:rPr>
          <w:sz w:val="22"/>
          <w:szCs w:val="22"/>
          <w:lang w:val="en-GB"/>
        </w:rPr>
        <w:t>s</w:t>
      </w:r>
      <w:r w:rsidR="000D2834">
        <w:rPr>
          <w:sz w:val="22"/>
          <w:szCs w:val="22"/>
          <w:lang w:val="en-GB"/>
        </w:rPr>
        <w:t xml:space="preserve"> under any priority</w:t>
      </w:r>
      <w:r w:rsidR="000D2B6F">
        <w:rPr>
          <w:sz w:val="22"/>
          <w:szCs w:val="22"/>
          <w:lang w:val="en-GB"/>
        </w:rPr>
        <w:t xml:space="preserve"> </w:t>
      </w:r>
      <w:r w:rsidR="000D2834">
        <w:rPr>
          <w:sz w:val="22"/>
          <w:szCs w:val="22"/>
          <w:lang w:val="en-GB"/>
        </w:rPr>
        <w:t>whenever relevant</w:t>
      </w:r>
      <w:r w:rsidR="009A2995">
        <w:rPr>
          <w:sz w:val="22"/>
          <w:szCs w:val="22"/>
          <w:lang w:val="en-GB"/>
        </w:rPr>
        <w:t xml:space="preserve"> </w:t>
      </w:r>
      <w:r w:rsidR="003A390F">
        <w:rPr>
          <w:sz w:val="22"/>
          <w:szCs w:val="22"/>
          <w:lang w:val="en-GB"/>
        </w:rPr>
        <w:t>to enhance CBC project effectiveness</w:t>
      </w:r>
      <w:r w:rsidR="00C53B35">
        <w:rPr>
          <w:sz w:val="22"/>
          <w:szCs w:val="22"/>
          <w:lang w:val="en-GB"/>
        </w:rPr>
        <w:t xml:space="preserve">. </w:t>
      </w:r>
    </w:p>
    <w:p w:rsidR="00A56970" w:rsidRPr="0025034F" w:rsidRDefault="007B1126" w:rsidP="00A56970">
      <w:pPr>
        <w:pStyle w:val="Heading3"/>
        <w:spacing w:before="200" w:after="120" w:line="264" w:lineRule="auto"/>
        <w:rPr>
          <w:b/>
          <w:sz w:val="28"/>
          <w:szCs w:val="28"/>
          <w:lang w:val="en-GB"/>
        </w:rPr>
      </w:pPr>
      <w:bookmarkStart w:id="60" w:name="_Toc288133444"/>
      <w:r w:rsidRPr="0025034F">
        <w:rPr>
          <w:b/>
          <w:sz w:val="28"/>
          <w:szCs w:val="28"/>
          <w:lang w:val="en-GB"/>
        </w:rPr>
        <w:t>Summary of strategy identification</w:t>
      </w:r>
      <w:bookmarkEnd w:id="60"/>
    </w:p>
    <w:p w:rsidR="00F14422" w:rsidRPr="00F14422" w:rsidRDefault="006102F6" w:rsidP="00F14422">
      <w:r>
        <w:rPr>
          <w:noProof/>
          <w:lang w:val="ro-RO" w:eastAsia="ro-RO"/>
        </w:rPr>
        <w:drawing>
          <wp:inline distT="0" distB="0" distL="0" distR="0">
            <wp:extent cx="5974333" cy="3923411"/>
            <wp:effectExtent l="19050" t="0" r="7367" b="0"/>
            <wp:docPr id="38"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5C4840" w:rsidRDefault="005C4840" w:rsidP="005C4840">
      <w:pPr>
        <w:rPr>
          <w:rFonts w:eastAsia="Times New Roman"/>
          <w:i/>
          <w:color w:val="000000"/>
          <w:sz w:val="22"/>
          <w:szCs w:val="22"/>
          <w:lang w:val="en-GB"/>
        </w:rPr>
      </w:pPr>
      <w:r>
        <w:rPr>
          <w:rFonts w:eastAsia="Times New Roman"/>
          <w:i/>
          <w:color w:val="000000"/>
          <w:sz w:val="22"/>
          <w:szCs w:val="22"/>
          <w:lang w:val="en-GB"/>
        </w:rPr>
        <w:t>Table 4</w:t>
      </w:r>
      <w:r w:rsidRPr="004B58D3">
        <w:rPr>
          <w:rFonts w:eastAsia="Times New Roman"/>
          <w:i/>
          <w:color w:val="000000"/>
          <w:sz w:val="22"/>
          <w:szCs w:val="22"/>
          <w:lang w:val="en-GB"/>
        </w:rPr>
        <w:t xml:space="preserve">. </w:t>
      </w:r>
      <w:r w:rsidR="004539A8">
        <w:rPr>
          <w:rFonts w:eastAsia="Times New Roman"/>
          <w:i/>
          <w:color w:val="000000"/>
          <w:sz w:val="22"/>
          <w:szCs w:val="22"/>
          <w:lang w:val="en-GB"/>
        </w:rPr>
        <w:t>Summary of strategy development</w:t>
      </w:r>
      <w:r>
        <w:rPr>
          <w:rFonts w:eastAsia="Times New Roman"/>
          <w:i/>
          <w:color w:val="000000"/>
          <w:sz w:val="22"/>
          <w:szCs w:val="22"/>
          <w:lang w:val="en-GB"/>
        </w:rPr>
        <w:t>. At each step</w:t>
      </w:r>
      <w:r w:rsidR="00937C34">
        <w:rPr>
          <w:rFonts w:eastAsia="Times New Roman"/>
          <w:i/>
          <w:color w:val="000000"/>
          <w:sz w:val="22"/>
          <w:szCs w:val="22"/>
          <w:lang w:val="en-GB"/>
        </w:rPr>
        <w:t>,</w:t>
      </w:r>
      <w:r>
        <w:rPr>
          <w:rFonts w:eastAsia="Times New Roman"/>
          <w:i/>
          <w:color w:val="000000"/>
          <w:sz w:val="22"/>
          <w:szCs w:val="22"/>
          <w:lang w:val="en-GB"/>
        </w:rPr>
        <w:t xml:space="preserve"> TOs strongly </w:t>
      </w:r>
      <w:r w:rsidR="004539A8">
        <w:rPr>
          <w:rFonts w:eastAsia="Times New Roman"/>
          <w:i/>
          <w:color w:val="000000"/>
          <w:sz w:val="22"/>
          <w:szCs w:val="22"/>
          <w:lang w:val="en-GB"/>
        </w:rPr>
        <w:t xml:space="preserve">supported </w:t>
      </w:r>
      <w:r w:rsidR="0039151A">
        <w:rPr>
          <w:rFonts w:eastAsia="Times New Roman"/>
          <w:i/>
          <w:color w:val="000000"/>
          <w:sz w:val="22"/>
          <w:szCs w:val="22"/>
          <w:lang w:val="en-GB"/>
        </w:rPr>
        <w:t>are shown</w:t>
      </w:r>
      <w:r w:rsidR="009879F2">
        <w:rPr>
          <w:rFonts w:eastAsia="Times New Roman"/>
          <w:i/>
          <w:color w:val="000000"/>
          <w:sz w:val="22"/>
          <w:szCs w:val="22"/>
          <w:lang w:val="en-GB"/>
        </w:rPr>
        <w:t xml:space="preserve"> in</w:t>
      </w:r>
      <w:r w:rsidR="004539A8">
        <w:rPr>
          <w:rFonts w:eastAsia="Times New Roman"/>
          <w:i/>
          <w:color w:val="000000"/>
          <w:sz w:val="22"/>
          <w:szCs w:val="22"/>
          <w:lang w:val="en-GB"/>
        </w:rPr>
        <w:t xml:space="preserve"> bold, TOs </w:t>
      </w:r>
      <w:r w:rsidR="0039151A">
        <w:rPr>
          <w:rFonts w:eastAsia="Times New Roman"/>
          <w:i/>
          <w:color w:val="000000"/>
          <w:sz w:val="22"/>
          <w:szCs w:val="22"/>
          <w:lang w:val="en-GB"/>
        </w:rPr>
        <w:t>with less supprt</w:t>
      </w:r>
      <w:r w:rsidR="005A78C2">
        <w:rPr>
          <w:rFonts w:eastAsia="Times New Roman"/>
          <w:i/>
          <w:color w:val="000000"/>
          <w:sz w:val="22"/>
          <w:szCs w:val="22"/>
          <w:lang w:val="en-GB"/>
        </w:rPr>
        <w:t xml:space="preserve"> </w:t>
      </w:r>
      <w:r w:rsidR="0039151A">
        <w:rPr>
          <w:rFonts w:eastAsia="Times New Roman"/>
          <w:i/>
          <w:color w:val="000000"/>
          <w:sz w:val="22"/>
          <w:szCs w:val="22"/>
          <w:lang w:val="en-GB"/>
        </w:rPr>
        <w:t xml:space="preserve">are shown in </w:t>
      </w:r>
      <w:r w:rsidR="005A78C2">
        <w:rPr>
          <w:rFonts w:eastAsia="Times New Roman"/>
          <w:i/>
          <w:color w:val="000000"/>
          <w:sz w:val="22"/>
          <w:szCs w:val="22"/>
          <w:lang w:val="en-GB"/>
        </w:rPr>
        <w:t>normal</w:t>
      </w:r>
      <w:r w:rsidR="0039151A">
        <w:rPr>
          <w:rFonts w:eastAsia="Times New Roman"/>
          <w:i/>
          <w:color w:val="000000"/>
          <w:sz w:val="22"/>
          <w:szCs w:val="22"/>
          <w:lang w:val="en-GB"/>
        </w:rPr>
        <w:t xml:space="preserve"> font</w:t>
      </w:r>
      <w:r w:rsidR="005A78C2">
        <w:rPr>
          <w:rFonts w:eastAsia="Times New Roman"/>
          <w:i/>
          <w:color w:val="000000"/>
          <w:sz w:val="22"/>
          <w:szCs w:val="22"/>
          <w:lang w:val="en-GB"/>
        </w:rPr>
        <w:t>, TOs with low support</w:t>
      </w:r>
      <w:r w:rsidR="004539A8">
        <w:rPr>
          <w:rFonts w:eastAsia="Times New Roman"/>
          <w:i/>
          <w:color w:val="000000"/>
          <w:sz w:val="22"/>
          <w:szCs w:val="22"/>
          <w:lang w:val="en-GB"/>
        </w:rPr>
        <w:t xml:space="preserve"> </w:t>
      </w:r>
      <w:r w:rsidR="0039151A">
        <w:rPr>
          <w:rFonts w:eastAsia="Times New Roman"/>
          <w:i/>
          <w:color w:val="000000"/>
          <w:sz w:val="22"/>
          <w:szCs w:val="22"/>
          <w:lang w:val="en-GB"/>
        </w:rPr>
        <w:t>are not shown</w:t>
      </w:r>
      <w:r w:rsidR="004539A8">
        <w:rPr>
          <w:rFonts w:eastAsia="Times New Roman"/>
          <w:i/>
          <w:color w:val="000000"/>
          <w:sz w:val="22"/>
          <w:szCs w:val="22"/>
          <w:lang w:val="en-GB"/>
        </w:rPr>
        <w:t>.</w:t>
      </w:r>
      <w:r>
        <w:rPr>
          <w:rFonts w:eastAsia="Times New Roman"/>
          <w:i/>
          <w:color w:val="000000"/>
          <w:sz w:val="22"/>
          <w:szCs w:val="22"/>
          <w:lang w:val="en-GB"/>
        </w:rPr>
        <w:t xml:space="preserve">   </w:t>
      </w:r>
    </w:p>
    <w:p w:rsidR="00E46F2A" w:rsidRPr="001B519D" w:rsidRDefault="00E46F2A" w:rsidP="00E46F2A">
      <w:pPr>
        <w:spacing w:before="120" w:after="0" w:line="264" w:lineRule="auto"/>
        <w:jc w:val="both"/>
        <w:rPr>
          <w:sz w:val="22"/>
          <w:szCs w:val="22"/>
          <w:lang w:val="en-GB"/>
        </w:rPr>
      </w:pPr>
      <w:r w:rsidRPr="00393004">
        <w:rPr>
          <w:sz w:val="22"/>
          <w:szCs w:val="22"/>
          <w:lang w:val="en-GB"/>
        </w:rPr>
        <w:t>Considering the need</w:t>
      </w:r>
      <w:r w:rsidR="00FD66D6" w:rsidRPr="00393004">
        <w:rPr>
          <w:sz w:val="22"/>
          <w:szCs w:val="22"/>
          <w:lang w:val="en-GB"/>
        </w:rPr>
        <w:t xml:space="preserve"> for </w:t>
      </w:r>
      <w:r w:rsidR="00780625" w:rsidRPr="00393004">
        <w:rPr>
          <w:sz w:val="22"/>
          <w:szCs w:val="22"/>
          <w:lang w:val="en-GB"/>
        </w:rPr>
        <w:t xml:space="preserve">the </w:t>
      </w:r>
      <w:r w:rsidR="00FD66D6" w:rsidRPr="00393004">
        <w:rPr>
          <w:sz w:val="22"/>
          <w:szCs w:val="22"/>
          <w:lang w:val="en-GB"/>
        </w:rPr>
        <w:t xml:space="preserve">Black Sea Basin strategy to concentrate on a limited number of themes in which concrete results can be obtained, and the stronger relevance of </w:t>
      </w:r>
      <w:r w:rsidR="00AF2D2A" w:rsidRPr="00393004">
        <w:rPr>
          <w:sz w:val="22"/>
          <w:szCs w:val="22"/>
          <w:lang w:val="en-GB"/>
        </w:rPr>
        <w:t xml:space="preserve">some priorities under </w:t>
      </w:r>
      <w:r w:rsidR="00FD66D6" w:rsidRPr="00393004">
        <w:rPr>
          <w:sz w:val="22"/>
          <w:szCs w:val="22"/>
          <w:lang w:val="en-GB"/>
        </w:rPr>
        <w:t xml:space="preserve">TO1 and TO6 </w:t>
      </w:r>
      <w:r w:rsidR="0039151A">
        <w:rPr>
          <w:sz w:val="22"/>
          <w:szCs w:val="22"/>
          <w:lang w:val="en-GB"/>
        </w:rPr>
        <w:t xml:space="preserve">indicated </w:t>
      </w:r>
      <w:r w:rsidR="00FD66D6" w:rsidRPr="00393004">
        <w:rPr>
          <w:sz w:val="22"/>
          <w:szCs w:val="22"/>
          <w:lang w:val="en-GB"/>
        </w:rPr>
        <w:t>throughout the analytical and consultation process</w:t>
      </w:r>
      <w:r w:rsidR="001232B2" w:rsidRPr="00393004">
        <w:rPr>
          <w:sz w:val="22"/>
          <w:szCs w:val="22"/>
          <w:lang w:val="en-GB"/>
        </w:rPr>
        <w:t>, these two</w:t>
      </w:r>
      <w:r w:rsidRPr="00393004">
        <w:rPr>
          <w:sz w:val="22"/>
          <w:szCs w:val="22"/>
          <w:lang w:val="en-GB"/>
        </w:rPr>
        <w:t xml:space="preserve"> objectives </w:t>
      </w:r>
      <w:r w:rsidR="0039151A">
        <w:rPr>
          <w:sz w:val="22"/>
          <w:szCs w:val="22"/>
          <w:lang w:val="en-GB"/>
        </w:rPr>
        <w:t>have been</w:t>
      </w:r>
      <w:r w:rsidRPr="00393004">
        <w:rPr>
          <w:sz w:val="22"/>
          <w:szCs w:val="22"/>
          <w:lang w:val="en-GB"/>
        </w:rPr>
        <w:t xml:space="preserve"> </w:t>
      </w:r>
      <w:r w:rsidR="00FD66D6" w:rsidRPr="00393004">
        <w:rPr>
          <w:sz w:val="22"/>
          <w:szCs w:val="22"/>
          <w:lang w:val="en-GB"/>
        </w:rPr>
        <w:t>selected for the strategy</w:t>
      </w:r>
      <w:r w:rsidR="001232B2" w:rsidRPr="00393004">
        <w:rPr>
          <w:sz w:val="22"/>
          <w:szCs w:val="22"/>
          <w:lang w:val="en-GB"/>
        </w:rPr>
        <w:t xml:space="preserve"> definition</w:t>
      </w:r>
      <w:r w:rsidR="00FD66D6" w:rsidRPr="002E7BCB">
        <w:rPr>
          <w:sz w:val="22"/>
          <w:szCs w:val="22"/>
          <w:lang w:val="en-GB"/>
        </w:rPr>
        <w:t>.</w:t>
      </w:r>
      <w:r w:rsidRPr="001B519D">
        <w:rPr>
          <w:sz w:val="22"/>
          <w:szCs w:val="22"/>
          <w:lang w:val="en-GB"/>
        </w:rPr>
        <w:t xml:space="preserve"> </w:t>
      </w:r>
    </w:p>
    <w:p w:rsidR="00E46F2A" w:rsidRDefault="00E46F2A" w:rsidP="005C4840">
      <w:pPr>
        <w:rPr>
          <w:rFonts w:eastAsia="Times New Roman"/>
          <w:i/>
          <w:color w:val="000000"/>
          <w:sz w:val="22"/>
          <w:szCs w:val="22"/>
          <w:lang w:val="en-GB"/>
        </w:rPr>
      </w:pPr>
    </w:p>
    <w:p w:rsidR="00E712CC" w:rsidRPr="00E52149" w:rsidRDefault="0094456D" w:rsidP="00E52149">
      <w:pPr>
        <w:pStyle w:val="Heading2"/>
        <w:spacing w:before="0" w:after="0" w:line="264" w:lineRule="auto"/>
        <w:jc w:val="left"/>
        <w:rPr>
          <w:sz w:val="2"/>
          <w:szCs w:val="2"/>
          <w:lang w:val="en-GB"/>
        </w:rPr>
      </w:pPr>
      <w:r>
        <w:rPr>
          <w:lang w:val="en-GB"/>
        </w:rPr>
        <w:br w:type="column"/>
      </w:r>
    </w:p>
    <w:p w:rsidR="000F5D2B" w:rsidRPr="001368E0" w:rsidRDefault="000F5D2B" w:rsidP="00EE604A">
      <w:pPr>
        <w:spacing w:line="264" w:lineRule="auto"/>
        <w:rPr>
          <w:bCs/>
          <w:color w:val="983620"/>
          <w:sz w:val="8"/>
          <w:szCs w:val="8"/>
          <w:lang w:val="en-GB"/>
        </w:rPr>
      </w:pPr>
    </w:p>
    <w:p w:rsidR="000F5D2B" w:rsidRPr="000F458E" w:rsidRDefault="000F5D2B" w:rsidP="007426FD">
      <w:pPr>
        <w:pStyle w:val="Heading1"/>
        <w:numPr>
          <w:ilvl w:val="1"/>
          <w:numId w:val="3"/>
        </w:numPr>
        <w:spacing w:before="120" w:after="0" w:line="264" w:lineRule="auto"/>
        <w:jc w:val="left"/>
        <w:rPr>
          <w:sz w:val="40"/>
          <w:szCs w:val="40"/>
          <w:lang w:val="en-GB"/>
        </w:rPr>
      </w:pPr>
      <w:bookmarkStart w:id="61" w:name="_Toc288133445"/>
      <w:r>
        <w:rPr>
          <w:sz w:val="40"/>
          <w:szCs w:val="40"/>
          <w:lang w:val="en-GB"/>
        </w:rPr>
        <w:t xml:space="preserve">Black Sea Basin </w:t>
      </w:r>
      <w:r w:rsidR="00B8000F">
        <w:rPr>
          <w:sz w:val="40"/>
          <w:szCs w:val="40"/>
          <w:lang w:val="en-GB"/>
        </w:rPr>
        <w:t xml:space="preserve">ENI CBC </w:t>
      </w:r>
      <w:r w:rsidR="00623541">
        <w:rPr>
          <w:sz w:val="40"/>
          <w:szCs w:val="40"/>
          <w:lang w:val="en-GB"/>
        </w:rPr>
        <w:t xml:space="preserve">programme </w:t>
      </w:r>
      <w:r>
        <w:rPr>
          <w:sz w:val="40"/>
          <w:szCs w:val="40"/>
          <w:lang w:val="en-GB"/>
        </w:rPr>
        <w:t>strategy</w:t>
      </w:r>
      <w:bookmarkEnd w:id="61"/>
    </w:p>
    <w:p w:rsidR="000F5D2B" w:rsidRDefault="000F5D2B" w:rsidP="00EE604A">
      <w:pPr>
        <w:spacing w:before="120" w:after="0" w:line="264" w:lineRule="auto"/>
        <w:rPr>
          <w:lang w:val="en-GB"/>
        </w:rPr>
      </w:pPr>
    </w:p>
    <w:p w:rsidR="00F16F0A" w:rsidRPr="0025034F" w:rsidRDefault="00F16F0A" w:rsidP="00F16F0A">
      <w:pPr>
        <w:pStyle w:val="Heading3"/>
        <w:spacing w:before="200" w:after="120" w:line="264" w:lineRule="auto"/>
        <w:rPr>
          <w:b/>
          <w:sz w:val="28"/>
          <w:szCs w:val="28"/>
          <w:lang w:val="en-US"/>
        </w:rPr>
      </w:pPr>
      <w:bookmarkStart w:id="62" w:name="_Toc276156670"/>
      <w:bookmarkStart w:id="63" w:name="_Toc288133446"/>
      <w:r w:rsidRPr="0025034F">
        <w:rPr>
          <w:b/>
          <w:sz w:val="28"/>
          <w:szCs w:val="28"/>
          <w:lang w:val="en-US"/>
        </w:rPr>
        <w:t>Wider objective</w:t>
      </w:r>
      <w:bookmarkEnd w:id="62"/>
      <w:bookmarkEnd w:id="63"/>
    </w:p>
    <w:p w:rsidR="00F16F0A" w:rsidRDefault="00F16F0A" w:rsidP="00F16F0A">
      <w:pPr>
        <w:autoSpaceDE w:val="0"/>
        <w:autoSpaceDN w:val="0"/>
        <w:adjustRightInd w:val="0"/>
        <w:spacing w:after="120" w:line="264" w:lineRule="auto"/>
        <w:jc w:val="both"/>
        <w:rPr>
          <w:sz w:val="22"/>
          <w:szCs w:val="22"/>
          <w:lang w:val="en-GB"/>
        </w:rPr>
      </w:pPr>
      <w:r>
        <w:rPr>
          <w:sz w:val="22"/>
          <w:szCs w:val="22"/>
          <w:lang w:val="en-GB"/>
        </w:rPr>
        <w:t xml:space="preserve">The Black Sea Basin </w:t>
      </w:r>
      <w:r w:rsidR="006860AD">
        <w:rPr>
          <w:sz w:val="22"/>
          <w:szCs w:val="22"/>
          <w:lang w:val="en-GB"/>
        </w:rPr>
        <w:t xml:space="preserve">ENI CBC </w:t>
      </w:r>
      <w:r>
        <w:rPr>
          <w:sz w:val="22"/>
          <w:szCs w:val="22"/>
          <w:lang w:val="en-GB"/>
        </w:rPr>
        <w:t xml:space="preserve">programme will contribute </w:t>
      </w:r>
      <w:r w:rsidRPr="006F2F26">
        <w:rPr>
          <w:sz w:val="22"/>
          <w:szCs w:val="22"/>
          <w:lang w:val="en-GB"/>
        </w:rPr>
        <w:t>to</w:t>
      </w:r>
      <w:r>
        <w:rPr>
          <w:sz w:val="22"/>
          <w:szCs w:val="22"/>
          <w:lang w:val="en-GB"/>
        </w:rPr>
        <w:t xml:space="preserve"> the ENI CBC overall aim to “</w:t>
      </w:r>
      <w:r w:rsidRPr="004369F3">
        <w:rPr>
          <w:i/>
          <w:sz w:val="22"/>
          <w:szCs w:val="22"/>
          <w:lang w:val="en-GB"/>
        </w:rPr>
        <w:t>promote co-operation across the borders between EU Member States and the countries on the European Neighbourhood and Russian Federation</w:t>
      </w:r>
      <w:r>
        <w:rPr>
          <w:sz w:val="22"/>
          <w:szCs w:val="22"/>
          <w:lang w:val="en-GB"/>
        </w:rPr>
        <w:t xml:space="preserve">”. </w:t>
      </w:r>
    </w:p>
    <w:p w:rsidR="00F16F0A" w:rsidRPr="006F2F26" w:rsidRDefault="00F16F0A" w:rsidP="00F16F0A">
      <w:pPr>
        <w:autoSpaceDE w:val="0"/>
        <w:autoSpaceDN w:val="0"/>
        <w:adjustRightInd w:val="0"/>
        <w:spacing w:after="120" w:line="264" w:lineRule="auto"/>
        <w:jc w:val="both"/>
        <w:rPr>
          <w:sz w:val="22"/>
          <w:szCs w:val="22"/>
          <w:lang w:val="en-GB"/>
        </w:rPr>
      </w:pPr>
      <w:r>
        <w:rPr>
          <w:sz w:val="22"/>
          <w:szCs w:val="22"/>
          <w:lang w:val="en-GB"/>
        </w:rPr>
        <w:t xml:space="preserve">More specifically, the programme will contribute to two of the ENI CBC </w:t>
      </w:r>
      <w:r w:rsidRPr="006F2F26">
        <w:rPr>
          <w:sz w:val="22"/>
          <w:szCs w:val="22"/>
          <w:lang w:val="en-GB"/>
        </w:rPr>
        <w:t>overarching strategic objectives:</w:t>
      </w:r>
    </w:p>
    <w:p w:rsidR="00F16F0A" w:rsidRPr="000F5D2B" w:rsidRDefault="00F16F0A" w:rsidP="00F16F0A">
      <w:pPr>
        <w:pStyle w:val="ListParagraph"/>
        <w:numPr>
          <w:ilvl w:val="0"/>
          <w:numId w:val="7"/>
        </w:numPr>
        <w:autoSpaceDE w:val="0"/>
        <w:autoSpaceDN w:val="0"/>
        <w:adjustRightInd w:val="0"/>
        <w:spacing w:after="120" w:line="264" w:lineRule="auto"/>
        <w:ind w:left="714" w:hanging="357"/>
        <w:rPr>
          <w:sz w:val="22"/>
          <w:szCs w:val="22"/>
          <w:lang w:val="en-GB"/>
        </w:rPr>
      </w:pPr>
      <w:r w:rsidRPr="000F5D2B">
        <w:rPr>
          <w:sz w:val="22"/>
          <w:szCs w:val="22"/>
          <w:lang w:val="en-GB"/>
        </w:rPr>
        <w:t>Promote economic and social development in regions on both sides of common borders</w:t>
      </w:r>
    </w:p>
    <w:p w:rsidR="00F16F0A" w:rsidRPr="000F5D2B" w:rsidRDefault="00F16F0A" w:rsidP="00F16F0A">
      <w:pPr>
        <w:pStyle w:val="ListParagraph"/>
        <w:numPr>
          <w:ilvl w:val="0"/>
          <w:numId w:val="7"/>
        </w:numPr>
        <w:autoSpaceDE w:val="0"/>
        <w:autoSpaceDN w:val="0"/>
        <w:adjustRightInd w:val="0"/>
        <w:spacing w:after="120" w:line="264" w:lineRule="auto"/>
        <w:ind w:left="714" w:hanging="357"/>
        <w:rPr>
          <w:sz w:val="22"/>
          <w:szCs w:val="22"/>
          <w:lang w:val="en-GB"/>
        </w:rPr>
      </w:pPr>
      <w:r w:rsidRPr="000F5D2B">
        <w:rPr>
          <w:sz w:val="22"/>
          <w:szCs w:val="22"/>
          <w:lang w:val="en-GB"/>
        </w:rPr>
        <w:t>Address common challenges in environment, public health, safety and security</w:t>
      </w:r>
    </w:p>
    <w:p w:rsidR="00F16F0A" w:rsidRDefault="00F16F0A" w:rsidP="00F16F0A">
      <w:pPr>
        <w:spacing w:before="240" w:after="60" w:line="264" w:lineRule="auto"/>
        <w:rPr>
          <w:sz w:val="22"/>
          <w:szCs w:val="22"/>
          <w:lang w:val="en-GB"/>
        </w:rPr>
      </w:pPr>
      <w:r>
        <w:rPr>
          <w:sz w:val="22"/>
          <w:szCs w:val="22"/>
          <w:lang w:val="en-GB"/>
        </w:rPr>
        <w:t xml:space="preserve">The wider Black Sea Basin ENI CBC programme objective can be defined as: </w:t>
      </w:r>
    </w:p>
    <w:p w:rsidR="00F16F0A" w:rsidRPr="005E7D92" w:rsidRDefault="00F16F0A" w:rsidP="00F16F0A">
      <w:pPr>
        <w:pBdr>
          <w:top w:val="single" w:sz="4" w:space="1" w:color="auto" w:shadow="1"/>
          <w:left w:val="single" w:sz="4" w:space="4" w:color="auto" w:shadow="1"/>
          <w:bottom w:val="single" w:sz="4" w:space="1" w:color="auto" w:shadow="1"/>
          <w:right w:val="single" w:sz="4" w:space="4" w:color="auto" w:shadow="1"/>
        </w:pBdr>
        <w:spacing w:after="60" w:line="264" w:lineRule="auto"/>
        <w:jc w:val="both"/>
        <w:rPr>
          <w:b/>
          <w:lang w:val="en-GB"/>
        </w:rPr>
      </w:pPr>
      <w:r w:rsidRPr="005E7D92">
        <w:rPr>
          <w:b/>
          <w:lang w:val="en-GB"/>
        </w:rPr>
        <w:t>Improve the welfare of the people in the Black Sea Basin regions through sustainable growth and</w:t>
      </w:r>
      <w:r>
        <w:rPr>
          <w:b/>
          <w:lang w:val="en-GB"/>
        </w:rPr>
        <w:t xml:space="preserve"> joint environmental protection</w:t>
      </w:r>
    </w:p>
    <w:p w:rsidR="00F16F0A" w:rsidRPr="0025034F" w:rsidRDefault="00F16F0A" w:rsidP="00793EB8">
      <w:pPr>
        <w:pStyle w:val="Heading3"/>
        <w:spacing w:before="360" w:after="240" w:line="264" w:lineRule="auto"/>
        <w:rPr>
          <w:b/>
          <w:sz w:val="28"/>
          <w:szCs w:val="28"/>
          <w:lang w:val="en-US"/>
        </w:rPr>
      </w:pPr>
      <w:bookmarkStart w:id="64" w:name="_Toc276156671"/>
      <w:bookmarkStart w:id="65" w:name="_Toc288133447"/>
      <w:r w:rsidRPr="0025034F">
        <w:rPr>
          <w:b/>
          <w:sz w:val="28"/>
          <w:szCs w:val="28"/>
          <w:lang w:val="en-US"/>
        </w:rPr>
        <w:t>Horizontal issues and modalities</w:t>
      </w:r>
      <w:bookmarkEnd w:id="64"/>
      <w:bookmarkEnd w:id="65"/>
    </w:p>
    <w:p w:rsidR="00F16F0A" w:rsidRDefault="00F16F0A" w:rsidP="00F16F0A">
      <w:pPr>
        <w:autoSpaceDE w:val="0"/>
        <w:autoSpaceDN w:val="0"/>
        <w:adjustRightInd w:val="0"/>
        <w:spacing w:after="120" w:line="264" w:lineRule="auto"/>
        <w:jc w:val="both"/>
        <w:rPr>
          <w:sz w:val="22"/>
          <w:szCs w:val="22"/>
          <w:lang w:val="en-GB"/>
        </w:rPr>
      </w:pPr>
      <w:r>
        <w:rPr>
          <w:sz w:val="22"/>
          <w:szCs w:val="22"/>
          <w:lang w:val="en-GB"/>
        </w:rPr>
        <w:t>A number of important elements for successful, sustained and inclusive cross-border cooperation will be supported as horizontal issues or modalities to be deployed across any of the priorities selected, rather than as separate thematic priorities. They include:</w:t>
      </w:r>
    </w:p>
    <w:p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sidRPr="00284D16">
        <w:rPr>
          <w:sz w:val="22"/>
          <w:szCs w:val="22"/>
          <w:lang w:val="en-GB"/>
        </w:rPr>
        <w:t>So-called ‘</w:t>
      </w:r>
      <w:r>
        <w:rPr>
          <w:sz w:val="22"/>
          <w:szCs w:val="22"/>
          <w:lang w:val="en-GB"/>
        </w:rPr>
        <w:t>p</w:t>
      </w:r>
      <w:r w:rsidRPr="00284D16">
        <w:rPr>
          <w:sz w:val="22"/>
          <w:szCs w:val="22"/>
          <w:lang w:val="en-GB"/>
        </w:rPr>
        <w:t xml:space="preserve">eople-to-people’ actions </w:t>
      </w:r>
      <w:r>
        <w:rPr>
          <w:sz w:val="22"/>
          <w:szCs w:val="22"/>
          <w:lang w:val="en-GB"/>
        </w:rPr>
        <w:t xml:space="preserve">i.e. </w:t>
      </w:r>
      <w:r w:rsidRPr="00284D16">
        <w:rPr>
          <w:sz w:val="22"/>
          <w:szCs w:val="22"/>
          <w:lang w:val="en-GB"/>
        </w:rPr>
        <w:t>enhanced cooperation among local and regional autho</w:t>
      </w:r>
      <w:r>
        <w:rPr>
          <w:sz w:val="22"/>
          <w:szCs w:val="22"/>
          <w:lang w:val="en-GB"/>
        </w:rPr>
        <w:t>rities, NGOs and other civil society groups, universities and schools, chambers of commerce etc.</w:t>
      </w:r>
    </w:p>
    <w:p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Promotion of local and regional good governance, capacity-building components for local/regional authorities and agencies and NGOs.</w:t>
      </w:r>
    </w:p>
    <w:p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Promotion of regional integration/coordination through regional platforms and long-lasting partnerships at organisation levels (among institutes, u</w:t>
      </w:r>
      <w:r w:rsidRPr="00F600C1">
        <w:rPr>
          <w:sz w:val="22"/>
          <w:szCs w:val="22"/>
          <w:lang w:val="en-GB"/>
        </w:rPr>
        <w:t>niversities, scientific commun</w:t>
      </w:r>
      <w:r>
        <w:rPr>
          <w:sz w:val="22"/>
          <w:szCs w:val="22"/>
          <w:lang w:val="en-GB"/>
        </w:rPr>
        <w:t xml:space="preserve">ity, public institutions, local/regional </w:t>
      </w:r>
      <w:r w:rsidRPr="00F600C1">
        <w:rPr>
          <w:sz w:val="22"/>
          <w:szCs w:val="22"/>
          <w:lang w:val="en-GB"/>
        </w:rPr>
        <w:t>administrations</w:t>
      </w:r>
      <w:r>
        <w:rPr>
          <w:sz w:val="22"/>
          <w:szCs w:val="22"/>
          <w:lang w:val="en-GB"/>
        </w:rPr>
        <w:t xml:space="preserve"> and agencies</w:t>
      </w:r>
      <w:r w:rsidRPr="00F600C1">
        <w:rPr>
          <w:sz w:val="22"/>
          <w:szCs w:val="22"/>
          <w:lang w:val="en-GB"/>
        </w:rPr>
        <w:t>, NGOs</w:t>
      </w:r>
      <w:r>
        <w:rPr>
          <w:sz w:val="22"/>
          <w:szCs w:val="22"/>
          <w:lang w:val="en-GB"/>
        </w:rPr>
        <w:t>,</w:t>
      </w:r>
      <w:r w:rsidRPr="00F600C1">
        <w:rPr>
          <w:sz w:val="22"/>
          <w:szCs w:val="22"/>
          <w:lang w:val="en-GB"/>
        </w:rPr>
        <w:t xml:space="preserve"> etc.)</w:t>
      </w:r>
      <w:r>
        <w:rPr>
          <w:sz w:val="22"/>
          <w:szCs w:val="22"/>
          <w:lang w:val="en-GB"/>
        </w:rPr>
        <w:t>.</w:t>
      </w:r>
    </w:p>
    <w:p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The use and development of relevant information and communication technologies to enhance project effectiveness, regional integration/coordination and synergies on results.</w:t>
      </w:r>
    </w:p>
    <w:p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 xml:space="preserve">Promotion of gender equality, and opportunities for youth. </w:t>
      </w:r>
    </w:p>
    <w:p w:rsidR="00F16F0A" w:rsidRPr="0025034F" w:rsidRDefault="00F16F0A" w:rsidP="00793EB8">
      <w:pPr>
        <w:pStyle w:val="Heading3"/>
        <w:spacing w:before="360" w:after="240" w:line="264" w:lineRule="auto"/>
        <w:rPr>
          <w:b/>
          <w:sz w:val="28"/>
          <w:szCs w:val="28"/>
          <w:lang w:val="en-GB"/>
        </w:rPr>
      </w:pPr>
      <w:bookmarkStart w:id="66" w:name="_Toc276156672"/>
      <w:bookmarkStart w:id="67" w:name="_Toc288133448"/>
      <w:r w:rsidRPr="0025034F">
        <w:rPr>
          <w:b/>
          <w:sz w:val="28"/>
          <w:szCs w:val="28"/>
          <w:lang w:val="en-GB"/>
        </w:rPr>
        <w:t>Thematic objectives and priorities</w:t>
      </w:r>
      <w:bookmarkEnd w:id="66"/>
      <w:bookmarkEnd w:id="67"/>
      <w:r w:rsidRPr="0025034F">
        <w:rPr>
          <w:b/>
          <w:sz w:val="28"/>
          <w:szCs w:val="28"/>
          <w:lang w:val="en-GB"/>
        </w:rPr>
        <w:t xml:space="preserve"> </w:t>
      </w:r>
    </w:p>
    <w:p w:rsidR="00F16F0A" w:rsidRDefault="00F16F0A" w:rsidP="00F16F0A">
      <w:pPr>
        <w:spacing w:before="120" w:after="0" w:line="264" w:lineRule="auto"/>
        <w:jc w:val="both"/>
        <w:rPr>
          <w:sz w:val="22"/>
          <w:szCs w:val="22"/>
          <w:lang w:val="en-GB"/>
        </w:rPr>
      </w:pPr>
      <w:r>
        <w:rPr>
          <w:sz w:val="22"/>
          <w:szCs w:val="22"/>
          <w:lang w:val="en-GB"/>
        </w:rPr>
        <w:t>The completed analytical and consultation process for the Black Sea Basin strongly supports the selection of specific priorities under two thematic objectives among those proposed in the ENI CBC strategy document:</w:t>
      </w:r>
    </w:p>
    <w:p w:rsidR="00F16F0A" w:rsidRDefault="00F16F0A" w:rsidP="00EE745F">
      <w:pPr>
        <w:pStyle w:val="ListParagraph"/>
        <w:numPr>
          <w:ilvl w:val="0"/>
          <w:numId w:val="12"/>
        </w:numPr>
        <w:spacing w:before="120" w:after="0" w:line="264" w:lineRule="auto"/>
        <w:jc w:val="both"/>
        <w:rPr>
          <w:sz w:val="22"/>
          <w:szCs w:val="22"/>
          <w:lang w:val="en-GB"/>
        </w:rPr>
      </w:pPr>
      <w:r>
        <w:rPr>
          <w:sz w:val="22"/>
          <w:szCs w:val="22"/>
          <w:lang w:val="en-GB"/>
        </w:rPr>
        <w:t>Thematic Objective 1. Business and SME development</w:t>
      </w:r>
    </w:p>
    <w:p w:rsidR="00F16F0A" w:rsidRPr="00D269DD" w:rsidRDefault="00F16F0A" w:rsidP="00EE745F">
      <w:pPr>
        <w:pStyle w:val="ListParagraph"/>
        <w:numPr>
          <w:ilvl w:val="0"/>
          <w:numId w:val="12"/>
        </w:numPr>
        <w:spacing w:before="120" w:after="0" w:line="264" w:lineRule="auto"/>
        <w:jc w:val="both"/>
        <w:rPr>
          <w:sz w:val="22"/>
          <w:szCs w:val="22"/>
          <w:lang w:val="en-GB"/>
        </w:rPr>
      </w:pPr>
      <w:r>
        <w:rPr>
          <w:sz w:val="22"/>
          <w:szCs w:val="22"/>
          <w:lang w:val="en-GB"/>
        </w:rPr>
        <w:t xml:space="preserve">Thematic Objective 6. </w:t>
      </w:r>
      <w:r w:rsidR="007E7479" w:rsidRPr="00F06BD2">
        <w:rPr>
          <w:rFonts w:eastAsia="Calibri"/>
          <w:sz w:val="22"/>
          <w:szCs w:val="22"/>
          <w:lang w:val="en-GB"/>
        </w:rPr>
        <w:t>Environmental protection, and climate change mitigation and adaptation</w:t>
      </w:r>
    </w:p>
    <w:p w:rsidR="00F16F0A" w:rsidRDefault="00F16F0A" w:rsidP="00F16F0A">
      <w:pPr>
        <w:spacing w:before="120" w:after="0" w:line="264" w:lineRule="auto"/>
        <w:jc w:val="both"/>
        <w:rPr>
          <w:sz w:val="22"/>
          <w:szCs w:val="22"/>
          <w:lang w:val="en-GB"/>
        </w:rPr>
      </w:pPr>
    </w:p>
    <w:p w:rsidR="00F16F0A" w:rsidRPr="00EE3C52" w:rsidRDefault="00F16F0A" w:rsidP="00F16F0A">
      <w:pPr>
        <w:pStyle w:val="ListBullet"/>
        <w:spacing w:after="0"/>
        <w:ind w:left="357" w:hanging="357"/>
        <w:jc w:val="both"/>
        <w:rPr>
          <w:sz w:val="22"/>
          <w:szCs w:val="22"/>
          <w:lang w:val="en-GB"/>
        </w:rPr>
      </w:pPr>
      <w:r w:rsidRPr="00EE3C52">
        <w:rPr>
          <w:sz w:val="22"/>
          <w:szCs w:val="22"/>
          <w:lang w:val="en-GB"/>
        </w:rPr>
        <w:t xml:space="preserve">The Black Sea Basin programme will </w:t>
      </w:r>
      <w:r>
        <w:rPr>
          <w:sz w:val="22"/>
          <w:szCs w:val="22"/>
          <w:lang w:val="en-GB"/>
        </w:rPr>
        <w:t xml:space="preserve">contribute to the achievement of </w:t>
      </w:r>
      <w:r w:rsidRPr="00EE3C52">
        <w:rPr>
          <w:sz w:val="22"/>
          <w:szCs w:val="22"/>
          <w:lang w:val="en-GB"/>
        </w:rPr>
        <w:t>ENI CBC T</w:t>
      </w:r>
      <w:r>
        <w:rPr>
          <w:sz w:val="22"/>
          <w:szCs w:val="22"/>
          <w:lang w:val="en-GB"/>
        </w:rPr>
        <w:t>hematic Objective 1. ‘</w:t>
      </w:r>
      <w:r w:rsidRPr="00EE3C52">
        <w:rPr>
          <w:sz w:val="22"/>
          <w:szCs w:val="22"/>
          <w:lang w:val="en-GB"/>
        </w:rPr>
        <w:t>Business and SME development</w:t>
      </w:r>
      <w:r>
        <w:rPr>
          <w:sz w:val="22"/>
          <w:szCs w:val="22"/>
          <w:lang w:val="en-GB"/>
        </w:rPr>
        <w:t xml:space="preserve">’ </w:t>
      </w:r>
      <w:r w:rsidRPr="00EE3C52">
        <w:rPr>
          <w:sz w:val="22"/>
          <w:szCs w:val="22"/>
          <w:lang w:val="en-GB"/>
        </w:rPr>
        <w:t xml:space="preserve">via </w:t>
      </w:r>
      <w:r>
        <w:rPr>
          <w:sz w:val="22"/>
          <w:szCs w:val="22"/>
          <w:lang w:val="en-GB"/>
        </w:rPr>
        <w:t xml:space="preserve">the </w:t>
      </w:r>
      <w:r w:rsidRPr="00EE3C52">
        <w:rPr>
          <w:sz w:val="22"/>
          <w:szCs w:val="22"/>
          <w:lang w:val="en-GB"/>
        </w:rPr>
        <w:t>programm</w:t>
      </w:r>
      <w:r>
        <w:rPr>
          <w:sz w:val="22"/>
          <w:szCs w:val="22"/>
          <w:lang w:val="en-GB"/>
        </w:rPr>
        <w:t xml:space="preserve">e </w:t>
      </w:r>
      <w:r w:rsidRPr="00EE3C52">
        <w:rPr>
          <w:sz w:val="22"/>
          <w:szCs w:val="22"/>
          <w:lang w:val="en-GB"/>
        </w:rPr>
        <w:t xml:space="preserve">objective: </w:t>
      </w:r>
    </w:p>
    <w:p w:rsidR="00F16F0A" w:rsidRPr="00393004"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120" w:line="264" w:lineRule="auto"/>
        <w:jc w:val="both"/>
        <w:rPr>
          <w:b/>
          <w:lang w:val="en-GB"/>
        </w:rPr>
      </w:pPr>
      <w:r w:rsidRPr="00393004">
        <w:rPr>
          <w:b/>
          <w:lang w:val="en-GB"/>
        </w:rPr>
        <w:t>Objective 1. Promote business and entrepreneurship within the Black Sea Basin</w:t>
      </w:r>
    </w:p>
    <w:p w:rsidR="00F16F0A" w:rsidRPr="00B2799E" w:rsidRDefault="00F16F0A" w:rsidP="00F16F0A">
      <w:pPr>
        <w:pStyle w:val="ListBullet"/>
        <w:numPr>
          <w:ilvl w:val="0"/>
          <w:numId w:val="0"/>
        </w:numPr>
        <w:spacing w:before="120"/>
        <w:ind w:left="357"/>
        <w:jc w:val="both"/>
        <w:rPr>
          <w:lang w:val="en-GB"/>
        </w:rPr>
      </w:pPr>
      <w:r w:rsidRPr="008B58B6">
        <w:rPr>
          <w:b/>
          <w:sz w:val="22"/>
          <w:szCs w:val="22"/>
          <w:highlight w:val="yellow"/>
          <w:lang w:val="en-GB"/>
        </w:rPr>
        <w:t xml:space="preserve"> </w:t>
      </w:r>
      <w:r w:rsidR="006102F6">
        <w:rPr>
          <w:noProof/>
          <w:sz w:val="22"/>
          <w:szCs w:val="22"/>
          <w:lang w:val="ro-RO" w:eastAsia="ro-RO"/>
        </w:rPr>
        <w:drawing>
          <wp:inline distT="0" distB="0" distL="0" distR="0">
            <wp:extent cx="6703703" cy="1761991"/>
            <wp:effectExtent l="38100" t="19050" r="20947" b="0"/>
            <wp:docPr id="39" name="Diagramme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F16F0A" w:rsidRPr="00393004" w:rsidRDefault="00F16F0A" w:rsidP="00F16F0A">
      <w:pPr>
        <w:spacing w:before="120" w:after="0" w:line="264" w:lineRule="auto"/>
        <w:jc w:val="both"/>
        <w:rPr>
          <w:sz w:val="22"/>
          <w:szCs w:val="22"/>
          <w:lang w:val="en-GB"/>
        </w:rPr>
      </w:pPr>
      <w:r w:rsidRPr="00393004">
        <w:rPr>
          <w:sz w:val="22"/>
          <w:szCs w:val="22"/>
          <w:lang w:val="en-GB"/>
        </w:rPr>
        <w:t>The programme objective will be addressed through two priorities, 1.1 and 1.2 defined for the Black Sea Basin and described below.</w:t>
      </w:r>
    </w:p>
    <w:p w:rsidR="00F16F0A" w:rsidRPr="00764320"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120" w:line="264" w:lineRule="auto"/>
        <w:jc w:val="both"/>
        <w:rPr>
          <w:b/>
          <w:lang w:val="en-GB"/>
        </w:rPr>
      </w:pPr>
      <w:r w:rsidRPr="00393004">
        <w:rPr>
          <w:b/>
          <w:lang w:val="en-GB"/>
        </w:rPr>
        <w:t>Priority 1.1 – Jointly promote business and entrepreneurship in the tourism and cultural sectors</w:t>
      </w:r>
      <w:r w:rsidRPr="00764320">
        <w:rPr>
          <w:b/>
          <w:lang w:val="en-GB"/>
        </w:rPr>
        <w:t xml:space="preserve"> </w:t>
      </w:r>
    </w:p>
    <w:p w:rsidR="00F16F0A" w:rsidRPr="00B52A32" w:rsidRDefault="00F16F0A" w:rsidP="00F16F0A">
      <w:pPr>
        <w:spacing w:before="120" w:after="120" w:line="264" w:lineRule="auto"/>
        <w:rPr>
          <w:i/>
          <w:sz w:val="22"/>
          <w:szCs w:val="22"/>
          <w:lang w:val="en-GB"/>
        </w:rPr>
      </w:pPr>
      <w:r w:rsidRPr="00B52A32">
        <w:rPr>
          <w:i/>
          <w:sz w:val="22"/>
          <w:szCs w:val="22"/>
          <w:lang w:val="en-GB"/>
        </w:rPr>
        <w:t xml:space="preserve">Justification </w:t>
      </w:r>
      <w:r>
        <w:rPr>
          <w:i/>
          <w:sz w:val="22"/>
          <w:szCs w:val="22"/>
          <w:lang w:val="en-GB"/>
        </w:rPr>
        <w:t>for the definition of Priority 1.1</w:t>
      </w:r>
      <w:r w:rsidRPr="00B52A32">
        <w:rPr>
          <w:i/>
          <w:sz w:val="22"/>
          <w:szCs w:val="22"/>
          <w:lang w:val="en-GB"/>
        </w:rPr>
        <w:t>:</w:t>
      </w:r>
    </w:p>
    <w:p w:rsidR="00F16F0A" w:rsidRPr="00393004" w:rsidRDefault="00F16F0A" w:rsidP="00EE745F">
      <w:pPr>
        <w:pStyle w:val="ListParagraph"/>
        <w:numPr>
          <w:ilvl w:val="0"/>
          <w:numId w:val="14"/>
        </w:numPr>
        <w:spacing w:before="120" w:after="120" w:line="264" w:lineRule="auto"/>
        <w:ind w:left="714" w:hanging="357"/>
        <w:jc w:val="both"/>
        <w:rPr>
          <w:sz w:val="22"/>
          <w:szCs w:val="22"/>
          <w:lang w:val="en-GB"/>
        </w:rPr>
      </w:pPr>
      <w:r w:rsidRPr="001B343A">
        <w:rPr>
          <w:sz w:val="22"/>
          <w:szCs w:val="22"/>
          <w:lang w:val="en-GB"/>
        </w:rPr>
        <w:t xml:space="preserve">Tourism sector </w:t>
      </w:r>
      <w:r>
        <w:rPr>
          <w:sz w:val="22"/>
          <w:szCs w:val="22"/>
          <w:lang w:val="en-GB"/>
        </w:rPr>
        <w:t>development i</w:t>
      </w:r>
      <w:r w:rsidRPr="001B343A">
        <w:rPr>
          <w:sz w:val="22"/>
          <w:szCs w:val="22"/>
          <w:lang w:val="en-GB"/>
        </w:rPr>
        <w:t>s strongly supported by the socio-economic and the SWOT analyses</w:t>
      </w:r>
      <w:r>
        <w:rPr>
          <w:sz w:val="22"/>
          <w:szCs w:val="22"/>
          <w:lang w:val="en-GB"/>
        </w:rPr>
        <w:t xml:space="preserve">. It has a </w:t>
      </w:r>
      <w:r w:rsidRPr="001B343A">
        <w:rPr>
          <w:sz w:val="22"/>
          <w:szCs w:val="22"/>
          <w:lang w:val="en-GB"/>
        </w:rPr>
        <w:t xml:space="preserve">very positive impact on employment and income, </w:t>
      </w:r>
      <w:r>
        <w:rPr>
          <w:sz w:val="22"/>
          <w:szCs w:val="22"/>
          <w:lang w:val="en-GB"/>
        </w:rPr>
        <w:t xml:space="preserve">it is one of the fastest-growing sectors and still has </w:t>
      </w:r>
      <w:r w:rsidRPr="001B343A">
        <w:rPr>
          <w:sz w:val="22"/>
          <w:szCs w:val="22"/>
          <w:lang w:val="en-GB"/>
        </w:rPr>
        <w:t xml:space="preserve">strong </w:t>
      </w:r>
      <w:r w:rsidRPr="00393004">
        <w:rPr>
          <w:sz w:val="22"/>
          <w:szCs w:val="22"/>
          <w:lang w:val="en-GB"/>
        </w:rPr>
        <w:t xml:space="preserve">growth prospects. The Black Sea Basin also has a rich cultural heritage and </w:t>
      </w:r>
      <w:r>
        <w:rPr>
          <w:sz w:val="22"/>
          <w:szCs w:val="22"/>
          <w:lang w:val="en-GB"/>
        </w:rPr>
        <w:t>valuable</w:t>
      </w:r>
      <w:r w:rsidRPr="00393004">
        <w:rPr>
          <w:sz w:val="22"/>
          <w:szCs w:val="22"/>
          <w:lang w:val="en-GB"/>
        </w:rPr>
        <w:t xml:space="preserve"> cultural assets. </w:t>
      </w:r>
    </w:p>
    <w:p w:rsidR="00F16F0A" w:rsidRPr="00393004" w:rsidRDefault="00F16F0A" w:rsidP="00EE745F">
      <w:pPr>
        <w:pStyle w:val="ListParagraph"/>
        <w:numPr>
          <w:ilvl w:val="0"/>
          <w:numId w:val="14"/>
        </w:numPr>
        <w:spacing w:before="120" w:after="120" w:line="264" w:lineRule="auto"/>
        <w:ind w:left="714" w:hanging="357"/>
        <w:jc w:val="both"/>
        <w:rPr>
          <w:sz w:val="22"/>
          <w:szCs w:val="22"/>
          <w:lang w:val="et-EE"/>
        </w:rPr>
      </w:pPr>
      <w:r w:rsidRPr="00393004">
        <w:rPr>
          <w:sz w:val="22"/>
          <w:szCs w:val="22"/>
          <w:lang w:val="en-GB"/>
        </w:rPr>
        <w:t>Both the questionnaire and</w:t>
      </w:r>
      <w:r w:rsidRPr="00393004">
        <w:rPr>
          <w:sz w:val="22"/>
          <w:szCs w:val="22"/>
          <w:lang w:val="et-EE"/>
        </w:rPr>
        <w:t xml:space="preserve"> the results of the calls analyses show there is a clear interest in tourism projects. Previous calls also show an interest in cultural projects, often linked to tourism development.</w:t>
      </w:r>
    </w:p>
    <w:p w:rsidR="00F16F0A" w:rsidRPr="00393004" w:rsidRDefault="00F16F0A" w:rsidP="00EE745F">
      <w:pPr>
        <w:pStyle w:val="ListParagraph"/>
        <w:numPr>
          <w:ilvl w:val="0"/>
          <w:numId w:val="14"/>
        </w:numPr>
        <w:spacing w:before="120" w:after="120" w:line="264" w:lineRule="auto"/>
        <w:ind w:left="714" w:hanging="357"/>
        <w:jc w:val="both"/>
        <w:rPr>
          <w:sz w:val="22"/>
          <w:szCs w:val="22"/>
          <w:lang w:val="en-GB"/>
        </w:rPr>
      </w:pPr>
      <w:r w:rsidRPr="00393004">
        <w:rPr>
          <w:sz w:val="22"/>
          <w:szCs w:val="22"/>
          <w:lang w:val="en-GB"/>
        </w:rPr>
        <w:t>Tourism relevance to CBC was clearly confirmed during the consultation process</w:t>
      </w:r>
      <w:r>
        <w:rPr>
          <w:sz w:val="22"/>
          <w:szCs w:val="22"/>
          <w:lang w:val="en-GB"/>
        </w:rPr>
        <w:t xml:space="preserve"> while</w:t>
      </w:r>
      <w:r w:rsidRPr="00393004">
        <w:rPr>
          <w:sz w:val="22"/>
          <w:szCs w:val="22"/>
          <w:lang w:val="en-GB"/>
        </w:rPr>
        <w:t xml:space="preserve"> several countries underlined the importance of the cultural sector. </w:t>
      </w:r>
    </w:p>
    <w:p w:rsidR="00F16F0A" w:rsidRDefault="00F16F0A" w:rsidP="00F16F0A">
      <w:pPr>
        <w:spacing w:before="60" w:after="0" w:line="264" w:lineRule="auto"/>
        <w:jc w:val="both"/>
        <w:rPr>
          <w:i/>
          <w:sz w:val="22"/>
          <w:szCs w:val="22"/>
          <w:lang w:val="en-GB"/>
        </w:rPr>
      </w:pPr>
      <w:r>
        <w:rPr>
          <w:i/>
          <w:sz w:val="22"/>
          <w:szCs w:val="22"/>
          <w:lang w:val="en-GB"/>
        </w:rPr>
        <w:t>Expected result under Priority 1.1:</w:t>
      </w:r>
    </w:p>
    <w:p w:rsidR="00F16F0A" w:rsidRPr="00BC2054" w:rsidRDefault="00F16F0A" w:rsidP="00F16F0A">
      <w:pPr>
        <w:spacing w:before="60" w:after="0" w:line="264" w:lineRule="auto"/>
        <w:ind w:firstLine="720"/>
        <w:jc w:val="both"/>
        <w:rPr>
          <w:sz w:val="22"/>
          <w:szCs w:val="22"/>
          <w:lang w:val="en-GB"/>
        </w:rPr>
      </w:pPr>
      <w:r w:rsidRPr="0035573F">
        <w:rPr>
          <w:sz w:val="22"/>
          <w:szCs w:val="22"/>
          <w:lang w:val="en-GB"/>
        </w:rPr>
        <w:t>Stronger cross-border business opportunities in the tourism and cultural sectors in the Black Sea Basin</w:t>
      </w:r>
    </w:p>
    <w:p w:rsidR="00F16F0A" w:rsidRPr="00B52A32" w:rsidRDefault="00F16F0A" w:rsidP="00F16F0A">
      <w:pPr>
        <w:spacing w:before="120" w:after="120" w:line="264" w:lineRule="auto"/>
        <w:jc w:val="both"/>
        <w:rPr>
          <w:i/>
          <w:sz w:val="22"/>
          <w:szCs w:val="22"/>
          <w:lang w:val="en-GB"/>
        </w:rPr>
      </w:pPr>
      <w:r w:rsidRPr="00B52A32">
        <w:rPr>
          <w:i/>
          <w:sz w:val="22"/>
          <w:szCs w:val="22"/>
          <w:lang w:val="en-GB"/>
        </w:rPr>
        <w:t>Indicative activiti</w:t>
      </w:r>
      <w:r>
        <w:rPr>
          <w:i/>
          <w:sz w:val="22"/>
          <w:szCs w:val="22"/>
          <w:lang w:val="en-GB"/>
        </w:rPr>
        <w:t>es/orientations under Priority 1.1:</w:t>
      </w:r>
    </w:p>
    <w:p w:rsidR="00F16F0A" w:rsidRDefault="00F16F0A" w:rsidP="00EE745F">
      <w:pPr>
        <w:pStyle w:val="ListParagraph"/>
        <w:numPr>
          <w:ilvl w:val="0"/>
          <w:numId w:val="16"/>
        </w:numPr>
        <w:spacing w:after="60" w:line="264" w:lineRule="auto"/>
        <w:ind w:left="714" w:hanging="357"/>
        <w:jc w:val="both"/>
        <w:rPr>
          <w:sz w:val="22"/>
          <w:szCs w:val="22"/>
          <w:lang w:val="en-GB"/>
        </w:rPr>
      </w:pPr>
      <w:r>
        <w:rPr>
          <w:sz w:val="22"/>
          <w:szCs w:val="22"/>
          <w:lang w:val="en-GB"/>
        </w:rPr>
        <w:t>Promote the development and joint marketing of cross-border tourism products and</w:t>
      </w:r>
      <w:r w:rsidRPr="00B72C76">
        <w:rPr>
          <w:sz w:val="22"/>
          <w:szCs w:val="22"/>
          <w:lang w:val="en-GB"/>
        </w:rPr>
        <w:t xml:space="preserve"> transnat</w:t>
      </w:r>
      <w:r>
        <w:rPr>
          <w:sz w:val="22"/>
          <w:szCs w:val="22"/>
          <w:lang w:val="en-GB"/>
        </w:rPr>
        <w:t>ional thematic itineraries (e.g. cultural, religious, ancient trade routes, agricultural); promote</w:t>
      </w:r>
      <w:r w:rsidRPr="00B72C76">
        <w:rPr>
          <w:sz w:val="22"/>
          <w:szCs w:val="22"/>
          <w:lang w:val="en-GB"/>
        </w:rPr>
        <w:t xml:space="preserve"> diversification and integration of coastal and inland tourism</w:t>
      </w:r>
      <w:r>
        <w:rPr>
          <w:sz w:val="22"/>
          <w:szCs w:val="22"/>
          <w:lang w:val="en-GB"/>
        </w:rPr>
        <w:t>.</w:t>
      </w:r>
    </w:p>
    <w:p w:rsidR="00F16F0A" w:rsidRPr="002002EA" w:rsidRDefault="00F16F0A" w:rsidP="00EE745F">
      <w:pPr>
        <w:pStyle w:val="ListParagraph"/>
        <w:numPr>
          <w:ilvl w:val="0"/>
          <w:numId w:val="16"/>
        </w:numPr>
        <w:spacing w:after="60" w:line="264" w:lineRule="auto"/>
        <w:ind w:left="714" w:hanging="357"/>
        <w:jc w:val="both"/>
        <w:rPr>
          <w:sz w:val="22"/>
          <w:szCs w:val="22"/>
          <w:lang w:val="en-GB"/>
        </w:rPr>
      </w:pPr>
      <w:r w:rsidRPr="002002EA">
        <w:rPr>
          <w:sz w:val="22"/>
          <w:szCs w:val="22"/>
          <w:lang w:val="en-GB"/>
        </w:rPr>
        <w:t xml:space="preserve">Promote historical heritage and support its preservation through sustainable tourism development (e.g. small-scale investments, marketing). </w:t>
      </w:r>
    </w:p>
    <w:p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393004">
        <w:rPr>
          <w:sz w:val="22"/>
          <w:szCs w:val="22"/>
          <w:lang w:val="en-GB"/>
        </w:rPr>
        <w:t>Encourage syn</w:t>
      </w:r>
      <w:r>
        <w:rPr>
          <w:sz w:val="22"/>
          <w:szCs w:val="22"/>
          <w:lang w:val="en-GB"/>
        </w:rPr>
        <w:t xml:space="preserve">ergies, networking and </w:t>
      </w:r>
      <w:r w:rsidRPr="00393004">
        <w:rPr>
          <w:sz w:val="22"/>
          <w:szCs w:val="22"/>
          <w:lang w:val="en-GB"/>
        </w:rPr>
        <w:t xml:space="preserve">connectivity among tourism </w:t>
      </w:r>
      <w:r>
        <w:rPr>
          <w:sz w:val="22"/>
          <w:szCs w:val="22"/>
          <w:lang w:val="en-GB"/>
        </w:rPr>
        <w:t xml:space="preserve">and culture </w:t>
      </w:r>
      <w:r w:rsidRPr="00393004">
        <w:rPr>
          <w:sz w:val="22"/>
          <w:szCs w:val="22"/>
          <w:lang w:val="en-GB"/>
        </w:rPr>
        <w:t xml:space="preserve">stakeholders and tour operators within the Black Sea Basin (e.g. specific network for maritime tourism, etc.); promote electronic marketing tools and cross-border logistics information on e.g. cultural events. </w:t>
      </w:r>
    </w:p>
    <w:p w:rsidR="00F16F0A" w:rsidRPr="002C30C5" w:rsidRDefault="00F16F0A" w:rsidP="00EE745F">
      <w:pPr>
        <w:pStyle w:val="ListParagraph"/>
        <w:widowControl w:val="0"/>
        <w:numPr>
          <w:ilvl w:val="0"/>
          <w:numId w:val="16"/>
        </w:numPr>
        <w:autoSpaceDE w:val="0"/>
        <w:autoSpaceDN w:val="0"/>
        <w:adjustRightInd w:val="0"/>
        <w:spacing w:after="60" w:line="264" w:lineRule="auto"/>
        <w:ind w:left="714" w:hanging="357"/>
        <w:jc w:val="both"/>
        <w:rPr>
          <w:sz w:val="22"/>
          <w:szCs w:val="22"/>
          <w:lang w:val="en-GB"/>
        </w:rPr>
      </w:pPr>
      <w:r w:rsidRPr="00393004">
        <w:rPr>
          <w:sz w:val="22"/>
          <w:szCs w:val="22"/>
          <w:lang w:val="en-GB"/>
        </w:rPr>
        <w:t xml:space="preserve">Share experience and/or develop jointly targeted tourism packages for specific markets (e.g. the elderly); share experience to promote higher quality, and more innovative, tourism products (e.g. underwater </w:t>
      </w:r>
      <w:r w:rsidRPr="002C30C5">
        <w:rPr>
          <w:sz w:val="22"/>
          <w:szCs w:val="22"/>
          <w:lang w:val="en-GB"/>
        </w:rPr>
        <w:t>archaeological parks, eco-tourism, cultural tourism</w:t>
      </w:r>
      <w:r w:rsidR="004D5D96" w:rsidRPr="002C30C5">
        <w:rPr>
          <w:sz w:val="22"/>
          <w:szCs w:val="22"/>
          <w:lang w:val="en-GB"/>
        </w:rPr>
        <w:t>, medical tourism</w:t>
      </w:r>
      <w:r w:rsidRPr="002C30C5">
        <w:rPr>
          <w:sz w:val="22"/>
          <w:szCs w:val="22"/>
          <w:lang w:val="en-GB"/>
        </w:rPr>
        <w:t>).</w:t>
      </w:r>
    </w:p>
    <w:p w:rsidR="00F16F0A" w:rsidRPr="00393004" w:rsidRDefault="00F16F0A" w:rsidP="00EE745F">
      <w:pPr>
        <w:pStyle w:val="ListParagraph"/>
        <w:widowControl w:val="0"/>
        <w:numPr>
          <w:ilvl w:val="0"/>
          <w:numId w:val="16"/>
        </w:numPr>
        <w:autoSpaceDE w:val="0"/>
        <w:autoSpaceDN w:val="0"/>
        <w:adjustRightInd w:val="0"/>
        <w:spacing w:after="60" w:line="264" w:lineRule="auto"/>
        <w:ind w:left="714" w:hanging="357"/>
        <w:jc w:val="both"/>
        <w:rPr>
          <w:sz w:val="22"/>
          <w:szCs w:val="22"/>
          <w:lang w:val="en-GB"/>
        </w:rPr>
      </w:pPr>
      <w:r w:rsidRPr="00393004">
        <w:rPr>
          <w:sz w:val="22"/>
          <w:szCs w:val="22"/>
          <w:lang w:val="en-GB"/>
        </w:rPr>
        <w:t>Jointly promote cultural products (handicrafts, artworks, etc) and events (festivals, fairs).</w:t>
      </w:r>
    </w:p>
    <w:p w:rsidR="00F16F0A" w:rsidRPr="00393004" w:rsidRDefault="00F16F0A" w:rsidP="00EE745F">
      <w:pPr>
        <w:pStyle w:val="ListParagraph"/>
        <w:widowControl w:val="0"/>
        <w:numPr>
          <w:ilvl w:val="0"/>
          <w:numId w:val="16"/>
        </w:numPr>
        <w:autoSpaceDE w:val="0"/>
        <w:autoSpaceDN w:val="0"/>
        <w:adjustRightInd w:val="0"/>
        <w:spacing w:after="60" w:line="264" w:lineRule="auto"/>
        <w:ind w:left="714" w:hanging="357"/>
        <w:jc w:val="both"/>
        <w:rPr>
          <w:sz w:val="22"/>
          <w:szCs w:val="22"/>
          <w:lang w:val="en-GB"/>
        </w:rPr>
      </w:pPr>
      <w:r w:rsidRPr="00393004">
        <w:rPr>
          <w:sz w:val="22"/>
          <w:szCs w:val="22"/>
          <w:lang w:val="en-GB"/>
        </w:rPr>
        <w:t>Jointly enhance the openness of the Black Sea Region to international and non-European tourism (e.g. joint marketing, communication and promotion campaigns, development of Black Sea Basin brand</w:t>
      </w:r>
      <w:r>
        <w:rPr>
          <w:sz w:val="22"/>
          <w:szCs w:val="22"/>
          <w:lang w:val="en-GB"/>
        </w:rPr>
        <w:t>s</w:t>
      </w:r>
      <w:r w:rsidRPr="00393004">
        <w:rPr>
          <w:sz w:val="22"/>
          <w:szCs w:val="22"/>
          <w:lang w:val="en-GB"/>
        </w:rPr>
        <w:t>).</w:t>
      </w:r>
    </w:p>
    <w:p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393004">
        <w:rPr>
          <w:sz w:val="22"/>
          <w:szCs w:val="22"/>
          <w:lang w:val="en-GB"/>
        </w:rPr>
        <w:t>Encourage networking, share good experience in strenghtening cultural and creative industries (music, multimedia, etc.).</w:t>
      </w:r>
    </w:p>
    <w:p w:rsidR="00F16F0A" w:rsidRPr="00632707" w:rsidRDefault="00F16F0A" w:rsidP="00EE745F">
      <w:pPr>
        <w:pStyle w:val="ListParagraph"/>
        <w:numPr>
          <w:ilvl w:val="0"/>
          <w:numId w:val="16"/>
        </w:numPr>
        <w:spacing w:after="60" w:line="264" w:lineRule="auto"/>
        <w:ind w:left="714" w:hanging="357"/>
        <w:jc w:val="both"/>
        <w:rPr>
          <w:sz w:val="22"/>
          <w:szCs w:val="22"/>
          <w:lang w:val="en-GB"/>
        </w:rPr>
      </w:pPr>
      <w:r w:rsidRPr="00393004">
        <w:rPr>
          <w:sz w:val="22"/>
          <w:szCs w:val="22"/>
          <w:lang w:val="en-GB"/>
        </w:rPr>
        <w:t>Exchange best practices on the development of environmentally friendly tourism strategies (e.g. improve</w:t>
      </w:r>
      <w:r>
        <w:rPr>
          <w:sz w:val="22"/>
          <w:szCs w:val="22"/>
          <w:lang w:val="en-GB"/>
        </w:rPr>
        <w:t xml:space="preserve"> resource efficiency, </w:t>
      </w:r>
      <w:r w:rsidRPr="00EA3BF2">
        <w:rPr>
          <w:sz w:val="22"/>
          <w:szCs w:val="22"/>
          <w:lang w:val="en-GB"/>
        </w:rPr>
        <w:t>waste and pollution prevention/management in tourist areas, guidelines on minimising impacts on biodiversity and enhancing benefits of tourism in protected areas).</w:t>
      </w:r>
    </w:p>
    <w:p w:rsidR="00F16F0A" w:rsidRPr="00636D37" w:rsidRDefault="00F16F0A" w:rsidP="00EE745F">
      <w:pPr>
        <w:pStyle w:val="ListParagraph"/>
        <w:numPr>
          <w:ilvl w:val="0"/>
          <w:numId w:val="16"/>
        </w:numPr>
        <w:spacing w:after="60" w:line="264" w:lineRule="auto"/>
        <w:ind w:left="714" w:hanging="357"/>
        <w:jc w:val="both"/>
        <w:rPr>
          <w:sz w:val="22"/>
          <w:szCs w:val="22"/>
          <w:lang w:val="en-GB"/>
        </w:rPr>
      </w:pPr>
      <w:r>
        <w:rPr>
          <w:sz w:val="22"/>
          <w:szCs w:val="22"/>
          <w:lang w:val="en-GB"/>
        </w:rPr>
        <w:t>Improve tourism services and promote the upgrade of skills e.g.</w:t>
      </w:r>
      <w:r w:rsidRPr="00636D37">
        <w:rPr>
          <w:sz w:val="22"/>
          <w:szCs w:val="22"/>
          <w:lang w:val="en-GB"/>
        </w:rPr>
        <w:t xml:space="preserve"> </w:t>
      </w:r>
      <w:r>
        <w:rPr>
          <w:sz w:val="22"/>
          <w:szCs w:val="22"/>
          <w:lang w:val="en-GB"/>
        </w:rPr>
        <w:t>through exchange programmes between educational institutions (e.g. for young professionals), or</w:t>
      </w:r>
      <w:r w:rsidRPr="00636D37">
        <w:rPr>
          <w:sz w:val="22"/>
          <w:szCs w:val="22"/>
          <w:lang w:val="en-GB"/>
        </w:rPr>
        <w:t xml:space="preserve"> through the joint creation of open online courses based on best experience</w:t>
      </w:r>
      <w:r>
        <w:rPr>
          <w:sz w:val="22"/>
          <w:szCs w:val="22"/>
          <w:lang w:val="en-GB"/>
        </w:rPr>
        <w:t>.</w:t>
      </w:r>
      <w:r w:rsidRPr="00636D37">
        <w:rPr>
          <w:sz w:val="22"/>
          <w:szCs w:val="22"/>
          <w:lang w:val="en-GB"/>
        </w:rPr>
        <w:t xml:space="preserve"> </w:t>
      </w:r>
    </w:p>
    <w:p w:rsidR="00F16F0A" w:rsidRPr="00B52A32" w:rsidRDefault="00F16F0A" w:rsidP="00F16F0A">
      <w:pPr>
        <w:spacing w:before="120" w:after="120" w:line="264" w:lineRule="auto"/>
        <w:jc w:val="both"/>
        <w:rPr>
          <w:i/>
          <w:sz w:val="22"/>
          <w:szCs w:val="22"/>
          <w:lang w:val="en-GB"/>
        </w:rPr>
      </w:pPr>
      <w:r w:rsidRPr="00B52A32">
        <w:rPr>
          <w:i/>
          <w:sz w:val="22"/>
          <w:szCs w:val="22"/>
          <w:lang w:val="en-GB"/>
        </w:rPr>
        <w:t>Target groups</w:t>
      </w:r>
      <w:r>
        <w:rPr>
          <w:i/>
          <w:sz w:val="22"/>
          <w:szCs w:val="22"/>
          <w:lang w:val="en-GB"/>
        </w:rPr>
        <w:t xml:space="preserve"> for Priority 1.1</w:t>
      </w:r>
      <w:r w:rsidRPr="00B52A32">
        <w:rPr>
          <w:i/>
          <w:sz w:val="22"/>
          <w:szCs w:val="22"/>
          <w:lang w:val="en-GB"/>
        </w:rPr>
        <w:t>:</w:t>
      </w:r>
    </w:p>
    <w:p w:rsidR="00F16F0A" w:rsidRPr="00F13025" w:rsidRDefault="00F16F0A" w:rsidP="00F16F0A">
      <w:pPr>
        <w:spacing w:before="120" w:after="0" w:line="252" w:lineRule="auto"/>
        <w:jc w:val="both"/>
        <w:rPr>
          <w:sz w:val="22"/>
          <w:szCs w:val="22"/>
          <w:lang w:val="en-GB"/>
        </w:rPr>
      </w:pPr>
      <w:r w:rsidRPr="00F13025">
        <w:rPr>
          <w:sz w:val="22"/>
          <w:szCs w:val="22"/>
          <w:lang w:val="en-GB"/>
        </w:rPr>
        <w:t xml:space="preserve">Tourism and regional development agencies, tourism industry associations, cultural </w:t>
      </w:r>
      <w:r>
        <w:rPr>
          <w:sz w:val="22"/>
          <w:szCs w:val="22"/>
          <w:lang w:val="en-GB"/>
        </w:rPr>
        <w:t xml:space="preserve">and archeological </w:t>
      </w:r>
      <w:r w:rsidRPr="00F13025">
        <w:rPr>
          <w:sz w:val="22"/>
          <w:szCs w:val="22"/>
          <w:lang w:val="en-GB"/>
        </w:rPr>
        <w:t>associations</w:t>
      </w:r>
      <w:r>
        <w:rPr>
          <w:sz w:val="22"/>
          <w:szCs w:val="22"/>
          <w:lang w:val="en-GB"/>
        </w:rPr>
        <w:t xml:space="preserve">/institutions, </w:t>
      </w:r>
      <w:r w:rsidRPr="00F13025">
        <w:rPr>
          <w:sz w:val="22"/>
          <w:szCs w:val="22"/>
          <w:lang w:val="en-GB"/>
        </w:rPr>
        <w:t xml:space="preserve">local/regional authorities, </w:t>
      </w:r>
      <w:r>
        <w:rPr>
          <w:sz w:val="22"/>
          <w:szCs w:val="22"/>
          <w:lang w:val="en-GB"/>
        </w:rPr>
        <w:t xml:space="preserve">universities and educational institutions, </w:t>
      </w:r>
      <w:r w:rsidRPr="00F13025">
        <w:rPr>
          <w:sz w:val="22"/>
          <w:szCs w:val="22"/>
          <w:lang w:val="en-GB"/>
        </w:rPr>
        <w:t>nature parks and protected areas</w:t>
      </w:r>
      <w:r>
        <w:rPr>
          <w:sz w:val="22"/>
          <w:szCs w:val="22"/>
          <w:lang w:val="en-GB"/>
        </w:rPr>
        <w:t xml:space="preserve"> management bodies, </w:t>
      </w:r>
      <w:r w:rsidRPr="00ED3C6E">
        <w:rPr>
          <w:sz w:val="22"/>
          <w:szCs w:val="22"/>
          <w:lang w:val="en-GB"/>
        </w:rPr>
        <w:t>local business associations, farmer associations</w:t>
      </w:r>
      <w:r>
        <w:rPr>
          <w:sz w:val="22"/>
          <w:szCs w:val="22"/>
          <w:lang w:val="en-GB"/>
        </w:rPr>
        <w:t xml:space="preserve"> and NGOs</w:t>
      </w:r>
      <w:r w:rsidRPr="00F13025">
        <w:rPr>
          <w:sz w:val="22"/>
          <w:szCs w:val="22"/>
          <w:lang w:val="en-GB"/>
        </w:rPr>
        <w:t>.</w:t>
      </w:r>
      <w:r>
        <w:rPr>
          <w:sz w:val="22"/>
          <w:szCs w:val="22"/>
          <w:lang w:val="en-GB"/>
        </w:rPr>
        <w:t xml:space="preserve"> </w:t>
      </w:r>
    </w:p>
    <w:p w:rsidR="00F16F0A" w:rsidRDefault="00F16F0A" w:rsidP="00F16F0A">
      <w:pPr>
        <w:spacing w:before="120" w:after="0" w:line="264" w:lineRule="auto"/>
        <w:jc w:val="both"/>
        <w:rPr>
          <w:b/>
          <w:sz w:val="22"/>
          <w:szCs w:val="22"/>
          <w:lang w:val="en-GB"/>
        </w:rPr>
      </w:pPr>
    </w:p>
    <w:p w:rsidR="00F16F0A" w:rsidRPr="00393004"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r w:rsidRPr="00393004">
        <w:rPr>
          <w:b/>
          <w:lang w:val="en-GB"/>
        </w:rPr>
        <w:t xml:space="preserve">Priority 1.2 – </w:t>
      </w:r>
      <w:r>
        <w:rPr>
          <w:b/>
          <w:lang w:val="en-GB"/>
        </w:rPr>
        <w:t>Increase</w:t>
      </w:r>
      <w:r w:rsidRPr="00393004">
        <w:rPr>
          <w:b/>
          <w:lang w:val="en-GB"/>
        </w:rPr>
        <w:t xml:space="preserve"> cross-border trade opportunities and modernisation </w:t>
      </w:r>
      <w:r>
        <w:rPr>
          <w:b/>
          <w:lang w:val="en-GB"/>
        </w:rPr>
        <w:t>in</w:t>
      </w:r>
      <w:r w:rsidRPr="00393004">
        <w:rPr>
          <w:b/>
          <w:lang w:val="en-GB"/>
        </w:rPr>
        <w:t xml:space="preserve"> the agricultural and connected sectors</w:t>
      </w:r>
      <w:r w:rsidRPr="00393004">
        <w:rPr>
          <w:rStyle w:val="FootnoteReference"/>
          <w:b/>
          <w:lang w:val="en-GB"/>
        </w:rPr>
        <w:footnoteReference w:id="61"/>
      </w:r>
      <w:r w:rsidRPr="00393004">
        <w:rPr>
          <w:b/>
          <w:lang w:val="en-GB"/>
        </w:rPr>
        <w:t xml:space="preserve"> </w:t>
      </w:r>
    </w:p>
    <w:p w:rsidR="00F16F0A" w:rsidRPr="00393004" w:rsidRDefault="00F16F0A" w:rsidP="00F16F0A">
      <w:pPr>
        <w:spacing w:before="120" w:after="120" w:line="264" w:lineRule="auto"/>
        <w:rPr>
          <w:i/>
          <w:sz w:val="22"/>
          <w:szCs w:val="22"/>
          <w:lang w:val="en-GB"/>
        </w:rPr>
      </w:pPr>
      <w:r w:rsidRPr="00393004">
        <w:rPr>
          <w:i/>
          <w:sz w:val="22"/>
          <w:szCs w:val="22"/>
          <w:lang w:val="en-GB"/>
        </w:rPr>
        <w:t>Justification for the definition of priority 1.2:</w:t>
      </w:r>
    </w:p>
    <w:p w:rsidR="00F16F0A" w:rsidRPr="00393004" w:rsidRDefault="00F16F0A" w:rsidP="00EE745F">
      <w:pPr>
        <w:pStyle w:val="ListParagraph"/>
        <w:numPr>
          <w:ilvl w:val="0"/>
          <w:numId w:val="14"/>
        </w:numPr>
        <w:spacing w:before="120" w:after="120" w:line="264" w:lineRule="auto"/>
        <w:ind w:left="714" w:hanging="357"/>
        <w:jc w:val="both"/>
        <w:rPr>
          <w:sz w:val="22"/>
          <w:szCs w:val="22"/>
          <w:lang w:val="en-GB"/>
        </w:rPr>
      </w:pPr>
      <w:r w:rsidRPr="00393004">
        <w:rPr>
          <w:sz w:val="22"/>
          <w:szCs w:val="22"/>
          <w:lang w:val="en-GB"/>
        </w:rPr>
        <w:t xml:space="preserve">Support to the development and modernisation of businesses in specific sectors was strongly supported during the consultation process. </w:t>
      </w:r>
    </w:p>
    <w:p w:rsidR="00F16F0A" w:rsidRPr="00685F65"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Modernisation of the a</w:t>
      </w:r>
      <w:r w:rsidRPr="00685F65">
        <w:rPr>
          <w:sz w:val="22"/>
          <w:szCs w:val="22"/>
          <w:lang w:val="en-GB"/>
        </w:rPr>
        <w:t xml:space="preserve">gricultural sector </w:t>
      </w:r>
      <w:r>
        <w:rPr>
          <w:sz w:val="22"/>
          <w:szCs w:val="22"/>
          <w:lang w:val="en-GB"/>
        </w:rPr>
        <w:t xml:space="preserve">and food industry </w:t>
      </w:r>
      <w:r w:rsidRPr="00685F65">
        <w:rPr>
          <w:sz w:val="22"/>
          <w:szCs w:val="22"/>
          <w:lang w:val="en-GB"/>
        </w:rPr>
        <w:t xml:space="preserve">is strongly supported </w:t>
      </w:r>
      <w:r>
        <w:rPr>
          <w:sz w:val="22"/>
          <w:szCs w:val="22"/>
          <w:lang w:val="en-GB"/>
        </w:rPr>
        <w:t>by</w:t>
      </w:r>
      <w:r w:rsidRPr="00685F65">
        <w:rPr>
          <w:sz w:val="22"/>
          <w:szCs w:val="22"/>
          <w:lang w:val="en-GB"/>
        </w:rPr>
        <w:t xml:space="preserve"> the socio-economic and SWOT analyses</w:t>
      </w:r>
      <w:r>
        <w:rPr>
          <w:sz w:val="22"/>
          <w:szCs w:val="22"/>
          <w:lang w:val="en-GB"/>
        </w:rPr>
        <w:t>.</w:t>
      </w:r>
      <w:r w:rsidRPr="00685F65">
        <w:rPr>
          <w:sz w:val="22"/>
          <w:szCs w:val="22"/>
          <w:lang w:val="en-GB"/>
        </w:rPr>
        <w:t xml:space="preserve"> </w:t>
      </w:r>
      <w:r>
        <w:rPr>
          <w:sz w:val="22"/>
          <w:szCs w:val="22"/>
          <w:lang w:val="en-GB"/>
        </w:rPr>
        <w:t>Agriculture</w:t>
      </w:r>
      <w:r w:rsidRPr="00685F65">
        <w:rPr>
          <w:sz w:val="22"/>
          <w:szCs w:val="22"/>
          <w:lang w:val="en-GB"/>
        </w:rPr>
        <w:t xml:space="preserve"> is still a substantial or major component of </w:t>
      </w:r>
      <w:r>
        <w:rPr>
          <w:sz w:val="22"/>
          <w:szCs w:val="22"/>
          <w:lang w:val="en-GB"/>
        </w:rPr>
        <w:t xml:space="preserve">the </w:t>
      </w:r>
      <w:r w:rsidRPr="00685F65">
        <w:rPr>
          <w:sz w:val="22"/>
          <w:szCs w:val="22"/>
          <w:lang w:val="en-GB"/>
        </w:rPr>
        <w:t xml:space="preserve">Black Sea </w:t>
      </w:r>
      <w:r>
        <w:rPr>
          <w:sz w:val="22"/>
          <w:szCs w:val="22"/>
          <w:lang w:val="en-GB"/>
        </w:rPr>
        <w:t xml:space="preserve">Basin national </w:t>
      </w:r>
      <w:r w:rsidRPr="00685F65">
        <w:rPr>
          <w:sz w:val="22"/>
          <w:szCs w:val="22"/>
          <w:lang w:val="en-GB"/>
        </w:rPr>
        <w:t>economies, in particular in terms of employment or in terms of exports. Agricultural products are among the main goods traded between countries within the Black Sea Basin area suggesting potential complementarities. Organic farming presents potential</w:t>
      </w:r>
      <w:r>
        <w:rPr>
          <w:sz w:val="22"/>
          <w:szCs w:val="22"/>
          <w:lang w:val="en-GB"/>
        </w:rPr>
        <w:t xml:space="preserve"> opportunities</w:t>
      </w:r>
      <w:r w:rsidRPr="00685F65">
        <w:rPr>
          <w:sz w:val="22"/>
          <w:szCs w:val="22"/>
          <w:lang w:val="en-GB"/>
        </w:rPr>
        <w:t xml:space="preserve"> as well as the development of sustainable aquaculture.</w:t>
      </w:r>
      <w:r>
        <w:rPr>
          <w:sz w:val="22"/>
          <w:szCs w:val="22"/>
          <w:lang w:val="en-GB"/>
        </w:rPr>
        <w:t xml:space="preserve"> </w:t>
      </w:r>
    </w:p>
    <w:p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 xml:space="preserve">It is beyond the scope of this programme in itself to modernise specific sectors, but the Black Sea Basin programme can provide good cross-border added value to the support provided by country-specific programmes and national authorities (through the exchange of experience, promotion of trade links, networking, etc.). </w:t>
      </w:r>
    </w:p>
    <w:p w:rsidR="00F16F0A" w:rsidRPr="00A303CB" w:rsidRDefault="00F16F0A" w:rsidP="00F16F0A">
      <w:pPr>
        <w:spacing w:before="60" w:after="0" w:line="264" w:lineRule="auto"/>
        <w:jc w:val="both"/>
        <w:rPr>
          <w:i/>
          <w:sz w:val="22"/>
          <w:szCs w:val="22"/>
          <w:lang w:val="en-GB"/>
        </w:rPr>
      </w:pPr>
      <w:r w:rsidRPr="00A303CB">
        <w:rPr>
          <w:i/>
          <w:sz w:val="22"/>
          <w:szCs w:val="22"/>
          <w:lang w:val="en-GB"/>
        </w:rPr>
        <w:t>Ex</w:t>
      </w:r>
      <w:r>
        <w:rPr>
          <w:i/>
          <w:sz w:val="22"/>
          <w:szCs w:val="22"/>
          <w:lang w:val="en-GB"/>
        </w:rPr>
        <w:t>pected result under Priority 1.2</w:t>
      </w:r>
      <w:r w:rsidRPr="00A303CB">
        <w:rPr>
          <w:i/>
          <w:sz w:val="22"/>
          <w:szCs w:val="22"/>
          <w:lang w:val="en-GB"/>
        </w:rPr>
        <w:t>:</w:t>
      </w:r>
    </w:p>
    <w:p w:rsidR="00F16F0A" w:rsidRPr="0016012A" w:rsidRDefault="00F16F0A" w:rsidP="00F16F0A">
      <w:pPr>
        <w:spacing w:before="120" w:after="120" w:line="264" w:lineRule="auto"/>
        <w:ind w:left="720"/>
        <w:jc w:val="both"/>
        <w:rPr>
          <w:sz w:val="22"/>
          <w:szCs w:val="22"/>
          <w:lang w:val="en-GB"/>
        </w:rPr>
      </w:pPr>
      <w:r w:rsidRPr="0016012A">
        <w:rPr>
          <w:sz w:val="22"/>
          <w:szCs w:val="22"/>
          <w:lang w:val="en-GB"/>
        </w:rPr>
        <w:t>Increased cross-border links for trade and modernisation in the agricultural and connected sectors in the Black Sea Basin</w:t>
      </w:r>
    </w:p>
    <w:p w:rsidR="00F16F0A" w:rsidRPr="0016012A" w:rsidRDefault="00F16F0A" w:rsidP="00F16F0A">
      <w:pPr>
        <w:spacing w:before="120" w:after="120" w:line="264" w:lineRule="auto"/>
        <w:jc w:val="both"/>
        <w:rPr>
          <w:i/>
          <w:sz w:val="22"/>
          <w:szCs w:val="22"/>
          <w:lang w:val="en-GB"/>
        </w:rPr>
      </w:pPr>
      <w:r w:rsidRPr="0016012A">
        <w:rPr>
          <w:i/>
          <w:sz w:val="22"/>
          <w:szCs w:val="22"/>
          <w:lang w:val="en-GB"/>
        </w:rPr>
        <w:t>Indicative activities/orientations under Priority 1.2:</w:t>
      </w:r>
    </w:p>
    <w:p w:rsidR="00F16F0A" w:rsidRPr="0016012A" w:rsidRDefault="00F16F0A" w:rsidP="00EE745F">
      <w:pPr>
        <w:pStyle w:val="ListParagraph"/>
        <w:numPr>
          <w:ilvl w:val="0"/>
          <w:numId w:val="16"/>
        </w:numPr>
        <w:spacing w:after="60" w:line="264" w:lineRule="auto"/>
        <w:ind w:left="714" w:hanging="357"/>
        <w:jc w:val="both"/>
        <w:rPr>
          <w:sz w:val="22"/>
          <w:szCs w:val="22"/>
          <w:lang w:val="en-GB"/>
        </w:rPr>
      </w:pPr>
      <w:r w:rsidRPr="0016012A">
        <w:rPr>
          <w:sz w:val="22"/>
          <w:szCs w:val="22"/>
          <w:lang w:val="en-GB"/>
        </w:rPr>
        <w:t>Promotion of international trade links, sectoral and cross-sectoral networks and partnerships (e.g. business forums) within the Black Sea Basin and support to internationalisation of exchanges (e.g. capacity building).</w:t>
      </w:r>
    </w:p>
    <w:p w:rsidR="00F16F0A" w:rsidRPr="0016012A" w:rsidRDefault="00F16F0A" w:rsidP="00EE745F">
      <w:pPr>
        <w:pStyle w:val="ListParagraph"/>
        <w:numPr>
          <w:ilvl w:val="0"/>
          <w:numId w:val="16"/>
        </w:numPr>
        <w:spacing w:before="120" w:line="264" w:lineRule="auto"/>
        <w:jc w:val="both"/>
        <w:rPr>
          <w:sz w:val="22"/>
          <w:szCs w:val="22"/>
          <w:lang w:val="en-GB"/>
        </w:rPr>
      </w:pPr>
      <w:r w:rsidRPr="0016012A">
        <w:rPr>
          <w:sz w:val="22"/>
          <w:szCs w:val="22"/>
          <w:lang w:val="en-GB"/>
        </w:rPr>
        <w:t>Strengthen internet connectivity, cross-border business information exchange systems, market and logistics information with greater use of information and communication technologies (ICT).</w:t>
      </w:r>
    </w:p>
    <w:p w:rsidR="00F16F0A" w:rsidRPr="0016012A" w:rsidRDefault="00F16F0A" w:rsidP="00EE745F">
      <w:pPr>
        <w:pStyle w:val="ListParagraph"/>
        <w:numPr>
          <w:ilvl w:val="0"/>
          <w:numId w:val="16"/>
        </w:numPr>
        <w:spacing w:before="120" w:line="264" w:lineRule="auto"/>
        <w:jc w:val="both"/>
        <w:rPr>
          <w:sz w:val="22"/>
          <w:szCs w:val="22"/>
          <w:lang w:val="en-GB"/>
        </w:rPr>
      </w:pPr>
      <w:r w:rsidRPr="0016012A">
        <w:rPr>
          <w:sz w:val="22"/>
          <w:szCs w:val="22"/>
          <w:lang w:val="en-GB"/>
        </w:rPr>
        <w:t>Exchange good practice in modern and innovative marketing and trade strategies, electronic marketing tools and develop joint marketing strategies (e.g. regional branding).</w:t>
      </w:r>
    </w:p>
    <w:p w:rsidR="00F16F0A" w:rsidRPr="0016012A" w:rsidRDefault="00F16F0A" w:rsidP="00EE745F">
      <w:pPr>
        <w:pStyle w:val="ListParagraph"/>
        <w:numPr>
          <w:ilvl w:val="0"/>
          <w:numId w:val="16"/>
        </w:numPr>
        <w:spacing w:after="60" w:line="264" w:lineRule="auto"/>
        <w:ind w:left="714" w:hanging="357"/>
        <w:jc w:val="both"/>
        <w:rPr>
          <w:sz w:val="22"/>
          <w:szCs w:val="22"/>
          <w:lang w:val="en-GB"/>
        </w:rPr>
      </w:pPr>
      <w:r w:rsidRPr="0016012A">
        <w:rPr>
          <w:sz w:val="22"/>
          <w:szCs w:val="22"/>
          <w:lang w:val="en-GB"/>
        </w:rPr>
        <w:t xml:space="preserve">Support innovation, research and cooperation, including for the development of logistics, in the agricultural industry, jointly developing and implementing best practices in producing quality agricultural products. </w:t>
      </w:r>
    </w:p>
    <w:p w:rsidR="00F16F0A" w:rsidRDefault="00F16F0A" w:rsidP="00EE745F">
      <w:pPr>
        <w:pStyle w:val="ListParagraph"/>
        <w:numPr>
          <w:ilvl w:val="0"/>
          <w:numId w:val="16"/>
        </w:numPr>
        <w:spacing w:after="60" w:line="264" w:lineRule="auto"/>
        <w:ind w:left="714" w:hanging="357"/>
        <w:jc w:val="both"/>
        <w:rPr>
          <w:sz w:val="22"/>
          <w:szCs w:val="22"/>
          <w:lang w:val="en-GB"/>
        </w:rPr>
      </w:pPr>
      <w:r w:rsidRPr="0016012A">
        <w:rPr>
          <w:sz w:val="22"/>
          <w:szCs w:val="22"/>
          <w:lang w:val="en-GB"/>
        </w:rPr>
        <w:t>Introduction of innovative technologies</w:t>
      </w:r>
      <w:r>
        <w:rPr>
          <w:sz w:val="22"/>
          <w:szCs w:val="22"/>
          <w:lang w:val="en-GB"/>
        </w:rPr>
        <w:t xml:space="preserve"> for sectoral development (organic/bio </w:t>
      </w:r>
      <w:r w:rsidRPr="00393004">
        <w:rPr>
          <w:sz w:val="22"/>
          <w:szCs w:val="22"/>
          <w:lang w:val="en-GB"/>
        </w:rPr>
        <w:t xml:space="preserve">products, sustainable aquaculture), including </w:t>
      </w:r>
      <w:r>
        <w:rPr>
          <w:sz w:val="22"/>
          <w:szCs w:val="22"/>
          <w:lang w:val="en-GB"/>
        </w:rPr>
        <w:t xml:space="preserve">exchange of experience and </w:t>
      </w:r>
      <w:r w:rsidRPr="00393004">
        <w:rPr>
          <w:sz w:val="22"/>
          <w:szCs w:val="22"/>
          <w:lang w:val="en-GB"/>
        </w:rPr>
        <w:t>small-scale inves</w:t>
      </w:r>
      <w:r>
        <w:rPr>
          <w:sz w:val="22"/>
          <w:szCs w:val="22"/>
          <w:lang w:val="en-GB"/>
        </w:rPr>
        <w:t>t</w:t>
      </w:r>
      <w:r w:rsidRPr="00393004">
        <w:rPr>
          <w:sz w:val="22"/>
          <w:szCs w:val="22"/>
          <w:lang w:val="en-GB"/>
        </w:rPr>
        <w:t>ments in pilot projects.</w:t>
      </w:r>
    </w:p>
    <w:p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2172C1">
        <w:rPr>
          <w:sz w:val="22"/>
          <w:szCs w:val="22"/>
          <w:lang w:val="en-GB"/>
        </w:rPr>
        <w:t>Support entrepreneurial culture through</w:t>
      </w:r>
      <w:r>
        <w:rPr>
          <w:sz w:val="22"/>
          <w:szCs w:val="22"/>
          <w:lang w:val="en-GB"/>
        </w:rPr>
        <w:t xml:space="preserve"> teaching and</w:t>
      </w:r>
      <w:r w:rsidRPr="002172C1">
        <w:rPr>
          <w:sz w:val="22"/>
          <w:szCs w:val="22"/>
          <w:lang w:val="en-GB"/>
        </w:rPr>
        <w:t xml:space="preserve"> traini</w:t>
      </w:r>
      <w:r>
        <w:rPr>
          <w:sz w:val="22"/>
          <w:szCs w:val="22"/>
          <w:lang w:val="en-GB"/>
        </w:rPr>
        <w:t xml:space="preserve">ng for young people working in </w:t>
      </w:r>
      <w:r w:rsidRPr="002172C1">
        <w:rPr>
          <w:sz w:val="22"/>
          <w:szCs w:val="22"/>
          <w:lang w:val="en-GB"/>
        </w:rPr>
        <w:t>agricultural and connected sectors</w:t>
      </w:r>
      <w:r>
        <w:rPr>
          <w:sz w:val="22"/>
          <w:szCs w:val="22"/>
          <w:lang w:val="en-GB"/>
        </w:rPr>
        <w:t>; share good practices in this field.</w:t>
      </w:r>
    </w:p>
    <w:p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393004">
        <w:rPr>
          <w:sz w:val="22"/>
          <w:szCs w:val="22"/>
          <w:lang w:val="en-GB"/>
        </w:rPr>
        <w:t>Exchange of best practice experience on the practical introduction of standards (e.g. food safety).</w:t>
      </w:r>
    </w:p>
    <w:p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393004">
        <w:rPr>
          <w:sz w:val="22"/>
          <w:szCs w:val="22"/>
          <w:lang w:val="en-GB"/>
        </w:rPr>
        <w:t xml:space="preserve">Joint actions to support productive use of migrant remittances in </w:t>
      </w:r>
      <w:r>
        <w:rPr>
          <w:sz w:val="22"/>
          <w:szCs w:val="22"/>
          <w:lang w:val="en-GB"/>
        </w:rPr>
        <w:t xml:space="preserve">the modernisation of the </w:t>
      </w:r>
      <w:r w:rsidRPr="00393004">
        <w:rPr>
          <w:sz w:val="22"/>
          <w:szCs w:val="22"/>
          <w:lang w:val="en-GB"/>
        </w:rPr>
        <w:t>agriculture/aquaculture/food industry.</w:t>
      </w:r>
    </w:p>
    <w:p w:rsidR="00F16F0A" w:rsidRPr="001A1D98" w:rsidRDefault="00F16F0A" w:rsidP="00F16F0A">
      <w:pPr>
        <w:spacing w:before="120" w:after="120" w:line="264" w:lineRule="auto"/>
        <w:jc w:val="both"/>
        <w:rPr>
          <w:i/>
          <w:sz w:val="22"/>
          <w:szCs w:val="22"/>
          <w:lang w:val="en-GB"/>
        </w:rPr>
      </w:pPr>
      <w:r>
        <w:rPr>
          <w:i/>
          <w:sz w:val="22"/>
          <w:szCs w:val="22"/>
          <w:lang w:val="en-GB"/>
        </w:rPr>
        <w:t>Target groups for Priority 1.2:</w:t>
      </w:r>
    </w:p>
    <w:p w:rsidR="00F16F0A" w:rsidRPr="004369F3" w:rsidRDefault="00F16F0A" w:rsidP="00F16F0A">
      <w:pPr>
        <w:widowControl w:val="0"/>
        <w:autoSpaceDE w:val="0"/>
        <w:autoSpaceDN w:val="0"/>
        <w:adjustRightInd w:val="0"/>
        <w:spacing w:after="0" w:line="240" w:lineRule="auto"/>
        <w:jc w:val="both"/>
        <w:rPr>
          <w:sz w:val="22"/>
          <w:szCs w:val="22"/>
          <w:lang w:val="en-GB"/>
        </w:rPr>
      </w:pPr>
      <w:r w:rsidRPr="004369F3">
        <w:rPr>
          <w:rFonts w:eastAsia="Times New Roman"/>
          <w:color w:val="000000"/>
          <w:sz w:val="22"/>
          <w:szCs w:val="22"/>
          <w:lang w:val="en-GB"/>
        </w:rPr>
        <w:t>Ch</w:t>
      </w:r>
      <w:r w:rsidRPr="004369F3">
        <w:rPr>
          <w:sz w:val="22"/>
          <w:szCs w:val="22"/>
          <w:lang w:val="en-GB"/>
        </w:rPr>
        <w:t xml:space="preserve">ambers of commerce, business support and regional development agencies, farmer </w:t>
      </w:r>
      <w:r>
        <w:rPr>
          <w:sz w:val="22"/>
          <w:szCs w:val="22"/>
          <w:lang w:val="en-GB"/>
        </w:rPr>
        <w:t xml:space="preserve">associations </w:t>
      </w:r>
      <w:r w:rsidRPr="004369F3">
        <w:rPr>
          <w:sz w:val="22"/>
          <w:szCs w:val="22"/>
          <w:lang w:val="en-GB"/>
        </w:rPr>
        <w:t xml:space="preserve">and agro-industry associations, SME associations, </w:t>
      </w:r>
      <w:r>
        <w:rPr>
          <w:sz w:val="22"/>
          <w:szCs w:val="22"/>
          <w:lang w:val="en-GB"/>
        </w:rPr>
        <w:t>business associations</w:t>
      </w:r>
      <w:r w:rsidRPr="004369F3">
        <w:rPr>
          <w:sz w:val="22"/>
          <w:szCs w:val="22"/>
          <w:lang w:val="en-GB"/>
        </w:rPr>
        <w:t>, aquaculture and fisheries associations, migrant</w:t>
      </w:r>
      <w:r>
        <w:rPr>
          <w:sz w:val="22"/>
          <w:szCs w:val="22"/>
          <w:lang w:val="en-GB"/>
        </w:rPr>
        <w:t xml:space="preserve"> association</w:t>
      </w:r>
      <w:r w:rsidRPr="004369F3">
        <w:rPr>
          <w:sz w:val="22"/>
          <w:szCs w:val="22"/>
          <w:lang w:val="en-GB"/>
        </w:rPr>
        <w:t>s</w:t>
      </w:r>
      <w:r>
        <w:rPr>
          <w:sz w:val="22"/>
          <w:szCs w:val="22"/>
          <w:lang w:val="en-GB"/>
        </w:rPr>
        <w:t xml:space="preserve">, </w:t>
      </w:r>
      <w:r w:rsidRPr="004369F3">
        <w:rPr>
          <w:sz w:val="22"/>
          <w:szCs w:val="22"/>
          <w:lang w:val="en-GB"/>
        </w:rPr>
        <w:t>regional/local authorities and agencies</w:t>
      </w:r>
      <w:r>
        <w:rPr>
          <w:sz w:val="22"/>
          <w:szCs w:val="22"/>
          <w:lang w:val="en-GB"/>
        </w:rPr>
        <w:t xml:space="preserve"> and research institutes</w:t>
      </w:r>
      <w:r w:rsidRPr="004369F3">
        <w:rPr>
          <w:sz w:val="22"/>
          <w:szCs w:val="22"/>
          <w:lang w:val="en-GB"/>
        </w:rPr>
        <w:t>.</w:t>
      </w:r>
    </w:p>
    <w:p w:rsidR="00F16F0A" w:rsidRDefault="00F16F0A" w:rsidP="00F16F0A">
      <w:pPr>
        <w:spacing w:before="120" w:after="0" w:line="264" w:lineRule="auto"/>
        <w:jc w:val="both"/>
        <w:rPr>
          <w:b/>
          <w:sz w:val="22"/>
          <w:szCs w:val="22"/>
          <w:lang w:val="en-GB"/>
        </w:rPr>
      </w:pPr>
    </w:p>
    <w:p w:rsidR="00F16F0A" w:rsidRPr="00EE3C52" w:rsidRDefault="00F16F0A" w:rsidP="00F16F0A">
      <w:pPr>
        <w:pStyle w:val="ListBullet"/>
        <w:spacing w:before="120" w:after="0"/>
        <w:ind w:left="351" w:hanging="357"/>
        <w:jc w:val="both"/>
        <w:rPr>
          <w:sz w:val="22"/>
          <w:szCs w:val="22"/>
          <w:lang w:val="en-GB"/>
        </w:rPr>
      </w:pPr>
      <w:r w:rsidRPr="00EE3C52">
        <w:rPr>
          <w:sz w:val="22"/>
          <w:szCs w:val="22"/>
          <w:lang w:val="en-GB"/>
        </w:rPr>
        <w:t>The Bla</w:t>
      </w:r>
      <w:r>
        <w:rPr>
          <w:sz w:val="22"/>
          <w:szCs w:val="22"/>
          <w:lang w:val="en-GB"/>
        </w:rPr>
        <w:t xml:space="preserve">ck Sea Basin programme will contribute to the achievement of </w:t>
      </w:r>
      <w:r w:rsidRPr="00EE3C52">
        <w:rPr>
          <w:sz w:val="22"/>
          <w:szCs w:val="22"/>
          <w:lang w:val="en-GB"/>
        </w:rPr>
        <w:t xml:space="preserve">ENI CBC </w:t>
      </w:r>
      <w:r>
        <w:rPr>
          <w:sz w:val="22"/>
          <w:szCs w:val="22"/>
          <w:lang w:val="en-GB"/>
        </w:rPr>
        <w:t xml:space="preserve">Thematic </w:t>
      </w:r>
      <w:r w:rsidRPr="00EE3C52">
        <w:rPr>
          <w:sz w:val="22"/>
          <w:szCs w:val="22"/>
          <w:lang w:val="en-GB"/>
        </w:rPr>
        <w:t>Objective 6</w:t>
      </w:r>
      <w:r>
        <w:rPr>
          <w:sz w:val="22"/>
          <w:szCs w:val="22"/>
          <w:lang w:val="en-GB"/>
        </w:rPr>
        <w:t>. ‘</w:t>
      </w:r>
      <w:r w:rsidR="007E7479" w:rsidRPr="00856BFA">
        <w:rPr>
          <w:rFonts w:eastAsia="Calibri"/>
          <w:sz w:val="22"/>
          <w:szCs w:val="22"/>
          <w:lang w:val="fr-BE"/>
        </w:rPr>
        <w:t xml:space="preserve">Environmental protection, </w:t>
      </w:r>
      <w:r w:rsidR="007E7479">
        <w:rPr>
          <w:rFonts w:eastAsia="Calibri"/>
          <w:sz w:val="22"/>
          <w:szCs w:val="22"/>
          <w:lang w:val="fr-BE"/>
        </w:rPr>
        <w:t xml:space="preserve">and </w:t>
      </w:r>
      <w:r w:rsidR="007E7479" w:rsidRPr="00856BFA">
        <w:rPr>
          <w:rFonts w:eastAsia="Calibri"/>
          <w:sz w:val="22"/>
          <w:szCs w:val="22"/>
          <w:lang w:val="fr-BE"/>
        </w:rPr>
        <w:t xml:space="preserve">climate change </w:t>
      </w:r>
      <w:r w:rsidR="007E7479">
        <w:rPr>
          <w:rFonts w:eastAsia="Calibri"/>
          <w:sz w:val="22"/>
          <w:szCs w:val="22"/>
          <w:lang w:val="fr-BE"/>
        </w:rPr>
        <w:t xml:space="preserve">mitigation and </w:t>
      </w:r>
      <w:r w:rsidR="007E7479" w:rsidRPr="00856BFA">
        <w:rPr>
          <w:rFonts w:eastAsia="Calibri"/>
          <w:sz w:val="22"/>
          <w:szCs w:val="22"/>
          <w:lang w:val="fr-BE"/>
        </w:rPr>
        <w:t>adaptation</w:t>
      </w:r>
      <w:r w:rsidR="007E7479">
        <w:rPr>
          <w:rFonts w:eastAsia="Calibri"/>
          <w:sz w:val="22"/>
          <w:szCs w:val="22"/>
          <w:lang w:val="fr-BE"/>
        </w:rPr>
        <w:t>’</w:t>
      </w:r>
      <w:r w:rsidR="007E7479" w:rsidRPr="00856BFA">
        <w:rPr>
          <w:rFonts w:eastAsia="Calibri"/>
          <w:sz w:val="22"/>
          <w:szCs w:val="22"/>
          <w:lang w:val="fr-BE"/>
        </w:rPr>
        <w:t xml:space="preserve"> </w:t>
      </w:r>
      <w:r w:rsidRPr="00EE3C52">
        <w:rPr>
          <w:sz w:val="22"/>
          <w:szCs w:val="22"/>
          <w:lang w:val="en-GB"/>
        </w:rPr>
        <w:t xml:space="preserve">via </w:t>
      </w:r>
      <w:r>
        <w:rPr>
          <w:sz w:val="22"/>
          <w:szCs w:val="22"/>
          <w:lang w:val="en-GB"/>
        </w:rPr>
        <w:t>the programme</w:t>
      </w:r>
      <w:r w:rsidRPr="00EE3C52">
        <w:rPr>
          <w:sz w:val="22"/>
          <w:szCs w:val="22"/>
          <w:lang w:val="en-GB"/>
        </w:rPr>
        <w:t xml:space="preserve"> objective: </w:t>
      </w:r>
    </w:p>
    <w:p w:rsidR="00F16F0A" w:rsidRPr="00B2799E"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r w:rsidRPr="00393004">
        <w:rPr>
          <w:b/>
          <w:lang w:val="en-GB"/>
        </w:rPr>
        <w:t>Objective 2. Promote coordination of environmental protection and joint reduction of marine litter</w:t>
      </w:r>
      <w:r w:rsidRPr="00393004">
        <w:rPr>
          <w:rStyle w:val="FootnoteReference"/>
          <w:b/>
          <w:sz w:val="22"/>
          <w:szCs w:val="22"/>
          <w:lang w:val="en-GB"/>
        </w:rPr>
        <w:footnoteReference w:id="62"/>
      </w:r>
      <w:r w:rsidRPr="00393004">
        <w:rPr>
          <w:b/>
          <w:lang w:val="en-GB"/>
        </w:rPr>
        <w:t xml:space="preserve"> in</w:t>
      </w:r>
      <w:r w:rsidRPr="00B2799E">
        <w:rPr>
          <w:b/>
          <w:lang w:val="en-GB"/>
        </w:rPr>
        <w:t xml:space="preserve"> the Black Sea Basin</w:t>
      </w:r>
    </w:p>
    <w:p w:rsidR="00F16F0A" w:rsidRPr="007F002D" w:rsidRDefault="00F16F0A" w:rsidP="00F16F0A">
      <w:pPr>
        <w:pStyle w:val="ListBullet"/>
        <w:numPr>
          <w:ilvl w:val="0"/>
          <w:numId w:val="0"/>
        </w:numPr>
        <w:spacing w:before="120"/>
        <w:jc w:val="both"/>
        <w:rPr>
          <w:b/>
          <w:sz w:val="10"/>
          <w:szCs w:val="10"/>
          <w:lang w:val="en-GB"/>
        </w:rPr>
      </w:pPr>
    </w:p>
    <w:p w:rsidR="00F16F0A" w:rsidRPr="00BB7AEB" w:rsidRDefault="006102F6" w:rsidP="00F16F0A">
      <w:pPr>
        <w:pStyle w:val="ListBullet"/>
        <w:numPr>
          <w:ilvl w:val="0"/>
          <w:numId w:val="0"/>
        </w:numPr>
        <w:spacing w:before="120"/>
        <w:ind w:left="357"/>
        <w:jc w:val="both"/>
        <w:rPr>
          <w:sz w:val="22"/>
          <w:szCs w:val="22"/>
          <w:lang w:val="en-GB"/>
        </w:rPr>
      </w:pPr>
      <w:r>
        <w:rPr>
          <w:noProof/>
          <w:sz w:val="22"/>
          <w:szCs w:val="22"/>
          <w:lang w:val="ro-RO" w:eastAsia="ro-RO"/>
        </w:rPr>
        <w:drawing>
          <wp:inline distT="0" distB="0" distL="0" distR="0">
            <wp:extent cx="6639671" cy="1766624"/>
            <wp:effectExtent l="38100" t="19050" r="27829" b="5026"/>
            <wp:docPr id="40" name="Diagramm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F16F0A" w:rsidRPr="00393004" w:rsidRDefault="00F16F0A" w:rsidP="00F16F0A">
      <w:pPr>
        <w:spacing w:before="120" w:after="0" w:line="264" w:lineRule="auto"/>
        <w:jc w:val="both"/>
        <w:rPr>
          <w:sz w:val="22"/>
          <w:szCs w:val="22"/>
          <w:lang w:val="en-GB"/>
        </w:rPr>
      </w:pPr>
      <w:r w:rsidRPr="00393004">
        <w:rPr>
          <w:sz w:val="22"/>
          <w:szCs w:val="22"/>
          <w:lang w:val="en-GB"/>
        </w:rPr>
        <w:t>This programme objective will be addressed through two priorities, 2.1 and 2.2 defined for the Black Sea Basin and described below.</w:t>
      </w:r>
    </w:p>
    <w:p w:rsidR="00F16F0A" w:rsidRPr="00AC238F"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r w:rsidRPr="00393004">
        <w:rPr>
          <w:b/>
          <w:lang w:val="en-GB"/>
        </w:rPr>
        <w:t>Priority 2.1 – Improve joint environmental monitoring</w:t>
      </w:r>
      <w:r w:rsidRPr="00AC238F">
        <w:rPr>
          <w:b/>
          <w:lang w:val="en-GB"/>
        </w:rPr>
        <w:t xml:space="preserve"> </w:t>
      </w:r>
    </w:p>
    <w:p w:rsidR="00F16F0A" w:rsidRPr="005D0D8E" w:rsidRDefault="00F16F0A" w:rsidP="00F16F0A">
      <w:pPr>
        <w:spacing w:before="120" w:after="120" w:line="264" w:lineRule="auto"/>
        <w:rPr>
          <w:i/>
          <w:sz w:val="22"/>
          <w:szCs w:val="22"/>
          <w:lang w:val="en-GB"/>
        </w:rPr>
      </w:pPr>
      <w:r w:rsidRPr="005D0D8E">
        <w:rPr>
          <w:i/>
          <w:sz w:val="22"/>
          <w:szCs w:val="22"/>
          <w:lang w:val="en-GB"/>
        </w:rPr>
        <w:t xml:space="preserve">Justification </w:t>
      </w:r>
      <w:r>
        <w:rPr>
          <w:i/>
          <w:sz w:val="22"/>
          <w:szCs w:val="22"/>
          <w:lang w:val="en-GB"/>
        </w:rPr>
        <w:t>for the definition of Priority 2.1</w:t>
      </w:r>
      <w:r w:rsidRPr="005D0D8E">
        <w:rPr>
          <w:i/>
          <w:sz w:val="22"/>
          <w:szCs w:val="22"/>
          <w:lang w:val="en-GB"/>
        </w:rPr>
        <w:t>:</w:t>
      </w:r>
    </w:p>
    <w:p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Cooperation for solving common environmental issues</w:t>
      </w:r>
      <w:r w:rsidRPr="001B343A">
        <w:rPr>
          <w:sz w:val="22"/>
          <w:szCs w:val="22"/>
          <w:lang w:val="en-GB"/>
        </w:rPr>
        <w:t xml:space="preserve"> </w:t>
      </w:r>
      <w:r>
        <w:rPr>
          <w:sz w:val="22"/>
          <w:szCs w:val="22"/>
          <w:lang w:val="en-GB"/>
        </w:rPr>
        <w:t>is</w:t>
      </w:r>
      <w:r w:rsidRPr="001B343A">
        <w:rPr>
          <w:sz w:val="22"/>
          <w:szCs w:val="22"/>
          <w:lang w:val="en-GB"/>
        </w:rPr>
        <w:t xml:space="preserve"> strongly supported by the socio-economic and the SWOT analyses</w:t>
      </w:r>
      <w:r>
        <w:rPr>
          <w:sz w:val="22"/>
          <w:szCs w:val="22"/>
          <w:lang w:val="en-GB"/>
        </w:rPr>
        <w:t>. A sound and common knowledge base, regularly updated, is necessary for consistent and coordinated actions by stakeholders around the Black Sea and to assess trends and quickly and effectively react to threats.</w:t>
      </w:r>
    </w:p>
    <w:p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Measure 2.1 (strengthen joint knowledge and information base to address common environmental challenges) was by far the most popular area of cooperation in the 2007-2014 programme, both in terms of number of projects and partners (1/4 of all projects awarded and &gt;1/4 of all project partners) and in terms of funds allocated (1/3 of funds). The new ENI CBC programme should build upon and extend, but not repeat, the joint work already carried out. Actions supported should be consistent with, but not duplicate, existing information systems and monitoring activities carried out most notably by the Black Sea Commission</w:t>
      </w:r>
      <w:r w:rsidRPr="00EB5EBA">
        <w:rPr>
          <w:rStyle w:val="FootnoteReference"/>
          <w:sz w:val="22"/>
          <w:szCs w:val="22"/>
          <w:lang w:val="en-GB"/>
        </w:rPr>
        <w:footnoteReference w:id="63"/>
      </w:r>
      <w:r w:rsidRPr="00EB5EBA">
        <w:rPr>
          <w:sz w:val="22"/>
          <w:szCs w:val="22"/>
          <w:lang w:val="en-GB"/>
        </w:rPr>
        <w:t>.</w:t>
      </w:r>
    </w:p>
    <w:p w:rsidR="00F16F0A" w:rsidRPr="001B343A" w:rsidRDefault="00F16F0A" w:rsidP="00EE745F">
      <w:pPr>
        <w:pStyle w:val="ListParagraph"/>
        <w:numPr>
          <w:ilvl w:val="0"/>
          <w:numId w:val="14"/>
        </w:numPr>
        <w:spacing w:before="120" w:after="120" w:line="264" w:lineRule="auto"/>
        <w:ind w:left="714" w:hanging="357"/>
        <w:jc w:val="both"/>
        <w:rPr>
          <w:sz w:val="22"/>
          <w:szCs w:val="22"/>
          <w:lang w:val="et-EE"/>
        </w:rPr>
      </w:pPr>
      <w:r w:rsidRPr="001B343A">
        <w:rPr>
          <w:sz w:val="22"/>
          <w:szCs w:val="22"/>
          <w:lang w:val="en-GB"/>
        </w:rPr>
        <w:t xml:space="preserve">Both the questionnaire </w:t>
      </w:r>
      <w:r>
        <w:rPr>
          <w:sz w:val="22"/>
          <w:szCs w:val="22"/>
          <w:lang w:val="en-GB"/>
        </w:rPr>
        <w:t xml:space="preserve">results </w:t>
      </w:r>
      <w:r w:rsidRPr="001B343A">
        <w:rPr>
          <w:sz w:val="22"/>
          <w:szCs w:val="22"/>
          <w:lang w:val="en-GB"/>
        </w:rPr>
        <w:t>and</w:t>
      </w:r>
      <w:r>
        <w:rPr>
          <w:sz w:val="22"/>
          <w:szCs w:val="22"/>
          <w:lang w:val="et-EE"/>
        </w:rPr>
        <w:t xml:space="preserve"> the consultations confirm </w:t>
      </w:r>
      <w:r w:rsidRPr="001B343A">
        <w:rPr>
          <w:sz w:val="22"/>
          <w:szCs w:val="22"/>
          <w:lang w:val="et-EE"/>
        </w:rPr>
        <w:t>ther</w:t>
      </w:r>
      <w:r>
        <w:rPr>
          <w:sz w:val="22"/>
          <w:szCs w:val="22"/>
          <w:lang w:val="et-EE"/>
        </w:rPr>
        <w:t>e is a clear interest in environmental</w:t>
      </w:r>
      <w:r w:rsidRPr="001B343A">
        <w:rPr>
          <w:sz w:val="22"/>
          <w:szCs w:val="22"/>
          <w:lang w:val="et-EE"/>
        </w:rPr>
        <w:t xml:space="preserve"> </w:t>
      </w:r>
      <w:r>
        <w:rPr>
          <w:sz w:val="22"/>
          <w:szCs w:val="22"/>
          <w:lang w:val="et-EE"/>
        </w:rPr>
        <w:t>issues, in particular in monitoring and risk assessment.</w:t>
      </w:r>
    </w:p>
    <w:p w:rsidR="00F16F0A" w:rsidRPr="00A303CB" w:rsidRDefault="00F16F0A" w:rsidP="00F16F0A">
      <w:pPr>
        <w:spacing w:before="60" w:after="0" w:line="264" w:lineRule="auto"/>
        <w:jc w:val="both"/>
        <w:rPr>
          <w:i/>
          <w:sz w:val="22"/>
          <w:szCs w:val="22"/>
          <w:lang w:val="en-GB"/>
        </w:rPr>
      </w:pPr>
      <w:r>
        <w:rPr>
          <w:i/>
          <w:sz w:val="22"/>
          <w:szCs w:val="22"/>
          <w:lang w:val="en-GB"/>
        </w:rPr>
        <w:t>Expected result under Priority 2</w:t>
      </w:r>
      <w:r w:rsidRPr="00A303CB">
        <w:rPr>
          <w:i/>
          <w:sz w:val="22"/>
          <w:szCs w:val="22"/>
          <w:lang w:val="en-GB"/>
        </w:rPr>
        <w:t>.1:</w:t>
      </w:r>
    </w:p>
    <w:p w:rsidR="00F16F0A" w:rsidRPr="006129DD" w:rsidRDefault="00F16F0A" w:rsidP="00F16F0A">
      <w:pPr>
        <w:pStyle w:val="ListParagraph"/>
        <w:spacing w:after="60" w:line="264" w:lineRule="auto"/>
        <w:ind w:left="714"/>
        <w:jc w:val="both"/>
        <w:rPr>
          <w:sz w:val="22"/>
          <w:szCs w:val="22"/>
          <w:lang w:val="en-GB"/>
        </w:rPr>
      </w:pPr>
      <w:r w:rsidRPr="0016012A">
        <w:rPr>
          <w:sz w:val="22"/>
          <w:szCs w:val="22"/>
          <w:lang w:val="en-GB"/>
        </w:rPr>
        <w:t>Improved availability of cross-border compatible environmental monitoring data and information within the Black Sea Basin</w:t>
      </w:r>
    </w:p>
    <w:p w:rsidR="00F16F0A" w:rsidRPr="001A1D98" w:rsidRDefault="00F16F0A" w:rsidP="00F16F0A">
      <w:pPr>
        <w:spacing w:before="120" w:after="120" w:line="264" w:lineRule="auto"/>
        <w:jc w:val="both"/>
        <w:rPr>
          <w:i/>
          <w:sz w:val="22"/>
          <w:szCs w:val="22"/>
          <w:lang w:val="en-GB"/>
        </w:rPr>
      </w:pPr>
      <w:r w:rsidRPr="001A1D98">
        <w:rPr>
          <w:i/>
          <w:sz w:val="22"/>
          <w:szCs w:val="22"/>
          <w:lang w:val="en-GB"/>
        </w:rPr>
        <w:t>Indicative activiti</w:t>
      </w:r>
      <w:r>
        <w:rPr>
          <w:i/>
          <w:sz w:val="22"/>
          <w:szCs w:val="22"/>
          <w:lang w:val="en-GB"/>
        </w:rPr>
        <w:t>es/orientations under Priority 2.1</w:t>
      </w:r>
      <w:r w:rsidRPr="001A1D98">
        <w:rPr>
          <w:i/>
          <w:sz w:val="22"/>
          <w:szCs w:val="22"/>
          <w:lang w:val="en-GB"/>
        </w:rPr>
        <w:t>:</w:t>
      </w:r>
    </w:p>
    <w:p w:rsidR="00F16F0A" w:rsidRPr="002002EA" w:rsidRDefault="00F16F0A" w:rsidP="00EE745F">
      <w:pPr>
        <w:pStyle w:val="ListParagraph"/>
        <w:numPr>
          <w:ilvl w:val="0"/>
          <w:numId w:val="16"/>
        </w:numPr>
        <w:spacing w:before="120" w:after="0" w:line="264" w:lineRule="auto"/>
        <w:jc w:val="both"/>
        <w:rPr>
          <w:rFonts w:eastAsia="Times New Roman"/>
          <w:sz w:val="22"/>
          <w:szCs w:val="22"/>
          <w:lang w:val="en-GB"/>
        </w:rPr>
      </w:pPr>
      <w:r w:rsidRPr="002002EA">
        <w:rPr>
          <w:rFonts w:eastAsia="Times New Roman"/>
          <w:sz w:val="22"/>
          <w:szCs w:val="22"/>
          <w:lang w:val="en-GB"/>
        </w:rPr>
        <w:t xml:space="preserve">Reinforce joint and compatible cross-border monitoring, evaluation and information systems, tools and capacity to prevent and control transboundary pollution (including through small-scale investments). </w:t>
      </w:r>
    </w:p>
    <w:p w:rsidR="00F16F0A" w:rsidRPr="004369F3" w:rsidRDefault="00F16F0A" w:rsidP="00EE745F">
      <w:pPr>
        <w:pStyle w:val="ListParagraph"/>
        <w:numPr>
          <w:ilvl w:val="0"/>
          <w:numId w:val="16"/>
        </w:numPr>
        <w:spacing w:before="120" w:after="0" w:line="264" w:lineRule="auto"/>
        <w:jc w:val="both"/>
        <w:rPr>
          <w:rFonts w:eastAsia="Times New Roman"/>
          <w:sz w:val="22"/>
          <w:szCs w:val="22"/>
          <w:lang w:val="en-GB"/>
        </w:rPr>
      </w:pPr>
      <w:r w:rsidRPr="004369F3">
        <w:rPr>
          <w:rFonts w:eastAsia="Times New Roman"/>
          <w:sz w:val="22"/>
          <w:szCs w:val="22"/>
          <w:lang w:val="en-GB"/>
        </w:rPr>
        <w:t>Improve</w:t>
      </w:r>
      <w:r>
        <w:rPr>
          <w:rFonts w:eastAsia="Times New Roman"/>
          <w:sz w:val="22"/>
          <w:szCs w:val="22"/>
          <w:lang w:val="en-GB"/>
        </w:rPr>
        <w:t xml:space="preserve"> long-term</w:t>
      </w:r>
      <w:r w:rsidRPr="004369F3">
        <w:rPr>
          <w:rFonts w:eastAsia="Times New Roman"/>
          <w:sz w:val="22"/>
          <w:szCs w:val="22"/>
          <w:lang w:val="en-GB"/>
        </w:rPr>
        <w:t xml:space="preserve"> cross-border collaboration, information and research capacity (including innovative technologies) </w:t>
      </w:r>
      <w:r>
        <w:rPr>
          <w:rFonts w:eastAsia="Times New Roman"/>
          <w:sz w:val="22"/>
          <w:szCs w:val="22"/>
          <w:lang w:val="en-GB"/>
        </w:rPr>
        <w:t>for</w:t>
      </w:r>
      <w:r w:rsidRPr="004369F3">
        <w:rPr>
          <w:rFonts w:eastAsia="Times New Roman"/>
          <w:sz w:val="22"/>
          <w:szCs w:val="22"/>
          <w:lang w:val="en-GB"/>
        </w:rPr>
        <w:t xml:space="preserve"> </w:t>
      </w:r>
      <w:r>
        <w:rPr>
          <w:rFonts w:eastAsia="Times New Roman"/>
          <w:sz w:val="22"/>
          <w:szCs w:val="22"/>
          <w:lang w:val="en-GB"/>
        </w:rPr>
        <w:t xml:space="preserve">addressing </w:t>
      </w:r>
      <w:r w:rsidRPr="00B54DBF">
        <w:rPr>
          <w:rFonts w:eastAsia="Times New Roman"/>
          <w:sz w:val="22"/>
          <w:szCs w:val="22"/>
          <w:lang w:val="en-GB"/>
        </w:rPr>
        <w:t>ecosystem transformation</w:t>
      </w:r>
      <w:r w:rsidRPr="004369F3">
        <w:rPr>
          <w:rFonts w:eastAsia="Times New Roman"/>
          <w:sz w:val="22"/>
          <w:szCs w:val="22"/>
          <w:lang w:val="en-GB"/>
        </w:rPr>
        <w:t>, biodiversity monitoring and migration of species.</w:t>
      </w:r>
    </w:p>
    <w:p w:rsidR="00F16F0A" w:rsidRPr="00AE3464" w:rsidRDefault="00F16F0A" w:rsidP="00EE745F">
      <w:pPr>
        <w:pStyle w:val="ListParagraph"/>
        <w:numPr>
          <w:ilvl w:val="0"/>
          <w:numId w:val="16"/>
        </w:numPr>
        <w:spacing w:before="120" w:after="120" w:line="264" w:lineRule="auto"/>
        <w:jc w:val="both"/>
        <w:rPr>
          <w:sz w:val="22"/>
          <w:szCs w:val="22"/>
          <w:lang w:val="en-GB"/>
        </w:rPr>
      </w:pPr>
      <w:r w:rsidRPr="00AE3464">
        <w:rPr>
          <w:sz w:val="22"/>
          <w:szCs w:val="22"/>
          <w:lang w:val="en-GB"/>
        </w:rPr>
        <w:t>Jointly strengthen collaboration between science, industry, relevant stakeholders and decision-makers to address integrated coastal management issues</w:t>
      </w:r>
      <w:r>
        <w:rPr>
          <w:sz w:val="22"/>
          <w:szCs w:val="22"/>
          <w:lang w:val="en-GB"/>
        </w:rPr>
        <w:t xml:space="preserve"> and to </w:t>
      </w:r>
      <w:r w:rsidRPr="00AE3464">
        <w:rPr>
          <w:sz w:val="22"/>
          <w:szCs w:val="22"/>
          <w:lang w:val="en-GB"/>
        </w:rPr>
        <w:t xml:space="preserve">harmonise monitoring, marine environment assessment and data provision. </w:t>
      </w:r>
    </w:p>
    <w:p w:rsidR="00F16F0A" w:rsidRDefault="00F16F0A" w:rsidP="00EE745F">
      <w:pPr>
        <w:pStyle w:val="ListParagraph"/>
        <w:numPr>
          <w:ilvl w:val="0"/>
          <w:numId w:val="16"/>
        </w:numPr>
        <w:spacing w:before="120" w:after="120" w:line="264" w:lineRule="auto"/>
        <w:jc w:val="both"/>
        <w:rPr>
          <w:sz w:val="22"/>
          <w:szCs w:val="22"/>
          <w:lang w:val="en-GB"/>
        </w:rPr>
      </w:pPr>
      <w:r w:rsidRPr="00AE3464">
        <w:rPr>
          <w:sz w:val="22"/>
          <w:szCs w:val="22"/>
          <w:lang w:val="en-GB"/>
        </w:rPr>
        <w:t>Improve the availability and cross-border interoperability of updated online public access data and data</w:t>
      </w:r>
      <w:r w:rsidRPr="00B866E0">
        <w:rPr>
          <w:sz w:val="22"/>
          <w:szCs w:val="22"/>
          <w:lang w:val="en-GB"/>
        </w:rPr>
        <w:t xml:space="preserve"> products (e.g. maps) for the Black Sea </w:t>
      </w:r>
      <w:r w:rsidRPr="004369F3">
        <w:rPr>
          <w:rFonts w:eastAsia="Times New Roman"/>
          <w:sz w:val="22"/>
          <w:szCs w:val="22"/>
          <w:lang w:val="en-GB"/>
        </w:rPr>
        <w:t xml:space="preserve">so </w:t>
      </w:r>
      <w:r w:rsidRPr="00B866E0">
        <w:rPr>
          <w:sz w:val="22"/>
          <w:szCs w:val="22"/>
          <w:lang w:val="en-GB"/>
        </w:rPr>
        <w:t>industry, public authorities, NGOs</w:t>
      </w:r>
      <w:r>
        <w:rPr>
          <w:sz w:val="22"/>
          <w:szCs w:val="22"/>
          <w:lang w:val="en-GB"/>
        </w:rPr>
        <w:t xml:space="preserve"> and</w:t>
      </w:r>
      <w:r w:rsidRPr="00B866E0">
        <w:rPr>
          <w:sz w:val="22"/>
          <w:szCs w:val="22"/>
          <w:lang w:val="en-GB"/>
        </w:rPr>
        <w:t xml:space="preserve"> researchers may make more effective use of them</w:t>
      </w:r>
      <w:r>
        <w:rPr>
          <w:sz w:val="22"/>
          <w:szCs w:val="22"/>
          <w:lang w:val="en-GB"/>
        </w:rPr>
        <w:t>.</w:t>
      </w:r>
    </w:p>
    <w:p w:rsidR="00F16F0A" w:rsidRPr="00A94413" w:rsidRDefault="00F16F0A" w:rsidP="00EE745F">
      <w:pPr>
        <w:pStyle w:val="ListParagraph"/>
        <w:numPr>
          <w:ilvl w:val="0"/>
          <w:numId w:val="16"/>
        </w:numPr>
        <w:spacing w:after="60" w:line="264" w:lineRule="auto"/>
        <w:ind w:left="714" w:hanging="357"/>
        <w:jc w:val="both"/>
        <w:rPr>
          <w:sz w:val="22"/>
          <w:szCs w:val="22"/>
          <w:lang w:val="en-GB"/>
        </w:rPr>
      </w:pPr>
      <w:r w:rsidRPr="004369F3">
        <w:rPr>
          <w:rFonts w:eastAsia="Times New Roman"/>
          <w:bCs/>
          <w:sz w:val="22"/>
          <w:szCs w:val="22"/>
          <w:lang w:val="en-GB"/>
        </w:rPr>
        <w:t xml:space="preserve">Promote cross-border cooperation among maritime authorities responsible for activities such as safe navigation or fisheries control </w:t>
      </w:r>
      <w:r>
        <w:rPr>
          <w:rFonts w:eastAsia="Times New Roman"/>
          <w:bCs/>
          <w:sz w:val="22"/>
          <w:szCs w:val="22"/>
          <w:lang w:val="en-GB"/>
        </w:rPr>
        <w:t xml:space="preserve">so </w:t>
      </w:r>
      <w:r w:rsidRPr="004369F3">
        <w:rPr>
          <w:rFonts w:eastAsia="Times New Roman"/>
          <w:bCs/>
          <w:sz w:val="22"/>
          <w:szCs w:val="22"/>
          <w:lang w:val="en-GB"/>
        </w:rPr>
        <w:t>to share information on risks and threats (integrated maritime surveillance).</w:t>
      </w:r>
    </w:p>
    <w:p w:rsidR="00F16F0A" w:rsidRPr="006D0A40" w:rsidRDefault="00F16F0A" w:rsidP="00EE745F">
      <w:pPr>
        <w:pStyle w:val="ListParagraph"/>
        <w:numPr>
          <w:ilvl w:val="0"/>
          <w:numId w:val="16"/>
        </w:numPr>
        <w:spacing w:after="60" w:line="264" w:lineRule="auto"/>
        <w:ind w:left="714" w:hanging="357"/>
        <w:jc w:val="both"/>
        <w:rPr>
          <w:rFonts w:eastAsia="Times New Roman"/>
          <w:bCs/>
          <w:sz w:val="22"/>
          <w:szCs w:val="22"/>
          <w:lang w:val="en-GB"/>
        </w:rPr>
      </w:pPr>
      <w:r w:rsidRPr="006D0A40">
        <w:rPr>
          <w:rFonts w:eastAsia="Times New Roman"/>
          <w:bCs/>
          <w:sz w:val="22"/>
          <w:szCs w:val="22"/>
          <w:lang w:val="en-GB"/>
        </w:rPr>
        <w:t>Improve cooperation</w:t>
      </w:r>
      <w:r w:rsidR="006D0A40">
        <w:rPr>
          <w:rFonts w:eastAsia="Times New Roman"/>
          <w:bCs/>
          <w:sz w:val="22"/>
          <w:szCs w:val="22"/>
          <w:lang w:val="en-GB"/>
        </w:rPr>
        <w:t xml:space="preserve"> </w:t>
      </w:r>
      <w:r w:rsidR="006D0A40" w:rsidRPr="00197A31">
        <w:rPr>
          <w:rFonts w:eastAsia="Times New Roman"/>
          <w:bCs/>
          <w:sz w:val="22"/>
          <w:szCs w:val="22"/>
          <w:lang w:val="en-GB"/>
        </w:rPr>
        <w:t>on environmental monitoring</w:t>
      </w:r>
      <w:r w:rsidRPr="006D0A40">
        <w:rPr>
          <w:rFonts w:eastAsia="Times New Roman"/>
          <w:bCs/>
          <w:sz w:val="22"/>
          <w:szCs w:val="22"/>
          <w:lang w:val="en-GB"/>
        </w:rPr>
        <w:t xml:space="preserve"> between stakeholders involved in disaster prevention and management.</w:t>
      </w:r>
    </w:p>
    <w:p w:rsidR="00F16F0A" w:rsidRPr="009E0022" w:rsidRDefault="00F16F0A" w:rsidP="00EE745F">
      <w:pPr>
        <w:pStyle w:val="ListParagraph"/>
        <w:numPr>
          <w:ilvl w:val="0"/>
          <w:numId w:val="16"/>
        </w:numPr>
        <w:spacing w:after="60" w:line="264" w:lineRule="auto"/>
        <w:ind w:left="714" w:hanging="357"/>
        <w:jc w:val="both"/>
        <w:rPr>
          <w:sz w:val="22"/>
          <w:szCs w:val="22"/>
          <w:lang w:val="en-GB"/>
        </w:rPr>
      </w:pPr>
      <w:r w:rsidRPr="004369F3">
        <w:rPr>
          <w:rFonts w:eastAsia="Times New Roman"/>
          <w:sz w:val="22"/>
          <w:szCs w:val="22"/>
          <w:lang w:val="en-GB"/>
        </w:rPr>
        <w:t>Enhance contact among countries and exchange good practice on early warning systems that allow the population exposed to hazards to take appropriate actions to avoid/reduce risk and to prepare effective responses</w:t>
      </w:r>
      <w:r>
        <w:rPr>
          <w:rFonts w:eastAsia="Times New Roman"/>
          <w:sz w:val="22"/>
          <w:szCs w:val="22"/>
          <w:lang w:val="en-GB"/>
        </w:rPr>
        <w:t>;</w:t>
      </w:r>
      <w:r w:rsidR="00FA7412">
        <w:rPr>
          <w:rFonts w:eastAsia="Times New Roman"/>
          <w:sz w:val="22"/>
          <w:szCs w:val="22"/>
          <w:lang w:val="en-GB"/>
        </w:rPr>
        <w:t xml:space="preserve"> </w:t>
      </w:r>
      <w:r w:rsidR="00FA7412" w:rsidRPr="00197A31">
        <w:rPr>
          <w:rFonts w:eastAsia="Times New Roman"/>
          <w:sz w:val="22"/>
          <w:szCs w:val="22"/>
          <w:lang w:val="en-GB"/>
        </w:rPr>
        <w:t>improve availability of environmental information for</w:t>
      </w:r>
      <w:r w:rsidRPr="00197A31">
        <w:rPr>
          <w:rFonts w:eastAsia="Times New Roman"/>
          <w:sz w:val="22"/>
          <w:szCs w:val="22"/>
          <w:lang w:val="en-GB"/>
        </w:rPr>
        <w:t xml:space="preserve"> the</w:t>
      </w:r>
      <w:r>
        <w:rPr>
          <w:rFonts w:eastAsia="Times New Roman"/>
          <w:sz w:val="22"/>
          <w:szCs w:val="22"/>
          <w:lang w:val="en-GB"/>
        </w:rPr>
        <w:t xml:space="preserve"> </w:t>
      </w:r>
      <w:r w:rsidRPr="00287873">
        <w:rPr>
          <w:rFonts w:eastAsia="Times New Roman"/>
          <w:sz w:val="22"/>
          <w:szCs w:val="22"/>
          <w:lang w:val="en-GB"/>
        </w:rPr>
        <w:t xml:space="preserve">population regarding </w:t>
      </w:r>
      <w:r>
        <w:rPr>
          <w:rFonts w:eastAsia="Times New Roman"/>
          <w:sz w:val="22"/>
          <w:szCs w:val="22"/>
          <w:lang w:val="en-GB"/>
        </w:rPr>
        <w:t xml:space="preserve">notably </w:t>
      </w:r>
      <w:r w:rsidRPr="00287873">
        <w:rPr>
          <w:rFonts w:eastAsia="Times New Roman"/>
          <w:sz w:val="22"/>
          <w:szCs w:val="22"/>
          <w:lang w:val="en-GB"/>
        </w:rPr>
        <w:t>the risk of earthquakes, floods and forest fires</w:t>
      </w:r>
      <w:r w:rsidRPr="004369F3">
        <w:rPr>
          <w:rFonts w:eastAsia="Times New Roman"/>
          <w:sz w:val="22"/>
          <w:szCs w:val="22"/>
          <w:lang w:val="en-GB"/>
        </w:rPr>
        <w:t>.</w:t>
      </w:r>
    </w:p>
    <w:p w:rsidR="00F16F0A" w:rsidRPr="00AF6973" w:rsidRDefault="00F16F0A" w:rsidP="00F16F0A">
      <w:pPr>
        <w:spacing w:before="120" w:after="120" w:line="264" w:lineRule="auto"/>
        <w:jc w:val="both"/>
        <w:rPr>
          <w:i/>
          <w:sz w:val="22"/>
          <w:szCs w:val="22"/>
          <w:lang w:val="en-GB"/>
        </w:rPr>
      </w:pPr>
      <w:r w:rsidRPr="00AF6973">
        <w:rPr>
          <w:i/>
          <w:sz w:val="22"/>
          <w:szCs w:val="22"/>
          <w:lang w:val="en-GB"/>
        </w:rPr>
        <w:t>Target groups</w:t>
      </w:r>
      <w:r>
        <w:rPr>
          <w:i/>
          <w:sz w:val="22"/>
          <w:szCs w:val="22"/>
          <w:lang w:val="en-GB"/>
        </w:rPr>
        <w:t xml:space="preserve"> for Priority 2.1:</w:t>
      </w:r>
    </w:p>
    <w:p w:rsidR="00F16F0A" w:rsidRPr="00393004" w:rsidRDefault="00F16F0A" w:rsidP="00F16F0A">
      <w:pPr>
        <w:spacing w:after="0" w:line="240" w:lineRule="auto"/>
        <w:jc w:val="both"/>
        <w:rPr>
          <w:rFonts w:eastAsia="Times New Roman"/>
          <w:sz w:val="22"/>
          <w:szCs w:val="22"/>
          <w:lang w:val="en-GB"/>
        </w:rPr>
      </w:pPr>
      <w:r w:rsidRPr="004369F3">
        <w:rPr>
          <w:rFonts w:eastAsia="Times New Roman"/>
          <w:sz w:val="22"/>
          <w:szCs w:val="22"/>
          <w:lang w:val="en-GB"/>
        </w:rPr>
        <w:t>Scientific (oceanographic, hydrographic, meteorologic, seismic) agencies and institutes/research centers/universities, coastal, maritime and port authorities, local/regional authorities and agencies, fisheries associations, environmental NGOs, nature parks and protected areas (including marine)</w:t>
      </w:r>
      <w:r>
        <w:rPr>
          <w:rFonts w:eastAsia="Times New Roman"/>
          <w:sz w:val="22"/>
          <w:szCs w:val="22"/>
          <w:lang w:val="en-GB"/>
        </w:rPr>
        <w:t xml:space="preserve"> management bodies</w:t>
      </w:r>
      <w:r w:rsidRPr="004369F3">
        <w:rPr>
          <w:rFonts w:eastAsia="Times New Roman"/>
          <w:sz w:val="22"/>
          <w:szCs w:val="22"/>
          <w:lang w:val="en-GB"/>
        </w:rPr>
        <w:t xml:space="preserve"> </w:t>
      </w:r>
      <w:r>
        <w:rPr>
          <w:rFonts w:eastAsia="Times New Roman"/>
          <w:sz w:val="22"/>
          <w:szCs w:val="22"/>
          <w:lang w:val="en-GB"/>
        </w:rPr>
        <w:t xml:space="preserve">and </w:t>
      </w:r>
      <w:r w:rsidRPr="004369F3">
        <w:rPr>
          <w:rFonts w:eastAsia="Times New Roman"/>
          <w:sz w:val="22"/>
          <w:szCs w:val="22"/>
          <w:lang w:val="en-GB"/>
        </w:rPr>
        <w:t xml:space="preserve">schools and educational </w:t>
      </w:r>
      <w:r w:rsidRPr="00393004">
        <w:rPr>
          <w:rFonts w:eastAsia="Times New Roman"/>
          <w:sz w:val="22"/>
          <w:szCs w:val="22"/>
          <w:lang w:val="en-GB"/>
        </w:rPr>
        <w:t xml:space="preserve">institutions. </w:t>
      </w:r>
    </w:p>
    <w:p w:rsidR="00F16F0A" w:rsidRPr="00393004" w:rsidRDefault="00F16F0A" w:rsidP="00F16F0A">
      <w:pPr>
        <w:spacing w:after="0" w:line="240" w:lineRule="auto"/>
        <w:jc w:val="both"/>
        <w:rPr>
          <w:rFonts w:eastAsia="Times New Roman"/>
          <w:sz w:val="22"/>
          <w:szCs w:val="22"/>
          <w:lang w:val="en-GB"/>
        </w:rPr>
      </w:pPr>
    </w:p>
    <w:p w:rsidR="00F16F0A" w:rsidRPr="00393004"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r w:rsidRPr="00393004">
        <w:rPr>
          <w:b/>
          <w:lang w:val="en-GB"/>
        </w:rPr>
        <w:t xml:space="preserve">Priority 2.2 - Promote common awareness-raising and joint actions </w:t>
      </w:r>
      <w:r>
        <w:rPr>
          <w:b/>
          <w:lang w:val="en-GB"/>
        </w:rPr>
        <w:t>to reduce</w:t>
      </w:r>
      <w:r w:rsidRPr="00393004">
        <w:rPr>
          <w:b/>
          <w:lang w:val="en-GB"/>
        </w:rPr>
        <w:t xml:space="preserve"> river and marine litter</w:t>
      </w:r>
    </w:p>
    <w:p w:rsidR="00F16F0A" w:rsidRPr="006E6E0C" w:rsidRDefault="00F16F0A" w:rsidP="00F16F0A">
      <w:pPr>
        <w:spacing w:before="120" w:after="120" w:line="264" w:lineRule="auto"/>
        <w:rPr>
          <w:i/>
          <w:sz w:val="22"/>
          <w:szCs w:val="22"/>
          <w:lang w:val="en-GB"/>
        </w:rPr>
      </w:pPr>
      <w:bookmarkStart w:id="68" w:name="_Toc240652266"/>
      <w:bookmarkStart w:id="69" w:name="_Toc240652265"/>
      <w:r w:rsidRPr="00393004">
        <w:rPr>
          <w:i/>
          <w:sz w:val="22"/>
          <w:szCs w:val="22"/>
          <w:lang w:val="en-GB"/>
        </w:rPr>
        <w:t>Justification for the definition of Priority 2.2:</w:t>
      </w:r>
    </w:p>
    <w:p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Cooperation in solving common environmental issues</w:t>
      </w:r>
      <w:r w:rsidRPr="001B343A">
        <w:rPr>
          <w:sz w:val="22"/>
          <w:szCs w:val="22"/>
          <w:lang w:val="en-GB"/>
        </w:rPr>
        <w:t xml:space="preserve"> </w:t>
      </w:r>
      <w:r>
        <w:rPr>
          <w:sz w:val="22"/>
          <w:szCs w:val="22"/>
          <w:lang w:val="en-GB"/>
        </w:rPr>
        <w:t>is</w:t>
      </w:r>
      <w:r w:rsidRPr="001B343A">
        <w:rPr>
          <w:sz w:val="22"/>
          <w:szCs w:val="22"/>
          <w:lang w:val="en-GB"/>
        </w:rPr>
        <w:t xml:space="preserve"> strongly supported by the socio-economic and the SWOT analyses</w:t>
      </w:r>
      <w:r>
        <w:rPr>
          <w:sz w:val="22"/>
          <w:szCs w:val="22"/>
          <w:lang w:val="en-GB"/>
        </w:rPr>
        <w:t xml:space="preserve">. </w:t>
      </w:r>
      <w:r w:rsidRPr="004369F3">
        <w:rPr>
          <w:rFonts w:eastAsia="Times New Roman"/>
          <w:sz w:val="22"/>
          <w:szCs w:val="22"/>
          <w:lang w:val="en-GB"/>
        </w:rPr>
        <w:t xml:space="preserve">Litter originating from </w:t>
      </w:r>
      <w:r>
        <w:rPr>
          <w:rFonts w:eastAsia="Times New Roman"/>
          <w:sz w:val="22"/>
          <w:szCs w:val="22"/>
          <w:lang w:val="en-GB"/>
        </w:rPr>
        <w:t>shipping, land</w:t>
      </w:r>
      <w:r w:rsidRPr="004369F3">
        <w:rPr>
          <w:rFonts w:eastAsia="Times New Roman"/>
          <w:sz w:val="22"/>
          <w:szCs w:val="22"/>
          <w:lang w:val="en-GB"/>
        </w:rPr>
        <w:t xml:space="preserve"> or rivers within the Black Sea drainage basin results in a ‘visible’ pollution problem along the rivers and coasts, in the sea itself and on the sea</w:t>
      </w:r>
      <w:r>
        <w:rPr>
          <w:rFonts w:eastAsia="Times New Roman"/>
          <w:sz w:val="22"/>
          <w:szCs w:val="22"/>
          <w:lang w:val="en-GB"/>
        </w:rPr>
        <w:t>bed</w:t>
      </w:r>
      <w:r w:rsidRPr="004369F3">
        <w:rPr>
          <w:rFonts w:eastAsia="Times New Roman"/>
          <w:sz w:val="22"/>
          <w:szCs w:val="22"/>
          <w:lang w:val="en-GB"/>
        </w:rPr>
        <w:t xml:space="preserve">. It is a joint transboundary problem, as the sea basin dynamic current system </w:t>
      </w:r>
      <w:r>
        <w:rPr>
          <w:rFonts w:eastAsia="Times New Roman"/>
          <w:sz w:val="22"/>
          <w:szCs w:val="22"/>
          <w:lang w:val="en-GB"/>
        </w:rPr>
        <w:t xml:space="preserve">results in the </w:t>
      </w:r>
      <w:r w:rsidRPr="004369F3">
        <w:rPr>
          <w:rFonts w:eastAsia="Times New Roman"/>
          <w:sz w:val="22"/>
          <w:szCs w:val="22"/>
          <w:lang w:val="en-GB"/>
        </w:rPr>
        <w:t xml:space="preserve">transportation of any matter from a given location in the Black sea to almost any coastal area. It has an impact on people’s welfare and economic activities such as tourism development; it often </w:t>
      </w:r>
      <w:r>
        <w:rPr>
          <w:rFonts w:eastAsia="Times New Roman"/>
          <w:sz w:val="22"/>
          <w:szCs w:val="22"/>
          <w:lang w:val="en-GB"/>
        </w:rPr>
        <w:t>harms or kills</w:t>
      </w:r>
      <w:r w:rsidRPr="004369F3">
        <w:rPr>
          <w:rFonts w:eastAsia="Times New Roman"/>
          <w:sz w:val="22"/>
          <w:szCs w:val="22"/>
          <w:lang w:val="en-GB"/>
        </w:rPr>
        <w:t xml:space="preserve"> </w:t>
      </w:r>
      <w:r>
        <w:rPr>
          <w:rFonts w:eastAsia="Times New Roman"/>
          <w:sz w:val="22"/>
          <w:szCs w:val="22"/>
          <w:lang w:val="en-GB"/>
        </w:rPr>
        <w:t>marine life,</w:t>
      </w:r>
      <w:r w:rsidRPr="004369F3">
        <w:rPr>
          <w:rFonts w:eastAsia="Times New Roman"/>
          <w:sz w:val="22"/>
          <w:szCs w:val="22"/>
          <w:lang w:val="en-GB"/>
        </w:rPr>
        <w:t xml:space="preserve"> and might threaten the biodiversity of the Black </w:t>
      </w:r>
      <w:r>
        <w:rPr>
          <w:rFonts w:eastAsia="Times New Roman"/>
          <w:sz w:val="22"/>
          <w:szCs w:val="22"/>
          <w:lang w:val="en-GB"/>
        </w:rPr>
        <w:t>S</w:t>
      </w:r>
      <w:r w:rsidRPr="004369F3">
        <w:rPr>
          <w:rFonts w:eastAsia="Times New Roman"/>
          <w:sz w:val="22"/>
          <w:szCs w:val="22"/>
          <w:lang w:val="en-GB"/>
        </w:rPr>
        <w:t xml:space="preserve">ea. </w:t>
      </w:r>
      <w:r>
        <w:rPr>
          <w:sz w:val="22"/>
          <w:szCs w:val="22"/>
          <w:lang w:val="en-GB"/>
        </w:rPr>
        <w:t>Direct mobilisation of local/regional stakeholders and enhancement of responsible citizenship could have a strong effect on reducing this kind of pollution</w:t>
      </w:r>
      <w:r w:rsidRPr="00992CC7">
        <w:rPr>
          <w:rStyle w:val="FootnoteReference"/>
          <w:rFonts w:eastAsia="Times New Roman"/>
          <w:sz w:val="22"/>
          <w:szCs w:val="22"/>
        </w:rPr>
        <w:footnoteReference w:id="64"/>
      </w:r>
      <w:r w:rsidRPr="004369F3">
        <w:rPr>
          <w:rFonts w:eastAsia="Times New Roman"/>
          <w:sz w:val="22"/>
          <w:szCs w:val="22"/>
          <w:lang w:val="en-GB"/>
        </w:rPr>
        <w:t>.</w:t>
      </w:r>
    </w:p>
    <w:p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 xml:space="preserve">Both raising environmental awareness and tackling solid waste issues were raised in responses to the questionnaire and in consultations. </w:t>
      </w:r>
    </w:p>
    <w:p w:rsidR="00F16F0A" w:rsidRPr="00A303CB" w:rsidRDefault="00F16F0A" w:rsidP="00F16F0A">
      <w:pPr>
        <w:spacing w:before="60" w:after="0" w:line="264" w:lineRule="auto"/>
        <w:jc w:val="both"/>
        <w:rPr>
          <w:i/>
          <w:sz w:val="22"/>
          <w:szCs w:val="22"/>
          <w:lang w:val="en-GB"/>
        </w:rPr>
      </w:pPr>
      <w:r w:rsidRPr="00A303CB">
        <w:rPr>
          <w:i/>
          <w:sz w:val="22"/>
          <w:szCs w:val="22"/>
          <w:lang w:val="en-GB"/>
        </w:rPr>
        <w:t>Ex</w:t>
      </w:r>
      <w:r>
        <w:rPr>
          <w:i/>
          <w:sz w:val="22"/>
          <w:szCs w:val="22"/>
          <w:lang w:val="en-GB"/>
        </w:rPr>
        <w:t>pected result under Priority 2.2</w:t>
      </w:r>
      <w:r w:rsidRPr="00A303CB">
        <w:rPr>
          <w:i/>
          <w:sz w:val="22"/>
          <w:szCs w:val="22"/>
          <w:lang w:val="en-GB"/>
        </w:rPr>
        <w:t>:</w:t>
      </w:r>
    </w:p>
    <w:p w:rsidR="00F16F0A" w:rsidRPr="0016012A" w:rsidRDefault="00F16F0A" w:rsidP="00F16F0A">
      <w:pPr>
        <w:pStyle w:val="ListParagraph"/>
        <w:spacing w:before="120" w:after="120" w:line="264" w:lineRule="auto"/>
        <w:ind w:left="714"/>
        <w:jc w:val="both"/>
        <w:rPr>
          <w:rFonts w:eastAsia="Times New Roman"/>
          <w:sz w:val="22"/>
          <w:szCs w:val="22"/>
          <w:lang w:val="en-GB"/>
        </w:rPr>
      </w:pPr>
      <w:r w:rsidRPr="0016012A">
        <w:rPr>
          <w:rFonts w:eastAsia="Times New Roman"/>
          <w:sz w:val="22"/>
          <w:szCs w:val="22"/>
          <w:lang w:val="en-GB"/>
        </w:rPr>
        <w:t>Increased awareness of environmental challenges and good waste management practices related to river and marine litter within the Black Sea Basin</w:t>
      </w:r>
    </w:p>
    <w:p w:rsidR="00F16F0A" w:rsidRPr="0016012A" w:rsidRDefault="00F16F0A" w:rsidP="00F16F0A">
      <w:pPr>
        <w:spacing w:before="120" w:after="120" w:line="264" w:lineRule="auto"/>
        <w:jc w:val="both"/>
        <w:rPr>
          <w:i/>
          <w:sz w:val="22"/>
          <w:szCs w:val="22"/>
          <w:lang w:val="en-GB"/>
        </w:rPr>
      </w:pPr>
      <w:r w:rsidRPr="0016012A">
        <w:rPr>
          <w:i/>
          <w:sz w:val="22"/>
          <w:szCs w:val="22"/>
          <w:lang w:val="en-GB"/>
        </w:rPr>
        <w:t>Indicative activities/orientations under Priority 2.2:</w:t>
      </w:r>
    </w:p>
    <w:p w:rsidR="00F16F0A" w:rsidRPr="0016012A" w:rsidRDefault="00F16F0A" w:rsidP="00EE745F">
      <w:pPr>
        <w:pStyle w:val="ListParagraph"/>
        <w:widowControl w:val="0"/>
        <w:numPr>
          <w:ilvl w:val="0"/>
          <w:numId w:val="16"/>
        </w:numPr>
        <w:autoSpaceDE w:val="0"/>
        <w:autoSpaceDN w:val="0"/>
        <w:adjustRightInd w:val="0"/>
        <w:spacing w:line="264" w:lineRule="auto"/>
        <w:jc w:val="both"/>
        <w:rPr>
          <w:sz w:val="22"/>
          <w:szCs w:val="22"/>
          <w:lang w:val="en-GB"/>
        </w:rPr>
      </w:pPr>
      <w:r w:rsidRPr="0016012A">
        <w:rPr>
          <w:sz w:val="22"/>
          <w:szCs w:val="22"/>
          <w:lang w:val="en-GB"/>
        </w:rPr>
        <w:t>Jointly raise public awareness and education regarding river and marine litter problems, the value of biodiversity and environmental protection (mass-media campaigns, production of education tools and ‘responsible-citizenship’ guidelines for different sectors for target audiences such as children and students, tourists, municipal authorities, shipping companies and shipping crews).</w:t>
      </w:r>
    </w:p>
    <w:p w:rsidR="00F16F0A" w:rsidRPr="0016012A" w:rsidRDefault="00F16F0A" w:rsidP="00EE745F">
      <w:pPr>
        <w:pStyle w:val="ListParagraph"/>
        <w:numPr>
          <w:ilvl w:val="0"/>
          <w:numId w:val="16"/>
        </w:numPr>
        <w:spacing w:before="120" w:after="0" w:line="264" w:lineRule="auto"/>
        <w:jc w:val="both"/>
        <w:rPr>
          <w:rFonts w:eastAsia="Times New Roman"/>
          <w:sz w:val="22"/>
          <w:szCs w:val="22"/>
          <w:lang w:val="en-GB"/>
        </w:rPr>
      </w:pPr>
      <w:r w:rsidRPr="0016012A">
        <w:rPr>
          <w:rFonts w:eastAsia="Times New Roman"/>
          <w:sz w:val="22"/>
          <w:szCs w:val="22"/>
          <w:lang w:val="en-GB"/>
        </w:rPr>
        <w:t>Share and promote good environmental management practices and technologies (including through small-scale investments) related to the treatment and disposal of waste, the reduction of illegal dumping and landfill sites on riverbanks and seashores and the prevention of their adverse effects.</w:t>
      </w:r>
    </w:p>
    <w:p w:rsidR="00F16F0A" w:rsidRPr="0016012A" w:rsidRDefault="00F16F0A" w:rsidP="00EE745F">
      <w:pPr>
        <w:pStyle w:val="ListParagraph"/>
        <w:widowControl w:val="0"/>
        <w:numPr>
          <w:ilvl w:val="0"/>
          <w:numId w:val="16"/>
        </w:numPr>
        <w:autoSpaceDE w:val="0"/>
        <w:autoSpaceDN w:val="0"/>
        <w:adjustRightInd w:val="0"/>
        <w:spacing w:line="264" w:lineRule="auto"/>
        <w:jc w:val="both"/>
        <w:rPr>
          <w:sz w:val="22"/>
          <w:szCs w:val="22"/>
          <w:lang w:val="en-GB"/>
        </w:rPr>
      </w:pPr>
      <w:r w:rsidRPr="0016012A">
        <w:rPr>
          <w:sz w:val="22"/>
          <w:szCs w:val="22"/>
          <w:lang w:val="en-GB"/>
        </w:rPr>
        <w:t>Jointly promote the practice of the ‘3 Rs’ (reduce, reuse, recycle) for waste as well as the use of waste for energy production.</w:t>
      </w:r>
    </w:p>
    <w:p w:rsidR="00F16F0A" w:rsidRPr="0016012A" w:rsidRDefault="00F16F0A" w:rsidP="00EE745F">
      <w:pPr>
        <w:pStyle w:val="ListParagraph"/>
        <w:numPr>
          <w:ilvl w:val="0"/>
          <w:numId w:val="16"/>
        </w:numPr>
        <w:spacing w:before="120" w:after="0" w:line="264" w:lineRule="auto"/>
        <w:jc w:val="both"/>
        <w:rPr>
          <w:rFonts w:eastAsia="Times New Roman"/>
          <w:sz w:val="22"/>
          <w:szCs w:val="22"/>
          <w:lang w:val="en-GB"/>
        </w:rPr>
      </w:pPr>
      <w:r w:rsidRPr="0016012A">
        <w:rPr>
          <w:rFonts w:eastAsia="Times New Roman"/>
          <w:sz w:val="22"/>
          <w:szCs w:val="22"/>
          <w:lang w:val="en-GB"/>
        </w:rPr>
        <w:t xml:space="preserve">Strenghten community action, promote and organise cross-border Black Sea Basin coastal and river clean-up campaigns (involving schools, students and volunteers) and share good experiences in this field.  </w:t>
      </w:r>
    </w:p>
    <w:p w:rsidR="00F16F0A" w:rsidRPr="0016012A" w:rsidRDefault="00F16F0A" w:rsidP="00EE745F">
      <w:pPr>
        <w:pStyle w:val="ListParagraph"/>
        <w:widowControl w:val="0"/>
        <w:numPr>
          <w:ilvl w:val="0"/>
          <w:numId w:val="16"/>
        </w:numPr>
        <w:autoSpaceDE w:val="0"/>
        <w:autoSpaceDN w:val="0"/>
        <w:adjustRightInd w:val="0"/>
        <w:spacing w:line="264" w:lineRule="auto"/>
        <w:jc w:val="both"/>
        <w:rPr>
          <w:sz w:val="22"/>
          <w:szCs w:val="22"/>
          <w:lang w:val="en-GB"/>
        </w:rPr>
      </w:pPr>
      <w:r w:rsidRPr="0016012A">
        <w:rPr>
          <w:sz w:val="22"/>
          <w:szCs w:val="22"/>
          <w:lang w:val="en-GB"/>
        </w:rPr>
        <w:t>Encourage the involvement of, and partnerships between, NGOs and civil society, the private sector (e.g. in the tourism, shipping and fisheries sectors) and local/regional authorities and waste services to combat river and marine litter.</w:t>
      </w:r>
    </w:p>
    <w:p w:rsidR="00F16F0A" w:rsidRPr="0016012A" w:rsidRDefault="00F16F0A" w:rsidP="00EE745F">
      <w:pPr>
        <w:pStyle w:val="ListParagraph"/>
        <w:widowControl w:val="0"/>
        <w:numPr>
          <w:ilvl w:val="0"/>
          <w:numId w:val="16"/>
        </w:numPr>
        <w:autoSpaceDE w:val="0"/>
        <w:autoSpaceDN w:val="0"/>
        <w:adjustRightInd w:val="0"/>
        <w:spacing w:line="264" w:lineRule="auto"/>
        <w:jc w:val="both"/>
        <w:rPr>
          <w:sz w:val="22"/>
          <w:szCs w:val="22"/>
          <w:lang w:val="en-GB"/>
        </w:rPr>
      </w:pPr>
      <w:r w:rsidRPr="0016012A">
        <w:rPr>
          <w:rFonts w:eastAsia="Times New Roman"/>
          <w:sz w:val="22"/>
          <w:szCs w:val="22"/>
          <w:lang w:val="en-GB"/>
        </w:rPr>
        <w:t>Share experience to improve port reception facilities and services for garbage collection from vessels (e.g. prepare guidelines/manuals for development of the port waste management plan in line with International Maritime Organisation/EU requirements and promote its implementation in Black Sea ports).</w:t>
      </w:r>
    </w:p>
    <w:p w:rsidR="00F16F0A" w:rsidRPr="0016012A" w:rsidRDefault="00F16F0A" w:rsidP="00F16F0A">
      <w:pPr>
        <w:spacing w:before="120" w:after="120" w:line="264" w:lineRule="auto"/>
        <w:jc w:val="both"/>
        <w:rPr>
          <w:i/>
          <w:sz w:val="22"/>
          <w:szCs w:val="22"/>
          <w:lang w:val="en-GB"/>
        </w:rPr>
      </w:pPr>
      <w:r w:rsidRPr="0016012A">
        <w:rPr>
          <w:i/>
          <w:sz w:val="22"/>
          <w:szCs w:val="22"/>
          <w:lang w:val="en-GB"/>
        </w:rPr>
        <w:t>Target groups for Priority 2.2:</w:t>
      </w:r>
    </w:p>
    <w:p w:rsidR="00F16F0A" w:rsidRDefault="00F16F0A" w:rsidP="00F16F0A">
      <w:pPr>
        <w:spacing w:before="120" w:after="0" w:line="264" w:lineRule="auto"/>
        <w:jc w:val="both"/>
        <w:rPr>
          <w:rFonts w:eastAsia="Times New Roman"/>
          <w:sz w:val="22"/>
          <w:szCs w:val="22"/>
          <w:lang w:val="en-GB"/>
        </w:rPr>
      </w:pPr>
      <w:r w:rsidRPr="0016012A">
        <w:rPr>
          <w:rFonts w:eastAsia="Times New Roman"/>
          <w:sz w:val="22"/>
          <w:szCs w:val="22"/>
          <w:lang w:val="en-GB"/>
        </w:rPr>
        <w:t>Local/regional authorities and waste management and control services, environmental NGOs and civil society or</w:t>
      </w:r>
      <w:r w:rsidRPr="004369F3">
        <w:rPr>
          <w:rFonts w:eastAsia="Times New Roman"/>
          <w:sz w:val="22"/>
          <w:szCs w:val="22"/>
          <w:lang w:val="en-GB"/>
        </w:rPr>
        <w:t xml:space="preserve">ganisations, schools and educational institutions, tourism industry </w:t>
      </w:r>
      <w:r>
        <w:rPr>
          <w:rFonts w:eastAsia="Times New Roman"/>
          <w:sz w:val="22"/>
          <w:szCs w:val="22"/>
          <w:lang w:val="en-GB"/>
        </w:rPr>
        <w:t xml:space="preserve">associations, </w:t>
      </w:r>
      <w:r w:rsidRPr="004369F3">
        <w:rPr>
          <w:rFonts w:eastAsia="Times New Roman"/>
          <w:sz w:val="22"/>
          <w:szCs w:val="22"/>
          <w:lang w:val="en-GB"/>
        </w:rPr>
        <w:t xml:space="preserve">fisheries </w:t>
      </w:r>
      <w:r>
        <w:rPr>
          <w:rFonts w:eastAsia="Times New Roman"/>
          <w:sz w:val="22"/>
          <w:szCs w:val="22"/>
          <w:lang w:val="en-GB"/>
        </w:rPr>
        <w:t xml:space="preserve">associations and </w:t>
      </w:r>
      <w:r w:rsidRPr="004369F3">
        <w:rPr>
          <w:rFonts w:eastAsia="Times New Roman"/>
          <w:sz w:val="22"/>
          <w:szCs w:val="22"/>
          <w:lang w:val="en-GB"/>
        </w:rPr>
        <w:t>port authorities.</w:t>
      </w:r>
      <w:bookmarkEnd w:id="68"/>
      <w:bookmarkEnd w:id="69"/>
    </w:p>
    <w:p w:rsidR="00F16F0A" w:rsidRPr="0025034F" w:rsidRDefault="009B24F9" w:rsidP="0065700F">
      <w:pPr>
        <w:pStyle w:val="Heading3"/>
        <w:spacing w:before="480" w:after="240" w:line="264" w:lineRule="auto"/>
        <w:rPr>
          <w:b/>
          <w:sz w:val="28"/>
          <w:szCs w:val="28"/>
          <w:lang w:val="en-GB"/>
        </w:rPr>
      </w:pPr>
      <w:bookmarkStart w:id="70" w:name="_Toc273788692"/>
      <w:bookmarkStart w:id="71" w:name="_Toc276156673"/>
      <w:bookmarkStart w:id="72" w:name="_Toc288133449"/>
      <w:r w:rsidRPr="00197A31">
        <w:rPr>
          <w:b/>
          <w:sz w:val="28"/>
          <w:szCs w:val="28"/>
          <w:lang w:val="en-GB"/>
        </w:rPr>
        <w:t>O</w:t>
      </w:r>
      <w:r w:rsidR="00F16F0A" w:rsidRPr="00197A31">
        <w:rPr>
          <w:b/>
          <w:sz w:val="28"/>
          <w:szCs w:val="28"/>
          <w:lang w:val="en-GB"/>
        </w:rPr>
        <w:t>bjectively verifiable indicators</w:t>
      </w:r>
      <w:bookmarkEnd w:id="70"/>
      <w:bookmarkEnd w:id="71"/>
      <w:bookmarkEnd w:id="72"/>
    </w:p>
    <w:p w:rsidR="000C2098" w:rsidRDefault="000C2098" w:rsidP="00F16F0A">
      <w:pPr>
        <w:spacing w:before="240" w:after="0" w:line="264" w:lineRule="auto"/>
        <w:jc w:val="both"/>
        <w:rPr>
          <w:sz w:val="22"/>
          <w:szCs w:val="22"/>
          <w:lang w:val="en-GB"/>
        </w:rPr>
      </w:pPr>
      <w:r>
        <w:rPr>
          <w:sz w:val="22"/>
          <w:szCs w:val="22"/>
          <w:lang w:val="en-GB"/>
        </w:rPr>
        <w:t>Achievement of the BSB programme will be measured by way of objectively verifiable indicators.</w:t>
      </w:r>
    </w:p>
    <w:p w:rsidR="00F16F0A" w:rsidRPr="00FB7481" w:rsidRDefault="00F97DEB" w:rsidP="00F16F0A">
      <w:pPr>
        <w:spacing w:before="240" w:after="0" w:line="264" w:lineRule="auto"/>
        <w:jc w:val="both"/>
        <w:rPr>
          <w:sz w:val="22"/>
          <w:szCs w:val="22"/>
          <w:lang w:val="en-GB"/>
        </w:rPr>
      </w:pPr>
      <w:r>
        <w:rPr>
          <w:sz w:val="22"/>
          <w:szCs w:val="22"/>
          <w:lang w:val="en-GB"/>
        </w:rPr>
        <w:t>ENI CBC implementing regulation</w:t>
      </w:r>
      <w:r w:rsidR="00F16F0A" w:rsidRPr="00FB7481">
        <w:rPr>
          <w:rStyle w:val="FootnoteReference"/>
          <w:sz w:val="22"/>
          <w:szCs w:val="22"/>
          <w:lang w:val="en-GB"/>
        </w:rPr>
        <w:footnoteReference w:id="65"/>
      </w:r>
      <w:r w:rsidR="00F16F0A" w:rsidRPr="00FB7481">
        <w:rPr>
          <w:sz w:val="22"/>
          <w:szCs w:val="22"/>
          <w:lang w:val="en-GB"/>
        </w:rPr>
        <w:t xml:space="preserve"> stipulates that the ENI CBC programmes shall include a description of objectively verifiable indicators, in particular:</w:t>
      </w:r>
    </w:p>
    <w:p w:rsidR="00F16F0A" w:rsidRPr="00FB7481" w:rsidRDefault="00F16F0A" w:rsidP="00101316">
      <w:pPr>
        <w:pStyle w:val="ListParagraph"/>
        <w:numPr>
          <w:ilvl w:val="0"/>
          <w:numId w:val="23"/>
        </w:numPr>
        <w:spacing w:before="120" w:after="0" w:line="264" w:lineRule="auto"/>
        <w:ind w:left="714" w:hanging="357"/>
        <w:contextualSpacing w:val="0"/>
        <w:jc w:val="both"/>
        <w:rPr>
          <w:sz w:val="22"/>
          <w:szCs w:val="22"/>
          <w:lang w:val="en-GB"/>
        </w:rPr>
      </w:pPr>
      <w:r w:rsidRPr="00FB7481">
        <w:rPr>
          <w:sz w:val="22"/>
          <w:szCs w:val="22"/>
          <w:lang w:val="en-GB"/>
        </w:rPr>
        <w:t xml:space="preserve">The expected results for each priority, and the corresponding </w:t>
      </w:r>
      <w:r w:rsidRPr="00FB7481">
        <w:rPr>
          <w:b/>
          <w:sz w:val="22"/>
          <w:szCs w:val="22"/>
          <w:lang w:val="en-GB"/>
        </w:rPr>
        <w:t>result indicators</w:t>
      </w:r>
      <w:r w:rsidRPr="00FB7481">
        <w:rPr>
          <w:sz w:val="22"/>
          <w:szCs w:val="22"/>
          <w:lang w:val="en-GB"/>
        </w:rPr>
        <w:t>, with a baseline value and a target value;</w:t>
      </w:r>
    </w:p>
    <w:p w:rsidR="0065700F" w:rsidRPr="001E0742" w:rsidRDefault="00F16F0A" w:rsidP="001E0742">
      <w:pPr>
        <w:pStyle w:val="ListParagraph"/>
        <w:numPr>
          <w:ilvl w:val="0"/>
          <w:numId w:val="23"/>
        </w:numPr>
        <w:spacing w:before="120" w:after="0" w:line="264" w:lineRule="auto"/>
        <w:ind w:left="714" w:hanging="357"/>
        <w:contextualSpacing w:val="0"/>
        <w:jc w:val="both"/>
        <w:rPr>
          <w:sz w:val="22"/>
          <w:szCs w:val="22"/>
          <w:lang w:val="en-GB"/>
        </w:rPr>
      </w:pPr>
      <w:r w:rsidRPr="00FB7481">
        <w:rPr>
          <w:sz w:val="22"/>
          <w:szCs w:val="22"/>
          <w:lang w:val="en-GB"/>
        </w:rPr>
        <w:t xml:space="preserve">The </w:t>
      </w:r>
      <w:r w:rsidRPr="00FB7481">
        <w:rPr>
          <w:b/>
          <w:sz w:val="22"/>
          <w:szCs w:val="22"/>
          <w:lang w:val="en-GB"/>
        </w:rPr>
        <w:t>output indicators</w:t>
      </w:r>
      <w:r w:rsidRPr="00FB7481">
        <w:rPr>
          <w:sz w:val="22"/>
          <w:szCs w:val="22"/>
          <w:lang w:val="en-GB"/>
        </w:rPr>
        <w:t xml:space="preserve"> for each priority, including the quantified target values, which are expected to contribute to the results.</w:t>
      </w:r>
    </w:p>
    <w:p w:rsidR="00F16F0A" w:rsidRPr="00FB7481" w:rsidRDefault="00F16F0A" w:rsidP="00101316">
      <w:pPr>
        <w:spacing w:before="120" w:after="120" w:line="264" w:lineRule="auto"/>
        <w:jc w:val="both"/>
        <w:rPr>
          <w:sz w:val="22"/>
          <w:szCs w:val="22"/>
          <w:lang w:val="en-GB"/>
        </w:rPr>
      </w:pPr>
      <w:r w:rsidRPr="00FB7481">
        <w:rPr>
          <w:sz w:val="22"/>
          <w:szCs w:val="22"/>
          <w:lang w:val="en-GB"/>
        </w:rPr>
        <w:t>ENI CBC programming document further specifies that:</w:t>
      </w:r>
    </w:p>
    <w:p w:rsidR="00F16F0A" w:rsidRPr="00FB7481" w:rsidRDefault="00F16F0A" w:rsidP="0065700F">
      <w:pPr>
        <w:pStyle w:val="ListParagraph"/>
        <w:numPr>
          <w:ilvl w:val="0"/>
          <w:numId w:val="23"/>
        </w:numPr>
        <w:spacing w:after="120" w:line="264" w:lineRule="auto"/>
        <w:ind w:left="714" w:hanging="357"/>
        <w:contextualSpacing w:val="0"/>
        <w:jc w:val="both"/>
        <w:rPr>
          <w:sz w:val="22"/>
          <w:szCs w:val="22"/>
          <w:lang w:val="en-GB"/>
        </w:rPr>
      </w:pPr>
      <w:r w:rsidRPr="00FB7481">
        <w:rPr>
          <w:sz w:val="22"/>
          <w:szCs w:val="22"/>
          <w:lang w:val="en-GB"/>
        </w:rPr>
        <w:t xml:space="preserve"> All programmes should adopt at least some of ENI CBC ‘</w:t>
      </w:r>
      <w:r w:rsidRPr="00FB7481">
        <w:rPr>
          <w:b/>
          <w:sz w:val="22"/>
          <w:szCs w:val="22"/>
          <w:lang w:val="en-GB"/>
        </w:rPr>
        <w:t>Common Output Indicators</w:t>
      </w:r>
      <w:r w:rsidR="00B244E8">
        <w:rPr>
          <w:sz w:val="22"/>
          <w:szCs w:val="22"/>
          <w:lang w:val="en-GB"/>
        </w:rPr>
        <w:t>’</w:t>
      </w:r>
      <w:r w:rsidRPr="00FB7481">
        <w:rPr>
          <w:sz w:val="22"/>
          <w:szCs w:val="22"/>
          <w:lang w:val="en-GB"/>
        </w:rPr>
        <w:t xml:space="preserve"> developed in order to increase accountability and facilitate reporting progress at instrument level. </w:t>
      </w:r>
    </w:p>
    <w:p w:rsidR="00F16F0A" w:rsidRPr="00FB7481" w:rsidRDefault="00F16F0A" w:rsidP="0065700F">
      <w:pPr>
        <w:pStyle w:val="ListParagraph"/>
        <w:numPr>
          <w:ilvl w:val="0"/>
          <w:numId w:val="23"/>
        </w:numPr>
        <w:spacing w:after="120" w:line="264" w:lineRule="auto"/>
        <w:ind w:left="714" w:hanging="357"/>
        <w:contextualSpacing w:val="0"/>
        <w:jc w:val="both"/>
        <w:rPr>
          <w:sz w:val="22"/>
          <w:szCs w:val="22"/>
          <w:lang w:val="en-GB"/>
        </w:rPr>
      </w:pPr>
      <w:r w:rsidRPr="00FB7481">
        <w:rPr>
          <w:sz w:val="22"/>
          <w:szCs w:val="22"/>
          <w:lang w:val="en-GB"/>
        </w:rPr>
        <w:t xml:space="preserve">Programmes shall monitor their progress by means of </w:t>
      </w:r>
      <w:r w:rsidRPr="00FB7481">
        <w:rPr>
          <w:b/>
          <w:sz w:val="22"/>
          <w:szCs w:val="22"/>
          <w:lang w:val="en-GB"/>
        </w:rPr>
        <w:t>outcome indicators</w:t>
      </w:r>
      <w:r w:rsidRPr="00FB7481">
        <w:rPr>
          <w:sz w:val="22"/>
          <w:szCs w:val="22"/>
          <w:lang w:val="en-GB"/>
        </w:rPr>
        <w:t xml:space="preserve"> that shall quantitatively or qualitatively measure the wider societal impact of a particular goal that spans beyond the direct beneficiaries of the programme and cover a wider group of society.</w:t>
      </w:r>
    </w:p>
    <w:p w:rsidR="005935BF" w:rsidRDefault="00F16F0A" w:rsidP="00F16F0A">
      <w:pPr>
        <w:spacing w:before="120" w:after="0" w:line="264" w:lineRule="auto"/>
        <w:jc w:val="both"/>
        <w:rPr>
          <w:sz w:val="22"/>
          <w:szCs w:val="22"/>
          <w:lang w:val="en-GB"/>
        </w:rPr>
      </w:pPr>
      <w:r w:rsidRPr="001D37A2">
        <w:rPr>
          <w:sz w:val="22"/>
          <w:szCs w:val="22"/>
          <w:lang w:val="en-GB"/>
        </w:rPr>
        <w:t>Theref</w:t>
      </w:r>
      <w:r w:rsidR="006807EC">
        <w:rPr>
          <w:sz w:val="22"/>
          <w:szCs w:val="22"/>
          <w:lang w:val="en-GB"/>
        </w:rPr>
        <w:t>o</w:t>
      </w:r>
      <w:r w:rsidR="00B258D1">
        <w:rPr>
          <w:sz w:val="22"/>
          <w:szCs w:val="22"/>
          <w:lang w:val="en-GB"/>
        </w:rPr>
        <w:t>re, as reflected in the table</w:t>
      </w:r>
      <w:r w:rsidR="00834481" w:rsidRPr="001D37A2">
        <w:rPr>
          <w:sz w:val="22"/>
          <w:szCs w:val="22"/>
          <w:lang w:val="en-GB"/>
        </w:rPr>
        <w:t xml:space="preserve"> </w:t>
      </w:r>
      <w:r w:rsidRPr="001D37A2">
        <w:rPr>
          <w:sz w:val="22"/>
          <w:szCs w:val="22"/>
          <w:lang w:val="en-GB"/>
        </w:rPr>
        <w:t>below</w:t>
      </w:r>
      <w:r w:rsidR="00B258D1">
        <w:rPr>
          <w:sz w:val="22"/>
          <w:szCs w:val="22"/>
          <w:lang w:val="en-GB"/>
        </w:rPr>
        <w:t xml:space="preserve">, </w:t>
      </w:r>
      <w:r w:rsidR="00847DB6">
        <w:rPr>
          <w:sz w:val="22"/>
          <w:szCs w:val="22"/>
          <w:lang w:val="en-GB"/>
        </w:rPr>
        <w:t xml:space="preserve">the </w:t>
      </w:r>
      <w:r w:rsidR="00B258D1">
        <w:rPr>
          <w:sz w:val="22"/>
          <w:szCs w:val="22"/>
          <w:lang w:val="en-GB"/>
        </w:rPr>
        <w:t>BSB</w:t>
      </w:r>
      <w:r w:rsidR="006807EC">
        <w:rPr>
          <w:sz w:val="22"/>
          <w:szCs w:val="22"/>
          <w:lang w:val="en-GB"/>
        </w:rPr>
        <w:t xml:space="preserve"> programme</w:t>
      </w:r>
      <w:r w:rsidRPr="001D37A2">
        <w:rPr>
          <w:sz w:val="22"/>
          <w:szCs w:val="22"/>
          <w:lang w:val="en-GB"/>
        </w:rPr>
        <w:t xml:space="preserve"> include</w:t>
      </w:r>
      <w:r w:rsidR="00575F42">
        <w:rPr>
          <w:sz w:val="22"/>
          <w:szCs w:val="22"/>
          <w:lang w:val="en-GB"/>
        </w:rPr>
        <w:t>s</w:t>
      </w:r>
      <w:r w:rsidR="008606FC">
        <w:rPr>
          <w:sz w:val="22"/>
          <w:szCs w:val="22"/>
          <w:lang w:val="en-GB"/>
        </w:rPr>
        <w:t xml:space="preserve"> two levels of indicators</w:t>
      </w:r>
      <w:r w:rsidR="005935BF" w:rsidRPr="001D37A2">
        <w:rPr>
          <w:sz w:val="22"/>
          <w:szCs w:val="22"/>
          <w:lang w:val="en-GB"/>
        </w:rPr>
        <w:t>:</w:t>
      </w:r>
    </w:p>
    <w:p w:rsidR="00F16F0A" w:rsidRPr="001D37A2" w:rsidRDefault="00F75AC2" w:rsidP="0065700F">
      <w:pPr>
        <w:pStyle w:val="ListParagraph"/>
        <w:widowControl w:val="0"/>
        <w:numPr>
          <w:ilvl w:val="0"/>
          <w:numId w:val="16"/>
        </w:numPr>
        <w:autoSpaceDE w:val="0"/>
        <w:autoSpaceDN w:val="0"/>
        <w:adjustRightInd w:val="0"/>
        <w:spacing w:before="60" w:after="0" w:line="264" w:lineRule="auto"/>
        <w:ind w:left="714" w:hanging="357"/>
        <w:contextualSpacing w:val="0"/>
        <w:jc w:val="both"/>
        <w:rPr>
          <w:sz w:val="22"/>
          <w:szCs w:val="22"/>
          <w:lang w:val="en-GB"/>
        </w:rPr>
      </w:pPr>
      <w:r>
        <w:rPr>
          <w:sz w:val="22"/>
          <w:szCs w:val="22"/>
          <w:lang w:val="en-GB"/>
        </w:rPr>
        <w:t xml:space="preserve">At result level: </w:t>
      </w:r>
      <w:r w:rsidR="00F05F7E">
        <w:rPr>
          <w:sz w:val="22"/>
          <w:szCs w:val="22"/>
          <w:lang w:val="en-GB"/>
        </w:rPr>
        <w:t>4</w:t>
      </w:r>
      <w:r>
        <w:rPr>
          <w:sz w:val="22"/>
          <w:szCs w:val="22"/>
          <w:lang w:val="en-GB"/>
        </w:rPr>
        <w:t xml:space="preserve"> indicators</w:t>
      </w:r>
      <w:r w:rsidR="004E07CA">
        <w:rPr>
          <w:sz w:val="22"/>
          <w:szCs w:val="22"/>
          <w:lang w:val="en-GB"/>
        </w:rPr>
        <w:t xml:space="preserve"> (one per priority)</w:t>
      </w:r>
    </w:p>
    <w:p w:rsidR="001E0465" w:rsidRDefault="00B244E8" w:rsidP="001E0465">
      <w:pPr>
        <w:pStyle w:val="ListParagraph"/>
        <w:widowControl w:val="0"/>
        <w:numPr>
          <w:ilvl w:val="0"/>
          <w:numId w:val="16"/>
        </w:numPr>
        <w:autoSpaceDE w:val="0"/>
        <w:autoSpaceDN w:val="0"/>
        <w:adjustRightInd w:val="0"/>
        <w:spacing w:before="60" w:after="0" w:line="264" w:lineRule="auto"/>
        <w:ind w:left="714" w:hanging="357"/>
        <w:contextualSpacing w:val="0"/>
        <w:jc w:val="both"/>
        <w:rPr>
          <w:sz w:val="22"/>
          <w:szCs w:val="22"/>
          <w:lang w:val="en-GB"/>
        </w:rPr>
      </w:pPr>
      <w:r>
        <w:rPr>
          <w:sz w:val="22"/>
          <w:szCs w:val="22"/>
          <w:lang w:val="en-GB"/>
        </w:rPr>
        <w:t>At activity</w:t>
      </w:r>
      <w:r w:rsidR="00F75AC2">
        <w:rPr>
          <w:sz w:val="22"/>
          <w:szCs w:val="22"/>
          <w:lang w:val="en-GB"/>
        </w:rPr>
        <w:t xml:space="preserve"> level: </w:t>
      </w:r>
      <w:r>
        <w:rPr>
          <w:sz w:val="22"/>
          <w:szCs w:val="22"/>
          <w:lang w:val="en-GB"/>
        </w:rPr>
        <w:t>the use of 6 Common Output I</w:t>
      </w:r>
      <w:r w:rsidR="00F75AC2">
        <w:rPr>
          <w:sz w:val="22"/>
          <w:szCs w:val="22"/>
          <w:lang w:val="en-GB"/>
        </w:rPr>
        <w:t>ndicators</w:t>
      </w:r>
      <w:r>
        <w:rPr>
          <w:sz w:val="22"/>
          <w:szCs w:val="22"/>
          <w:lang w:val="en-GB"/>
        </w:rPr>
        <w:t xml:space="preserve"> (COI)</w:t>
      </w:r>
      <w:r w:rsidR="00350954">
        <w:rPr>
          <w:rStyle w:val="FootnoteReference"/>
          <w:sz w:val="22"/>
          <w:szCs w:val="22"/>
          <w:lang w:val="en-GB"/>
        </w:rPr>
        <w:footnoteReference w:id="66"/>
      </w:r>
      <w:r w:rsidR="00333677">
        <w:rPr>
          <w:sz w:val="22"/>
          <w:szCs w:val="22"/>
          <w:lang w:val="en-GB"/>
        </w:rPr>
        <w:t xml:space="preserve"> and of 3 programme-specific</w:t>
      </w:r>
      <w:r w:rsidR="008456E4">
        <w:rPr>
          <w:sz w:val="22"/>
          <w:szCs w:val="22"/>
          <w:lang w:val="en-GB"/>
        </w:rPr>
        <w:t xml:space="preserve"> output</w:t>
      </w:r>
      <w:r w:rsidR="00333677">
        <w:rPr>
          <w:sz w:val="22"/>
          <w:szCs w:val="22"/>
          <w:lang w:val="en-GB"/>
        </w:rPr>
        <w:t xml:space="preserve"> indicators</w:t>
      </w:r>
      <w:r w:rsidR="00B258D1">
        <w:rPr>
          <w:sz w:val="22"/>
          <w:szCs w:val="22"/>
          <w:lang w:val="en-GB"/>
        </w:rPr>
        <w:t xml:space="preserve"> (PSOI)</w:t>
      </w:r>
      <w:r w:rsidR="00444624">
        <w:rPr>
          <w:sz w:val="22"/>
          <w:szCs w:val="22"/>
          <w:lang w:val="en-GB"/>
        </w:rPr>
        <w:t>.</w:t>
      </w:r>
    </w:p>
    <w:p w:rsidR="001E0465" w:rsidRPr="001E0465" w:rsidRDefault="001E0465" w:rsidP="001E0465">
      <w:pPr>
        <w:pStyle w:val="ListParagraph"/>
        <w:widowControl w:val="0"/>
        <w:autoSpaceDE w:val="0"/>
        <w:autoSpaceDN w:val="0"/>
        <w:adjustRightInd w:val="0"/>
        <w:spacing w:before="60" w:after="0" w:line="264" w:lineRule="auto"/>
        <w:ind w:left="714"/>
        <w:contextualSpacing w:val="0"/>
        <w:jc w:val="both"/>
        <w:rPr>
          <w:sz w:val="22"/>
          <w:szCs w:val="22"/>
          <w:lang w:val="en-GB"/>
        </w:rPr>
      </w:pPr>
    </w:p>
    <w:tbl>
      <w:tblPr>
        <w:tblW w:w="0" w:type="auto"/>
        <w:tblBorders>
          <w:top w:val="single" w:sz="8" w:space="0" w:color="C1AD79"/>
          <w:left w:val="single" w:sz="8" w:space="0" w:color="C1AD79"/>
          <w:bottom w:val="single" w:sz="8" w:space="0" w:color="C1AD79"/>
          <w:right w:val="single" w:sz="8" w:space="0" w:color="C1AD79"/>
          <w:insideH w:val="single" w:sz="8" w:space="0" w:color="C1AD79"/>
          <w:insideV w:val="single" w:sz="8" w:space="0" w:color="C1AD79"/>
        </w:tblBorders>
        <w:tblLayout w:type="fixed"/>
        <w:tblLook w:val="04A0"/>
      </w:tblPr>
      <w:tblGrid>
        <w:gridCol w:w="705"/>
        <w:gridCol w:w="679"/>
        <w:gridCol w:w="3686"/>
        <w:gridCol w:w="6025"/>
      </w:tblGrid>
      <w:tr w:rsidR="001E0465" w:rsidRPr="001368E0" w:rsidTr="001368E0">
        <w:tc>
          <w:tcPr>
            <w:tcW w:w="11095" w:type="dxa"/>
            <w:gridSpan w:val="4"/>
            <w:shd w:val="clear" w:color="auto" w:fill="auto"/>
          </w:tcPr>
          <w:p w:rsidR="001E0465" w:rsidRPr="001368E0" w:rsidRDefault="001E0465" w:rsidP="001368E0">
            <w:pPr>
              <w:spacing w:before="20" w:after="20" w:line="240" w:lineRule="auto"/>
              <w:jc w:val="both"/>
              <w:rPr>
                <w:b/>
                <w:bCs/>
                <w:sz w:val="22"/>
                <w:szCs w:val="22"/>
              </w:rPr>
            </w:pPr>
            <w:r w:rsidRPr="001368E0">
              <w:rPr>
                <w:b/>
                <w:bCs/>
                <w:sz w:val="22"/>
                <w:szCs w:val="22"/>
              </w:rPr>
              <w:t xml:space="preserve">Definition of programme indicators </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Type</w:t>
            </w:r>
          </w:p>
        </w:tc>
        <w:tc>
          <w:tcPr>
            <w:tcW w:w="679" w:type="dxa"/>
            <w:shd w:val="clear" w:color="auto" w:fill="auto"/>
          </w:tcPr>
          <w:p w:rsidR="001E0465" w:rsidRPr="001368E0" w:rsidRDefault="001E0465" w:rsidP="001368E0">
            <w:pPr>
              <w:spacing w:after="0" w:line="240" w:lineRule="auto"/>
              <w:jc w:val="both"/>
              <w:rPr>
                <w:b/>
                <w:sz w:val="20"/>
                <w:szCs w:val="20"/>
              </w:rPr>
            </w:pPr>
            <w:r w:rsidRPr="001368E0">
              <w:rPr>
                <w:b/>
                <w:sz w:val="20"/>
                <w:szCs w:val="20"/>
              </w:rPr>
              <w:t>Prio.</w:t>
            </w:r>
          </w:p>
        </w:tc>
        <w:tc>
          <w:tcPr>
            <w:tcW w:w="3686" w:type="dxa"/>
            <w:shd w:val="clear" w:color="auto" w:fill="auto"/>
          </w:tcPr>
          <w:p w:rsidR="001E0465" w:rsidRPr="001368E0" w:rsidRDefault="001E0465" w:rsidP="001368E0">
            <w:pPr>
              <w:spacing w:after="0" w:line="240" w:lineRule="auto"/>
              <w:jc w:val="both"/>
              <w:rPr>
                <w:b/>
                <w:sz w:val="20"/>
                <w:szCs w:val="20"/>
              </w:rPr>
            </w:pPr>
            <w:r w:rsidRPr="001368E0">
              <w:rPr>
                <w:b/>
                <w:sz w:val="20"/>
                <w:szCs w:val="20"/>
              </w:rPr>
              <w:t>Indicator</w:t>
            </w:r>
          </w:p>
        </w:tc>
        <w:tc>
          <w:tcPr>
            <w:tcW w:w="6025" w:type="dxa"/>
            <w:shd w:val="clear" w:color="auto" w:fill="auto"/>
          </w:tcPr>
          <w:p w:rsidR="001E0465" w:rsidRPr="001368E0" w:rsidRDefault="001E0465" w:rsidP="001368E0">
            <w:pPr>
              <w:spacing w:after="0" w:line="240" w:lineRule="auto"/>
              <w:jc w:val="both"/>
              <w:rPr>
                <w:b/>
                <w:sz w:val="20"/>
                <w:szCs w:val="20"/>
                <w:lang w:val="en-GB"/>
              </w:rPr>
            </w:pPr>
            <w:r w:rsidRPr="001368E0">
              <w:rPr>
                <w:b/>
                <w:sz w:val="20"/>
                <w:szCs w:val="20"/>
                <w:lang w:val="en-GB"/>
              </w:rPr>
              <w:t>Definition and Source of verification</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RI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 xml:space="preserve">1.1 </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R1.</w:t>
            </w:r>
            <w:r w:rsidRPr="001368E0">
              <w:rPr>
                <w:rFonts w:eastAsia="Times New Roman"/>
                <w:sz w:val="20"/>
                <w:szCs w:val="20"/>
                <w:lang w:val="en-GB"/>
              </w:rPr>
              <w:t>1 Strength of cross-border business opportunities in the tourism and cultural sectors</w:t>
            </w:r>
          </w:p>
        </w:tc>
        <w:tc>
          <w:tcPr>
            <w:tcW w:w="6025" w:type="dxa"/>
            <w:shd w:val="clear" w:color="auto" w:fill="auto"/>
          </w:tcPr>
          <w:p w:rsidR="001E0465" w:rsidRPr="001368E0" w:rsidRDefault="001E0465" w:rsidP="001368E0">
            <w:pPr>
              <w:spacing w:after="0" w:line="240" w:lineRule="auto"/>
              <w:jc w:val="both"/>
              <w:rPr>
                <w:rFonts w:eastAsia="Times New Roman"/>
                <w:sz w:val="20"/>
                <w:szCs w:val="20"/>
                <w:lang w:val="en-GB"/>
              </w:rPr>
            </w:pPr>
            <w:r w:rsidRPr="001368E0">
              <w:rPr>
                <w:rFonts w:eastAsia="Times New Roman"/>
                <w:sz w:val="20"/>
                <w:szCs w:val="20"/>
                <w:lang w:val="en-GB"/>
              </w:rPr>
              <w:t>Based on survey. Assessment of the cross-border business opportunities by a reference group.</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 xml:space="preserve">RI </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1.2</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R1.2 Strength of cross-border links for trade and modernisation in the agricultural and connected sectors</w:t>
            </w:r>
          </w:p>
        </w:tc>
        <w:tc>
          <w:tcPr>
            <w:tcW w:w="6025" w:type="dxa"/>
            <w:shd w:val="clear" w:color="auto" w:fill="auto"/>
          </w:tcPr>
          <w:p w:rsidR="001E0465" w:rsidRPr="001368E0" w:rsidRDefault="001E0465" w:rsidP="001368E0">
            <w:pPr>
              <w:spacing w:after="0" w:line="240" w:lineRule="auto"/>
              <w:jc w:val="both"/>
              <w:rPr>
                <w:b/>
                <w:sz w:val="20"/>
                <w:szCs w:val="20"/>
                <w:lang w:val="en-GB"/>
              </w:rPr>
            </w:pPr>
            <w:r w:rsidRPr="001368E0">
              <w:rPr>
                <w:sz w:val="20"/>
                <w:szCs w:val="20"/>
                <w:lang w:val="en-GB"/>
              </w:rPr>
              <w:t xml:space="preserve">Based on survey. Assessment </w:t>
            </w:r>
            <w:r w:rsidRPr="001368E0">
              <w:rPr>
                <w:rFonts w:eastAsia="Times New Roman"/>
                <w:bCs/>
                <w:sz w:val="20"/>
                <w:szCs w:val="20"/>
                <w:lang w:val="en-GB"/>
              </w:rPr>
              <w:t xml:space="preserve">of strength of cross-border links for trade and modernisation in the agricultural and connected sectors in BSB </w:t>
            </w:r>
            <w:r w:rsidRPr="001368E0">
              <w:rPr>
                <w:rFonts w:eastAsia="Times New Roman"/>
                <w:sz w:val="20"/>
                <w:szCs w:val="20"/>
                <w:lang w:val="en-GB"/>
              </w:rPr>
              <w:t xml:space="preserve">by a reference group </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RI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2.1</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R2.1 Level of availability of cross-border compatible environmental monitoring data and information</w:t>
            </w:r>
          </w:p>
        </w:tc>
        <w:tc>
          <w:tcPr>
            <w:tcW w:w="6025" w:type="dxa"/>
            <w:shd w:val="clear" w:color="auto" w:fill="auto"/>
          </w:tcPr>
          <w:p w:rsidR="001E0465" w:rsidRPr="001368E0" w:rsidRDefault="001E0465" w:rsidP="001368E0">
            <w:pPr>
              <w:spacing w:after="0" w:line="240" w:lineRule="auto"/>
              <w:jc w:val="both"/>
              <w:rPr>
                <w:b/>
                <w:sz w:val="20"/>
                <w:szCs w:val="20"/>
                <w:lang w:val="en-GB"/>
              </w:rPr>
            </w:pPr>
            <w:r w:rsidRPr="001368E0">
              <w:rPr>
                <w:sz w:val="20"/>
                <w:szCs w:val="20"/>
                <w:lang w:val="en-GB"/>
              </w:rPr>
              <w:t xml:space="preserve">Based on survey. Assessment </w:t>
            </w:r>
            <w:r w:rsidRPr="001368E0">
              <w:rPr>
                <w:rFonts w:eastAsia="Times New Roman"/>
                <w:bCs/>
                <w:sz w:val="20"/>
                <w:szCs w:val="20"/>
                <w:lang w:val="en-GB"/>
              </w:rPr>
              <w:t xml:space="preserve">of </w:t>
            </w:r>
            <w:r w:rsidRPr="001368E0">
              <w:rPr>
                <w:rFonts w:eastAsia="Times New Roman"/>
                <w:sz w:val="20"/>
                <w:szCs w:val="20"/>
                <w:lang w:val="en-GB"/>
              </w:rPr>
              <w:t>availability of cross-border compatible environmental monitoring data and information</w:t>
            </w:r>
            <w:r w:rsidRPr="001368E0">
              <w:rPr>
                <w:rFonts w:eastAsia="Times New Roman"/>
                <w:bCs/>
                <w:sz w:val="20"/>
                <w:szCs w:val="20"/>
                <w:lang w:val="en-GB"/>
              </w:rPr>
              <w:t xml:space="preserve"> </w:t>
            </w:r>
            <w:r w:rsidRPr="001368E0">
              <w:rPr>
                <w:rFonts w:eastAsia="Times New Roman"/>
                <w:sz w:val="20"/>
                <w:szCs w:val="20"/>
                <w:lang w:val="en-GB"/>
              </w:rPr>
              <w:t>by a reference group.</w:t>
            </w:r>
          </w:p>
        </w:tc>
      </w:tr>
      <w:tr w:rsidR="001E0465" w:rsidRPr="001368E0" w:rsidTr="001368E0">
        <w:trPr>
          <w:trHeight w:val="980"/>
        </w:trPr>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RI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2.2</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R2.2 Level of awareness of environmental challenges and good waste management practices related to river and marine litter</w:t>
            </w:r>
          </w:p>
        </w:tc>
        <w:tc>
          <w:tcPr>
            <w:tcW w:w="6025" w:type="dxa"/>
            <w:shd w:val="clear" w:color="auto" w:fill="auto"/>
          </w:tcPr>
          <w:p w:rsidR="001E0465" w:rsidRPr="001368E0" w:rsidRDefault="001E0465" w:rsidP="001368E0">
            <w:pPr>
              <w:spacing w:after="0" w:line="240" w:lineRule="auto"/>
              <w:jc w:val="both"/>
              <w:rPr>
                <w:b/>
                <w:sz w:val="20"/>
                <w:szCs w:val="20"/>
                <w:lang w:val="en-GB"/>
              </w:rPr>
            </w:pPr>
            <w:r w:rsidRPr="001368E0">
              <w:rPr>
                <w:sz w:val="20"/>
                <w:szCs w:val="20"/>
                <w:lang w:val="en-GB"/>
              </w:rPr>
              <w:t xml:space="preserve">Based on survey. Assessment </w:t>
            </w:r>
            <w:r w:rsidRPr="001368E0">
              <w:rPr>
                <w:rFonts w:eastAsia="Times New Roman"/>
                <w:bCs/>
                <w:sz w:val="20"/>
                <w:szCs w:val="20"/>
                <w:lang w:val="en-GB"/>
              </w:rPr>
              <w:t xml:space="preserve">of the </w:t>
            </w:r>
            <w:r w:rsidRPr="001368E0">
              <w:rPr>
                <w:rFonts w:eastAsia="Times New Roman"/>
                <w:sz w:val="20"/>
                <w:szCs w:val="20"/>
                <w:lang w:val="en-GB"/>
              </w:rPr>
              <w:t>awareness of inhabitants, companies and relevant public service providers on environmental challenges and good waste management practices related to river and marine litter</w:t>
            </w:r>
            <w:r w:rsidRPr="001368E0">
              <w:rPr>
                <w:rFonts w:eastAsia="Times New Roman"/>
                <w:bCs/>
                <w:sz w:val="20"/>
                <w:szCs w:val="20"/>
                <w:lang w:val="en-GB"/>
              </w:rPr>
              <w:t xml:space="preserve"> </w:t>
            </w:r>
            <w:r w:rsidRPr="001368E0">
              <w:rPr>
                <w:rFonts w:eastAsia="Times New Roman"/>
                <w:sz w:val="20"/>
                <w:szCs w:val="20"/>
                <w:lang w:val="en-GB"/>
              </w:rPr>
              <w:t>by a reference group.</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PSOI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1.1</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1.</w:t>
            </w:r>
            <w:r w:rsidRPr="001368E0">
              <w:rPr>
                <w:rFonts w:eastAsia="Times New Roman"/>
                <w:bCs/>
                <w:sz w:val="20"/>
                <w:szCs w:val="20"/>
                <w:lang w:val="en-GB"/>
              </w:rPr>
              <w:t>1.1 Number of strategies and products developed jointly to promote tourism</w:t>
            </w:r>
          </w:p>
        </w:tc>
        <w:tc>
          <w:tcPr>
            <w:tcW w:w="6025"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Based on data taken from the project databases. Products to be interpreted as any deliverable (e.g. new tourism route) of the projects that can be offered to tourists directly or indirectly.</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PSOI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1.1</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1.1.2 Number of crossborder tourism and cultural events organised using ENI support</w:t>
            </w:r>
            <w:r w:rsidRPr="001368E0">
              <w:rPr>
                <w:rStyle w:val="FootnoteReference"/>
                <w:sz w:val="20"/>
                <w:szCs w:val="20"/>
              </w:rPr>
              <w:footnoteReference w:id="67"/>
            </w:r>
            <w:r w:rsidRPr="001368E0">
              <w:rPr>
                <w:sz w:val="20"/>
                <w:szCs w:val="20"/>
                <w:lang w:val="en-GB"/>
              </w:rPr>
              <w:t xml:space="preserve"> </w:t>
            </w:r>
          </w:p>
        </w:tc>
        <w:tc>
          <w:tcPr>
            <w:tcW w:w="6025" w:type="dxa"/>
            <w:shd w:val="clear" w:color="auto" w:fill="auto"/>
          </w:tcPr>
          <w:p w:rsidR="001E0465" w:rsidRPr="001368E0" w:rsidRDefault="001E0465" w:rsidP="001368E0">
            <w:pPr>
              <w:widowControl w:val="0"/>
              <w:autoSpaceDE w:val="0"/>
              <w:autoSpaceDN w:val="0"/>
              <w:adjustRightInd w:val="0"/>
              <w:spacing w:after="0" w:line="240" w:lineRule="auto"/>
              <w:jc w:val="both"/>
              <w:rPr>
                <w:sz w:val="20"/>
                <w:szCs w:val="20"/>
                <w:lang w:val="en-GB"/>
              </w:rPr>
            </w:pPr>
            <w:r w:rsidRPr="001368E0">
              <w:rPr>
                <w:sz w:val="20"/>
                <w:szCs w:val="20"/>
                <w:lang w:val="en-GB"/>
              </w:rPr>
              <w:t xml:space="preserve">Based on data taken from the project databases. Number of crossborder cultural events, festivals, congresses, etc. promoting tourism or culture. Event involving participants from at least two ENI CBC participating countries. </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COI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1.1</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1.1.3 Number of small scale improvements to  cultural and historical sites as a direct consequence of programme support (COI 7)</w:t>
            </w:r>
          </w:p>
        </w:tc>
        <w:tc>
          <w:tcPr>
            <w:tcW w:w="6025" w:type="dxa"/>
            <w:shd w:val="clear" w:color="auto" w:fill="auto"/>
          </w:tcPr>
          <w:p w:rsidR="001E0465" w:rsidRPr="001368E0" w:rsidRDefault="001E0465" w:rsidP="001368E0">
            <w:pPr>
              <w:autoSpaceDE w:val="0"/>
              <w:autoSpaceDN w:val="0"/>
              <w:adjustRightInd w:val="0"/>
              <w:spacing w:after="0" w:line="240" w:lineRule="auto"/>
              <w:jc w:val="both"/>
              <w:rPr>
                <w:sz w:val="20"/>
                <w:szCs w:val="20"/>
              </w:rPr>
            </w:pPr>
            <w:r w:rsidRPr="001368E0">
              <w:rPr>
                <w:sz w:val="20"/>
                <w:szCs w:val="20"/>
                <w:lang w:val="en-GB"/>
              </w:rPr>
              <w:t>Based on project reports. Number of cultural and historical sites being improved as a direct consequence of programme support. Valid for site improvements of e.g. buildings, landscapes, sites or structures of local, regional, or national significance, works of monumental sculpture or paintings, new acquisitions to collections or museums, etc. The improvements must be of a permanent nature.</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COI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1.2</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1.2.1 Number of enterprises participating in crossborder agricultural or agro-industrial business events (COI 3)</w:t>
            </w:r>
          </w:p>
        </w:tc>
        <w:tc>
          <w:tcPr>
            <w:tcW w:w="6025" w:type="dxa"/>
            <w:shd w:val="clear" w:color="auto" w:fill="auto"/>
          </w:tcPr>
          <w:p w:rsidR="001E0465" w:rsidRPr="001368E0" w:rsidRDefault="001E0465" w:rsidP="001368E0">
            <w:pPr>
              <w:widowControl w:val="0"/>
              <w:autoSpaceDE w:val="0"/>
              <w:autoSpaceDN w:val="0"/>
              <w:adjustRightInd w:val="0"/>
              <w:spacing w:after="0" w:line="240" w:lineRule="auto"/>
              <w:jc w:val="both"/>
              <w:rPr>
                <w:rFonts w:ascii="Times New Roman" w:hAnsi="Times New Roman"/>
                <w:sz w:val="20"/>
                <w:szCs w:val="20"/>
                <w:lang w:val="en-GB"/>
              </w:rPr>
            </w:pPr>
            <w:r w:rsidRPr="001368E0">
              <w:rPr>
                <w:sz w:val="20"/>
                <w:szCs w:val="20"/>
                <w:lang w:val="en-GB"/>
              </w:rPr>
              <w:t>Based on data taken from the project databases, number of enterprises participating in cross-border business events organised with support from the programme, e.g. trade shows, business fairs, business fora etc. involving participants from at least two ENI CBC participating countries. The event must be a direct consequence of the support. Indicator made more specific to target the agricultural and agro-industry sectors.</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COI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1.2</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1.2.2.</w:t>
            </w:r>
            <w:r w:rsidRPr="001368E0">
              <w:rPr>
                <w:color w:val="000090"/>
                <w:sz w:val="20"/>
                <w:szCs w:val="20"/>
                <w:lang w:val="en-GB"/>
              </w:rPr>
              <w:t xml:space="preserve"> </w:t>
            </w:r>
            <w:r w:rsidRPr="001368E0">
              <w:rPr>
                <w:sz w:val="20"/>
                <w:szCs w:val="20"/>
                <w:lang w:val="en-GB"/>
              </w:rPr>
              <w:t xml:space="preserve">Number of additional ICT based tools developed supporting cross-border cooperation (COI29) increasing cross-border trade opportunities for agricultural and agro-industrial products </w:t>
            </w:r>
          </w:p>
        </w:tc>
        <w:tc>
          <w:tcPr>
            <w:tcW w:w="6025" w:type="dxa"/>
            <w:shd w:val="clear" w:color="auto" w:fill="auto"/>
          </w:tcPr>
          <w:p w:rsidR="001E0465" w:rsidRPr="001368E0" w:rsidRDefault="001E0465" w:rsidP="001368E0">
            <w:pPr>
              <w:autoSpaceDE w:val="0"/>
              <w:autoSpaceDN w:val="0"/>
              <w:adjustRightInd w:val="0"/>
              <w:spacing w:after="0" w:line="240" w:lineRule="auto"/>
              <w:jc w:val="both"/>
              <w:rPr>
                <w:sz w:val="20"/>
                <w:szCs w:val="20"/>
                <w:lang w:val="en-GB"/>
              </w:rPr>
            </w:pPr>
            <w:r w:rsidRPr="001368E0">
              <w:rPr>
                <w:sz w:val="20"/>
                <w:szCs w:val="20"/>
                <w:lang w:val="en-GB"/>
              </w:rPr>
              <w:t>Based on project reports, additional Information and Communication Technologies (ICT) based tools developed supporting cross-border cooperation. May include new joint databases, information exchange portals, other joint logistics or decision-support systems, etc. Indicator made more specific to target the agricultural and agro-industry sectors.</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COI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1.2</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1.2.3 Number of business development organisations receiving support (COI1) to promote modernisation in the agricultural or connected sectors</w:t>
            </w:r>
          </w:p>
        </w:tc>
        <w:tc>
          <w:tcPr>
            <w:tcW w:w="6025" w:type="dxa"/>
            <w:shd w:val="clear" w:color="auto" w:fill="auto"/>
          </w:tcPr>
          <w:p w:rsidR="001E0465" w:rsidRPr="001368E0" w:rsidRDefault="001E0465" w:rsidP="001368E0">
            <w:pPr>
              <w:widowControl w:val="0"/>
              <w:autoSpaceDE w:val="0"/>
              <w:autoSpaceDN w:val="0"/>
              <w:adjustRightInd w:val="0"/>
              <w:spacing w:after="0" w:line="240" w:lineRule="auto"/>
              <w:jc w:val="both"/>
              <w:rPr>
                <w:sz w:val="20"/>
                <w:szCs w:val="20"/>
                <w:lang w:val="en-GB"/>
              </w:rPr>
            </w:pPr>
            <w:r w:rsidRPr="001368E0">
              <w:rPr>
                <w:sz w:val="20"/>
                <w:szCs w:val="20"/>
                <w:lang w:val="en-GB"/>
              </w:rPr>
              <w:t>Based on data taken from the programme database, number of business development organisations receiving support in any form from the programme. Business development organisation may include chambers of commerce, business incubators, regional</w:t>
            </w:r>
          </w:p>
          <w:p w:rsidR="001E0465" w:rsidRPr="001368E0" w:rsidRDefault="001E0465" w:rsidP="001368E0">
            <w:pPr>
              <w:autoSpaceDE w:val="0"/>
              <w:autoSpaceDN w:val="0"/>
              <w:adjustRightInd w:val="0"/>
              <w:spacing w:after="0" w:line="240" w:lineRule="auto"/>
              <w:jc w:val="both"/>
              <w:rPr>
                <w:sz w:val="20"/>
                <w:szCs w:val="20"/>
                <w:lang w:val="en-GB"/>
              </w:rPr>
            </w:pPr>
            <w:r w:rsidRPr="001368E0">
              <w:rPr>
                <w:sz w:val="20"/>
                <w:szCs w:val="20"/>
                <w:lang w:val="en-GB"/>
              </w:rPr>
              <w:t>or local development agencies and other organisations with the primary aim to develop local business. Indicator made more specific to target the agricultural and connected sectors.</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COI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2.1</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2.1.1 Number of additional ICT based tools developed supporting cross-border cooperation (COI29) improving joint environmental monitoring and public availability of environmental information</w:t>
            </w:r>
          </w:p>
        </w:tc>
        <w:tc>
          <w:tcPr>
            <w:tcW w:w="6025" w:type="dxa"/>
            <w:shd w:val="clear" w:color="auto" w:fill="auto"/>
          </w:tcPr>
          <w:p w:rsidR="001E0465" w:rsidRPr="001368E0" w:rsidRDefault="001E0465" w:rsidP="001368E0">
            <w:pPr>
              <w:spacing w:after="0" w:line="240" w:lineRule="auto"/>
              <w:jc w:val="both"/>
              <w:rPr>
                <w:sz w:val="20"/>
                <w:szCs w:val="20"/>
              </w:rPr>
            </w:pPr>
            <w:r w:rsidRPr="001368E0">
              <w:rPr>
                <w:sz w:val="20"/>
                <w:szCs w:val="20"/>
                <w:lang w:val="en-GB"/>
              </w:rPr>
              <w:t>Based on project reports, additional ICT based tools developed supporting cross-border cooperation. May include new joint databases, information exchange portals, other joint logistics or decision-support systems, etc. Indicator made more specific to target environmental monitoring.</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COI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2.1</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 xml:space="preserve">2.1.2 Number of institutions using programme support for cooperation in education, R&amp;D and innovation (COI4) to improve </w:t>
            </w:r>
            <w:r w:rsidRPr="001368E0">
              <w:rPr>
                <w:rFonts w:eastAsia="Times New Roman"/>
                <w:sz w:val="20"/>
                <w:szCs w:val="20"/>
                <w:lang w:val="en-GB"/>
              </w:rPr>
              <w:t xml:space="preserve">data sharing and cross-border information exchange systems on the environment </w:t>
            </w:r>
            <w:r w:rsidRPr="001368E0">
              <w:rPr>
                <w:sz w:val="20"/>
                <w:szCs w:val="20"/>
                <w:lang w:val="en-GB"/>
              </w:rPr>
              <w:t>within BSB</w:t>
            </w:r>
          </w:p>
        </w:tc>
        <w:tc>
          <w:tcPr>
            <w:tcW w:w="6025" w:type="dxa"/>
            <w:shd w:val="clear" w:color="auto" w:fill="auto"/>
          </w:tcPr>
          <w:p w:rsidR="001E0465" w:rsidRPr="001368E0" w:rsidRDefault="001E0465" w:rsidP="001368E0">
            <w:pPr>
              <w:autoSpaceDE w:val="0"/>
              <w:autoSpaceDN w:val="0"/>
              <w:adjustRightInd w:val="0"/>
              <w:spacing w:after="0" w:line="240" w:lineRule="auto"/>
              <w:jc w:val="both"/>
              <w:rPr>
                <w:sz w:val="20"/>
                <w:szCs w:val="20"/>
              </w:rPr>
            </w:pPr>
            <w:r w:rsidRPr="001368E0">
              <w:rPr>
                <w:sz w:val="20"/>
                <w:szCs w:val="20"/>
                <w:lang w:val="en-GB"/>
              </w:rPr>
              <w:t>Based on data taken from the programme database, number of institutions (universities, research institutes, etc.) receiving support in any form from the programme and using it for cooperation in education, R&amp;D and innovation. Indicator made more specific to target environmental monitoring.</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COI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2.2</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2.2.1 Number of persons actively participating in environmental actions and awareness raising activities (COI17)</w:t>
            </w:r>
          </w:p>
        </w:tc>
        <w:tc>
          <w:tcPr>
            <w:tcW w:w="6025" w:type="dxa"/>
            <w:shd w:val="clear" w:color="auto" w:fill="auto"/>
          </w:tcPr>
          <w:p w:rsidR="001E0465" w:rsidRPr="001368E0" w:rsidRDefault="001E0465" w:rsidP="001368E0">
            <w:pPr>
              <w:autoSpaceDE w:val="0"/>
              <w:autoSpaceDN w:val="0"/>
              <w:adjustRightInd w:val="0"/>
              <w:spacing w:after="0" w:line="240" w:lineRule="auto"/>
              <w:jc w:val="both"/>
              <w:rPr>
                <w:sz w:val="20"/>
                <w:szCs w:val="20"/>
                <w:lang w:val="en-GB"/>
              </w:rPr>
            </w:pPr>
            <w:r w:rsidRPr="001368E0">
              <w:rPr>
                <w:sz w:val="20"/>
                <w:szCs w:val="20"/>
                <w:lang w:val="en-GB"/>
              </w:rPr>
              <w:t>Based on project reports, number of citizens/students/pupils etc. actively participating in environmental actions (e.g. clean-up campaigns) and awareness raising activities as well as with regard to the promotion of energy efficiency.</w:t>
            </w:r>
          </w:p>
        </w:tc>
      </w:tr>
      <w:tr w:rsidR="001E0465" w:rsidRPr="001368E0" w:rsidTr="001368E0">
        <w:tc>
          <w:tcPr>
            <w:tcW w:w="705" w:type="dxa"/>
            <w:shd w:val="clear" w:color="auto" w:fill="auto"/>
          </w:tcPr>
          <w:p w:rsidR="001E0465" w:rsidRPr="001368E0" w:rsidRDefault="001E0465" w:rsidP="001368E0">
            <w:pPr>
              <w:spacing w:after="0" w:line="240" w:lineRule="auto"/>
              <w:jc w:val="both"/>
              <w:rPr>
                <w:b/>
                <w:bCs/>
                <w:sz w:val="20"/>
                <w:szCs w:val="20"/>
              </w:rPr>
            </w:pPr>
            <w:r w:rsidRPr="001368E0">
              <w:rPr>
                <w:b/>
                <w:bCs/>
                <w:sz w:val="20"/>
                <w:szCs w:val="20"/>
              </w:rPr>
              <w:t>PSOI</w:t>
            </w:r>
          </w:p>
        </w:tc>
        <w:tc>
          <w:tcPr>
            <w:tcW w:w="679" w:type="dxa"/>
            <w:shd w:val="clear" w:color="auto" w:fill="auto"/>
          </w:tcPr>
          <w:p w:rsidR="001E0465" w:rsidRPr="001368E0" w:rsidRDefault="001E0465" w:rsidP="001368E0">
            <w:pPr>
              <w:spacing w:after="0" w:line="240" w:lineRule="auto"/>
              <w:jc w:val="both"/>
              <w:rPr>
                <w:sz w:val="20"/>
                <w:szCs w:val="20"/>
              </w:rPr>
            </w:pPr>
            <w:r w:rsidRPr="001368E0">
              <w:rPr>
                <w:sz w:val="20"/>
                <w:szCs w:val="20"/>
              </w:rPr>
              <w:t>2.2</w:t>
            </w:r>
          </w:p>
        </w:tc>
        <w:tc>
          <w:tcPr>
            <w:tcW w:w="3686"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 xml:space="preserve">2.2.2 </w:t>
            </w:r>
            <w:r w:rsidRPr="001368E0">
              <w:rPr>
                <w:color w:val="000000"/>
                <w:sz w:val="20"/>
                <w:szCs w:val="20"/>
                <w:lang w:val="en-GB"/>
              </w:rPr>
              <w:t>Number of organisations using programme support to develop or improve</w:t>
            </w:r>
            <w:r w:rsidRPr="001368E0">
              <w:rPr>
                <w:rFonts w:eastAsia="Times New Roman"/>
                <w:sz w:val="20"/>
                <w:szCs w:val="20"/>
                <w:lang w:val="en-GB"/>
              </w:rPr>
              <w:t xml:space="preserve"> waste management tools or small scale facilities along river banks and sea shores (including ports)</w:t>
            </w:r>
          </w:p>
        </w:tc>
        <w:tc>
          <w:tcPr>
            <w:tcW w:w="6025" w:type="dxa"/>
            <w:shd w:val="clear" w:color="auto" w:fill="auto"/>
          </w:tcPr>
          <w:p w:rsidR="001E0465" w:rsidRPr="001368E0" w:rsidRDefault="001E0465" w:rsidP="001368E0">
            <w:pPr>
              <w:spacing w:after="0" w:line="240" w:lineRule="auto"/>
              <w:jc w:val="both"/>
              <w:rPr>
                <w:sz w:val="20"/>
                <w:szCs w:val="20"/>
                <w:lang w:val="en-GB"/>
              </w:rPr>
            </w:pPr>
            <w:r w:rsidRPr="001368E0">
              <w:rPr>
                <w:sz w:val="20"/>
                <w:szCs w:val="20"/>
                <w:lang w:val="en-GB"/>
              </w:rPr>
              <w:t>Based on data taken from the programme database, number of organisations of any kind (NGOs, ports, municipal waste services, etc.) using programme support to develop or improve waste management tools or waste management facilities along river banks and sea shores.</w:t>
            </w:r>
          </w:p>
        </w:tc>
      </w:tr>
    </w:tbl>
    <w:p w:rsidR="00CA4EC3" w:rsidRDefault="00CA4EC3" w:rsidP="00A34868">
      <w:pPr>
        <w:spacing w:before="240" w:after="0" w:line="252" w:lineRule="auto"/>
        <w:jc w:val="both"/>
        <w:rPr>
          <w:sz w:val="22"/>
          <w:szCs w:val="22"/>
          <w:lang w:val="en-GB"/>
        </w:rPr>
      </w:pPr>
      <w:r w:rsidRPr="00BF25DF">
        <w:rPr>
          <w:sz w:val="22"/>
          <w:szCs w:val="22"/>
          <w:lang w:val="en-GB"/>
        </w:rPr>
        <w:t xml:space="preserve">Output indicators will be measured annually and included in the annual reporting to the EC. Their measurement at programme </w:t>
      </w:r>
      <w:r w:rsidR="001F4EEB">
        <w:rPr>
          <w:sz w:val="22"/>
          <w:szCs w:val="22"/>
          <w:lang w:val="en-GB"/>
        </w:rPr>
        <w:t xml:space="preserve">level </w:t>
      </w:r>
      <w:r w:rsidRPr="00BF25DF">
        <w:rPr>
          <w:sz w:val="22"/>
          <w:szCs w:val="22"/>
          <w:lang w:val="en-GB"/>
        </w:rPr>
        <w:t>will be based on an aggregation of the rel</w:t>
      </w:r>
      <w:r>
        <w:rPr>
          <w:sz w:val="22"/>
          <w:szCs w:val="22"/>
          <w:lang w:val="en-GB"/>
        </w:rPr>
        <w:t>evant data from project reports and</w:t>
      </w:r>
      <w:r w:rsidR="009D631D">
        <w:rPr>
          <w:sz w:val="22"/>
          <w:szCs w:val="22"/>
          <w:lang w:val="en-GB"/>
        </w:rPr>
        <w:t>/or</w:t>
      </w:r>
      <w:r>
        <w:rPr>
          <w:sz w:val="22"/>
          <w:szCs w:val="22"/>
          <w:lang w:val="en-GB"/>
        </w:rPr>
        <w:t xml:space="preserve"> from the programme </w:t>
      </w:r>
      <w:r w:rsidR="002436F2" w:rsidRPr="002436F2">
        <w:rPr>
          <w:sz w:val="22"/>
          <w:szCs w:val="22"/>
          <w:lang w:val="en-GB"/>
        </w:rPr>
        <w:t>database</w:t>
      </w:r>
      <w:r w:rsidR="009D631D">
        <w:rPr>
          <w:sz w:val="22"/>
          <w:szCs w:val="22"/>
          <w:lang w:val="en-GB"/>
        </w:rPr>
        <w:t>,</w:t>
      </w:r>
      <w:r w:rsidR="002436F2" w:rsidRPr="002436F2">
        <w:rPr>
          <w:sz w:val="22"/>
          <w:szCs w:val="22"/>
          <w:lang w:val="en-GB"/>
        </w:rPr>
        <w:t xml:space="preserve"> as relevant (information included in the programme management and information system).</w:t>
      </w:r>
      <w:r w:rsidR="00D748CB">
        <w:rPr>
          <w:sz w:val="22"/>
          <w:szCs w:val="22"/>
          <w:lang w:val="en-GB"/>
        </w:rPr>
        <w:t xml:space="preserve"> The target values presented in the table below </w:t>
      </w:r>
      <w:r w:rsidR="00785C72">
        <w:rPr>
          <w:sz w:val="22"/>
          <w:szCs w:val="22"/>
          <w:lang w:val="en-GB"/>
        </w:rPr>
        <w:t>have been defined</w:t>
      </w:r>
      <w:r w:rsidR="00DE7556">
        <w:rPr>
          <w:sz w:val="22"/>
          <w:szCs w:val="22"/>
          <w:lang w:val="en-GB"/>
        </w:rPr>
        <w:t xml:space="preserve"> based on an indicative bu</w:t>
      </w:r>
      <w:r w:rsidR="00776A24">
        <w:rPr>
          <w:sz w:val="22"/>
          <w:szCs w:val="22"/>
          <w:lang w:val="en-GB"/>
        </w:rPr>
        <w:t>dget allocation per priority,</w:t>
      </w:r>
      <w:r w:rsidR="00DE7556">
        <w:rPr>
          <w:sz w:val="22"/>
          <w:szCs w:val="22"/>
          <w:lang w:val="en-GB"/>
        </w:rPr>
        <w:t xml:space="preserve"> </w:t>
      </w:r>
      <w:r w:rsidR="00785C72">
        <w:rPr>
          <w:sz w:val="22"/>
          <w:szCs w:val="22"/>
          <w:lang w:val="en-GB"/>
        </w:rPr>
        <w:t xml:space="preserve">an </w:t>
      </w:r>
      <w:r w:rsidR="00B751C1">
        <w:rPr>
          <w:sz w:val="22"/>
          <w:szCs w:val="22"/>
          <w:lang w:val="en-GB"/>
        </w:rPr>
        <w:t>estimation of</w:t>
      </w:r>
      <w:r w:rsidR="00DE7556">
        <w:rPr>
          <w:sz w:val="22"/>
          <w:szCs w:val="22"/>
          <w:lang w:val="en-GB"/>
        </w:rPr>
        <w:t xml:space="preserve"> number of projects per priority</w:t>
      </w:r>
      <w:r w:rsidR="00B751C1">
        <w:rPr>
          <w:sz w:val="22"/>
          <w:szCs w:val="22"/>
          <w:lang w:val="en-GB"/>
        </w:rPr>
        <w:t xml:space="preserve"> and of </w:t>
      </w:r>
      <w:r w:rsidR="00776A24">
        <w:rPr>
          <w:sz w:val="22"/>
          <w:szCs w:val="22"/>
          <w:lang w:val="en-GB"/>
        </w:rPr>
        <w:t>number of relevant output</w:t>
      </w:r>
      <w:r w:rsidR="00D844CA">
        <w:rPr>
          <w:sz w:val="22"/>
          <w:szCs w:val="22"/>
          <w:lang w:val="en-GB"/>
        </w:rPr>
        <w:t>(s)</w:t>
      </w:r>
      <w:r w:rsidR="00776A24">
        <w:rPr>
          <w:sz w:val="22"/>
          <w:szCs w:val="22"/>
          <w:lang w:val="en-GB"/>
        </w:rPr>
        <w:t xml:space="preserve"> per project</w:t>
      </w:r>
      <w:r w:rsidR="00DE7556">
        <w:rPr>
          <w:sz w:val="22"/>
          <w:szCs w:val="22"/>
          <w:lang w:val="en-GB"/>
        </w:rPr>
        <w:t xml:space="preserve">. </w:t>
      </w:r>
    </w:p>
    <w:p w:rsidR="00DE7556" w:rsidRPr="00CA4EC3" w:rsidRDefault="00CA4EC3" w:rsidP="003C46A8">
      <w:pPr>
        <w:widowControl w:val="0"/>
        <w:autoSpaceDE w:val="0"/>
        <w:autoSpaceDN w:val="0"/>
        <w:adjustRightInd w:val="0"/>
        <w:spacing w:before="120" w:after="120" w:line="264" w:lineRule="auto"/>
        <w:jc w:val="both"/>
        <w:rPr>
          <w:sz w:val="22"/>
          <w:szCs w:val="22"/>
          <w:lang w:val="en-GB"/>
        </w:rPr>
      </w:pPr>
      <w:r w:rsidRPr="000B2D46">
        <w:rPr>
          <w:sz w:val="22"/>
          <w:szCs w:val="22"/>
          <w:lang w:val="en-GB"/>
        </w:rPr>
        <w:t xml:space="preserve">Result indicators will be measured before the programme is submitted to the EC (to set the baselines), and after programme completion (by 2023, in order to draft the final report to the EC). Result indicators have been formulated at the level of priorities and their measurement </w:t>
      </w:r>
      <w:r w:rsidR="000D592A">
        <w:rPr>
          <w:sz w:val="22"/>
          <w:szCs w:val="22"/>
          <w:lang w:val="en-GB"/>
        </w:rPr>
        <w:t>is</w:t>
      </w:r>
      <w:r w:rsidRPr="000B2D46">
        <w:rPr>
          <w:sz w:val="22"/>
          <w:szCs w:val="22"/>
          <w:lang w:val="en-GB"/>
        </w:rPr>
        <w:t xml:space="preserve"> based on specific surveys among the relevant reference groups in each of the participating Black Sea countries. </w:t>
      </w:r>
    </w:p>
    <w:tbl>
      <w:tblPr>
        <w:tblW w:w="1102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959"/>
        <w:gridCol w:w="1701"/>
        <w:gridCol w:w="5103"/>
        <w:gridCol w:w="1559"/>
        <w:gridCol w:w="1701"/>
      </w:tblGrid>
      <w:tr w:rsidR="00911D7B" w:rsidRPr="001368E0" w:rsidTr="001368E0">
        <w:tc>
          <w:tcPr>
            <w:tcW w:w="959" w:type="dxa"/>
            <w:shd w:val="clear" w:color="auto" w:fill="auto"/>
          </w:tcPr>
          <w:p w:rsidR="008B6F78" w:rsidRPr="001368E0" w:rsidRDefault="008B6F78" w:rsidP="001368E0">
            <w:pPr>
              <w:spacing w:after="0" w:line="240" w:lineRule="auto"/>
              <w:jc w:val="both"/>
              <w:rPr>
                <w:bCs/>
                <w:color w:val="FFFFFF"/>
                <w:sz w:val="20"/>
                <w:szCs w:val="20"/>
              </w:rPr>
            </w:pPr>
            <w:r w:rsidRPr="001368E0">
              <w:rPr>
                <w:bCs/>
                <w:color w:val="FFFFFF"/>
                <w:sz w:val="20"/>
                <w:szCs w:val="20"/>
              </w:rPr>
              <w:t>Type</w:t>
            </w:r>
          </w:p>
        </w:tc>
        <w:tc>
          <w:tcPr>
            <w:tcW w:w="1701" w:type="dxa"/>
            <w:shd w:val="clear" w:color="auto" w:fill="auto"/>
          </w:tcPr>
          <w:p w:rsidR="008B6F78" w:rsidRPr="001368E0" w:rsidRDefault="008B6F78" w:rsidP="001368E0">
            <w:pPr>
              <w:spacing w:after="0" w:line="240" w:lineRule="auto"/>
              <w:rPr>
                <w:bCs/>
                <w:color w:val="FFFFFF"/>
                <w:sz w:val="20"/>
                <w:szCs w:val="20"/>
              </w:rPr>
            </w:pPr>
            <w:r w:rsidRPr="001368E0">
              <w:rPr>
                <w:bCs/>
                <w:color w:val="FFFFFF"/>
                <w:sz w:val="20"/>
                <w:szCs w:val="20"/>
              </w:rPr>
              <w:t>Indicator</w:t>
            </w:r>
          </w:p>
        </w:tc>
        <w:tc>
          <w:tcPr>
            <w:tcW w:w="5103" w:type="dxa"/>
            <w:shd w:val="clear" w:color="auto" w:fill="auto"/>
          </w:tcPr>
          <w:p w:rsidR="008B6F78" w:rsidRPr="001368E0" w:rsidRDefault="008B6F78" w:rsidP="001368E0">
            <w:pPr>
              <w:spacing w:after="0" w:line="240" w:lineRule="auto"/>
              <w:rPr>
                <w:bCs/>
                <w:color w:val="FFFFFF"/>
                <w:sz w:val="20"/>
                <w:szCs w:val="20"/>
              </w:rPr>
            </w:pPr>
            <w:r w:rsidRPr="001368E0">
              <w:rPr>
                <w:bCs/>
                <w:color w:val="FFFFFF"/>
                <w:sz w:val="20"/>
                <w:szCs w:val="20"/>
              </w:rPr>
              <w:t>Unit of measurement</w:t>
            </w:r>
          </w:p>
        </w:tc>
        <w:tc>
          <w:tcPr>
            <w:tcW w:w="1559" w:type="dxa"/>
            <w:shd w:val="clear" w:color="auto" w:fill="auto"/>
          </w:tcPr>
          <w:p w:rsidR="008B6F78" w:rsidRPr="001368E0" w:rsidRDefault="008B6F78" w:rsidP="001368E0">
            <w:pPr>
              <w:spacing w:after="0" w:line="240" w:lineRule="auto"/>
              <w:jc w:val="right"/>
              <w:rPr>
                <w:bCs/>
                <w:color w:val="FFFFFF"/>
                <w:sz w:val="20"/>
                <w:szCs w:val="20"/>
              </w:rPr>
            </w:pPr>
            <w:r w:rsidRPr="001368E0">
              <w:rPr>
                <w:bCs/>
                <w:color w:val="FFFFFF"/>
                <w:sz w:val="20"/>
                <w:szCs w:val="20"/>
              </w:rPr>
              <w:t>Baseline</w:t>
            </w:r>
          </w:p>
        </w:tc>
        <w:tc>
          <w:tcPr>
            <w:tcW w:w="1701" w:type="dxa"/>
            <w:shd w:val="clear" w:color="auto" w:fill="auto"/>
          </w:tcPr>
          <w:p w:rsidR="008B6F78" w:rsidRPr="001368E0" w:rsidRDefault="008B6F78" w:rsidP="001368E0">
            <w:pPr>
              <w:spacing w:after="0" w:line="240" w:lineRule="auto"/>
              <w:jc w:val="right"/>
              <w:rPr>
                <w:bCs/>
                <w:color w:val="FFFFFF"/>
                <w:sz w:val="20"/>
                <w:szCs w:val="20"/>
              </w:rPr>
            </w:pPr>
            <w:r w:rsidRPr="001368E0">
              <w:rPr>
                <w:bCs/>
                <w:color w:val="FFFFFF"/>
                <w:sz w:val="20"/>
                <w:szCs w:val="20"/>
              </w:rPr>
              <w:t>Target</w:t>
            </w: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RI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R1.1</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1-5 Likert-scale</w:t>
            </w:r>
          </w:p>
        </w:tc>
        <w:tc>
          <w:tcPr>
            <w:tcW w:w="1559" w:type="dxa"/>
            <w:shd w:val="clear" w:color="auto" w:fill="auto"/>
          </w:tcPr>
          <w:p w:rsidR="008B6F78" w:rsidRPr="001368E0" w:rsidRDefault="008B6F78" w:rsidP="001368E0">
            <w:pPr>
              <w:spacing w:after="0" w:line="240" w:lineRule="auto"/>
              <w:jc w:val="right"/>
              <w:rPr>
                <w:sz w:val="20"/>
                <w:szCs w:val="20"/>
              </w:rPr>
            </w:pPr>
          </w:p>
        </w:tc>
        <w:tc>
          <w:tcPr>
            <w:tcW w:w="1701" w:type="dxa"/>
            <w:shd w:val="clear" w:color="auto" w:fill="auto"/>
          </w:tcPr>
          <w:p w:rsidR="008B6F78" w:rsidRPr="001368E0" w:rsidRDefault="008B6F78" w:rsidP="001368E0">
            <w:pPr>
              <w:spacing w:after="0" w:line="240" w:lineRule="auto"/>
              <w:jc w:val="right"/>
              <w:rPr>
                <w:sz w:val="20"/>
                <w:szCs w:val="20"/>
              </w:rPr>
            </w:pP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 xml:space="preserve">RI </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R1.2</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1-5 Likert-scale</w:t>
            </w:r>
          </w:p>
        </w:tc>
        <w:tc>
          <w:tcPr>
            <w:tcW w:w="1559" w:type="dxa"/>
            <w:shd w:val="clear" w:color="auto" w:fill="auto"/>
          </w:tcPr>
          <w:p w:rsidR="008B6F78" w:rsidRPr="001368E0" w:rsidRDefault="008B6F78" w:rsidP="001368E0">
            <w:pPr>
              <w:spacing w:after="0" w:line="240" w:lineRule="auto"/>
              <w:jc w:val="right"/>
              <w:rPr>
                <w:sz w:val="20"/>
                <w:szCs w:val="20"/>
              </w:rPr>
            </w:pPr>
          </w:p>
        </w:tc>
        <w:tc>
          <w:tcPr>
            <w:tcW w:w="1701" w:type="dxa"/>
            <w:shd w:val="clear" w:color="auto" w:fill="auto"/>
          </w:tcPr>
          <w:p w:rsidR="008B6F78" w:rsidRPr="001368E0" w:rsidRDefault="008B6F78" w:rsidP="001368E0">
            <w:pPr>
              <w:spacing w:after="0" w:line="240" w:lineRule="auto"/>
              <w:jc w:val="right"/>
              <w:rPr>
                <w:sz w:val="20"/>
                <w:szCs w:val="20"/>
              </w:rPr>
            </w:pP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RI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R2.1</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1-5 Likert-scale</w:t>
            </w:r>
          </w:p>
        </w:tc>
        <w:tc>
          <w:tcPr>
            <w:tcW w:w="1559" w:type="dxa"/>
            <w:shd w:val="clear" w:color="auto" w:fill="auto"/>
          </w:tcPr>
          <w:p w:rsidR="008B6F78" w:rsidRPr="001368E0" w:rsidRDefault="008B6F78" w:rsidP="001368E0">
            <w:pPr>
              <w:spacing w:after="0" w:line="240" w:lineRule="auto"/>
              <w:jc w:val="right"/>
              <w:rPr>
                <w:sz w:val="20"/>
                <w:szCs w:val="20"/>
              </w:rPr>
            </w:pPr>
          </w:p>
        </w:tc>
        <w:tc>
          <w:tcPr>
            <w:tcW w:w="1701" w:type="dxa"/>
            <w:shd w:val="clear" w:color="auto" w:fill="auto"/>
          </w:tcPr>
          <w:p w:rsidR="008B6F78" w:rsidRPr="001368E0" w:rsidRDefault="008B6F78" w:rsidP="001368E0">
            <w:pPr>
              <w:spacing w:after="0" w:line="240" w:lineRule="auto"/>
              <w:jc w:val="right"/>
              <w:rPr>
                <w:sz w:val="20"/>
                <w:szCs w:val="20"/>
              </w:rPr>
            </w:pPr>
          </w:p>
        </w:tc>
      </w:tr>
      <w:tr w:rsidR="00911D7B" w:rsidRPr="001368E0" w:rsidTr="001368E0">
        <w:trPr>
          <w:trHeight w:val="134"/>
        </w:trPr>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RI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R2.2</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1-5 Likert-scale</w:t>
            </w:r>
          </w:p>
        </w:tc>
        <w:tc>
          <w:tcPr>
            <w:tcW w:w="1559" w:type="dxa"/>
            <w:shd w:val="clear" w:color="auto" w:fill="auto"/>
          </w:tcPr>
          <w:p w:rsidR="008B6F78" w:rsidRPr="001368E0" w:rsidRDefault="008B6F78" w:rsidP="001368E0">
            <w:pPr>
              <w:spacing w:after="0" w:line="240" w:lineRule="auto"/>
              <w:jc w:val="right"/>
              <w:rPr>
                <w:sz w:val="20"/>
                <w:szCs w:val="20"/>
              </w:rPr>
            </w:pPr>
          </w:p>
        </w:tc>
        <w:tc>
          <w:tcPr>
            <w:tcW w:w="1701" w:type="dxa"/>
            <w:shd w:val="clear" w:color="auto" w:fill="auto"/>
          </w:tcPr>
          <w:p w:rsidR="008B6F78" w:rsidRPr="001368E0" w:rsidRDefault="008B6F78" w:rsidP="001368E0">
            <w:pPr>
              <w:spacing w:after="0" w:line="240" w:lineRule="auto"/>
              <w:jc w:val="right"/>
              <w:rPr>
                <w:sz w:val="20"/>
                <w:szCs w:val="20"/>
              </w:rPr>
            </w:pP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PSOI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1.1.1</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Number of strategies/products</w:t>
            </w:r>
          </w:p>
        </w:tc>
        <w:tc>
          <w:tcPr>
            <w:tcW w:w="1559" w:type="dxa"/>
            <w:shd w:val="clear" w:color="auto" w:fill="auto"/>
          </w:tcPr>
          <w:p w:rsidR="008B6F78" w:rsidRPr="001368E0" w:rsidRDefault="008B6F78" w:rsidP="001368E0">
            <w:pPr>
              <w:spacing w:after="0" w:line="240" w:lineRule="auto"/>
              <w:jc w:val="right"/>
              <w:rPr>
                <w:sz w:val="20"/>
                <w:szCs w:val="20"/>
              </w:rPr>
            </w:pPr>
            <w:r w:rsidRPr="001368E0">
              <w:rPr>
                <w:sz w:val="20"/>
                <w:szCs w:val="20"/>
              </w:rPr>
              <w:t>0</w:t>
            </w:r>
          </w:p>
        </w:tc>
        <w:tc>
          <w:tcPr>
            <w:tcW w:w="1701" w:type="dxa"/>
            <w:shd w:val="clear" w:color="auto" w:fill="auto"/>
          </w:tcPr>
          <w:p w:rsidR="008B6F78" w:rsidRPr="001368E0" w:rsidRDefault="008B6F78" w:rsidP="001368E0">
            <w:pPr>
              <w:spacing w:after="0" w:line="240" w:lineRule="auto"/>
              <w:jc w:val="right"/>
              <w:rPr>
                <w:sz w:val="20"/>
                <w:szCs w:val="20"/>
              </w:rPr>
            </w:pPr>
            <w:r w:rsidRPr="001368E0">
              <w:rPr>
                <w:sz w:val="20"/>
                <w:szCs w:val="20"/>
              </w:rPr>
              <w:t>38</w:t>
            </w: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PSOI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1.1.2</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Number of events</w:t>
            </w:r>
          </w:p>
        </w:tc>
        <w:tc>
          <w:tcPr>
            <w:tcW w:w="1559" w:type="dxa"/>
            <w:shd w:val="clear" w:color="auto" w:fill="auto"/>
          </w:tcPr>
          <w:p w:rsidR="008B6F78" w:rsidRPr="001368E0" w:rsidRDefault="008B6F78" w:rsidP="001368E0">
            <w:pPr>
              <w:spacing w:after="0" w:line="240" w:lineRule="auto"/>
              <w:jc w:val="right"/>
              <w:rPr>
                <w:sz w:val="20"/>
                <w:szCs w:val="20"/>
              </w:rPr>
            </w:pPr>
            <w:r w:rsidRPr="001368E0">
              <w:rPr>
                <w:sz w:val="20"/>
                <w:szCs w:val="20"/>
              </w:rPr>
              <w:t>0</w:t>
            </w:r>
          </w:p>
        </w:tc>
        <w:tc>
          <w:tcPr>
            <w:tcW w:w="1701" w:type="dxa"/>
            <w:shd w:val="clear" w:color="auto" w:fill="auto"/>
          </w:tcPr>
          <w:p w:rsidR="008B6F78" w:rsidRPr="001368E0" w:rsidRDefault="008B6F78" w:rsidP="001368E0">
            <w:pPr>
              <w:spacing w:after="0" w:line="240" w:lineRule="auto"/>
              <w:jc w:val="right"/>
              <w:rPr>
                <w:sz w:val="20"/>
                <w:szCs w:val="20"/>
              </w:rPr>
            </w:pPr>
            <w:r w:rsidRPr="001368E0">
              <w:rPr>
                <w:sz w:val="20"/>
                <w:szCs w:val="20"/>
              </w:rPr>
              <w:t>100</w:t>
            </w: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COI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1.1.3</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Number of sites</w:t>
            </w:r>
          </w:p>
        </w:tc>
        <w:tc>
          <w:tcPr>
            <w:tcW w:w="1559" w:type="dxa"/>
            <w:shd w:val="clear" w:color="auto" w:fill="auto"/>
          </w:tcPr>
          <w:p w:rsidR="008B6F78" w:rsidRPr="001368E0" w:rsidRDefault="008B6F78" w:rsidP="001368E0">
            <w:pPr>
              <w:spacing w:after="0" w:line="240" w:lineRule="auto"/>
              <w:jc w:val="right"/>
              <w:rPr>
                <w:sz w:val="20"/>
                <w:szCs w:val="20"/>
              </w:rPr>
            </w:pPr>
            <w:r w:rsidRPr="001368E0">
              <w:rPr>
                <w:sz w:val="20"/>
                <w:szCs w:val="20"/>
              </w:rPr>
              <w:t>0</w:t>
            </w:r>
          </w:p>
        </w:tc>
        <w:tc>
          <w:tcPr>
            <w:tcW w:w="1701" w:type="dxa"/>
            <w:shd w:val="clear" w:color="auto" w:fill="auto"/>
          </w:tcPr>
          <w:p w:rsidR="008B6F78" w:rsidRPr="001368E0" w:rsidRDefault="008B6F78" w:rsidP="001368E0">
            <w:pPr>
              <w:spacing w:after="0" w:line="240" w:lineRule="auto"/>
              <w:jc w:val="right"/>
              <w:rPr>
                <w:sz w:val="20"/>
                <w:szCs w:val="20"/>
              </w:rPr>
            </w:pPr>
            <w:r w:rsidRPr="001368E0">
              <w:rPr>
                <w:sz w:val="20"/>
                <w:szCs w:val="20"/>
              </w:rPr>
              <w:t>5</w:t>
            </w: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COI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1.2.1</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Number of enterprises</w:t>
            </w:r>
          </w:p>
        </w:tc>
        <w:tc>
          <w:tcPr>
            <w:tcW w:w="1559" w:type="dxa"/>
            <w:shd w:val="clear" w:color="auto" w:fill="auto"/>
          </w:tcPr>
          <w:p w:rsidR="008B6F78" w:rsidRPr="001368E0" w:rsidRDefault="008B6F78" w:rsidP="001368E0">
            <w:pPr>
              <w:spacing w:after="0" w:line="240" w:lineRule="auto"/>
              <w:jc w:val="right"/>
              <w:rPr>
                <w:sz w:val="20"/>
                <w:szCs w:val="20"/>
              </w:rPr>
            </w:pPr>
            <w:r w:rsidRPr="001368E0">
              <w:rPr>
                <w:sz w:val="20"/>
                <w:szCs w:val="20"/>
              </w:rPr>
              <w:t>0</w:t>
            </w:r>
          </w:p>
        </w:tc>
        <w:tc>
          <w:tcPr>
            <w:tcW w:w="1701" w:type="dxa"/>
            <w:shd w:val="clear" w:color="auto" w:fill="auto"/>
          </w:tcPr>
          <w:p w:rsidR="008B6F78" w:rsidRPr="001368E0" w:rsidRDefault="008B6F78" w:rsidP="001368E0">
            <w:pPr>
              <w:spacing w:after="0" w:line="240" w:lineRule="auto"/>
              <w:jc w:val="right"/>
              <w:rPr>
                <w:sz w:val="20"/>
                <w:szCs w:val="20"/>
              </w:rPr>
            </w:pPr>
            <w:r w:rsidRPr="001368E0">
              <w:rPr>
                <w:sz w:val="20"/>
                <w:szCs w:val="20"/>
              </w:rPr>
              <w:t>600</w:t>
            </w: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COI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1.2.2</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Number of ICT tools</w:t>
            </w:r>
          </w:p>
        </w:tc>
        <w:tc>
          <w:tcPr>
            <w:tcW w:w="1559" w:type="dxa"/>
            <w:shd w:val="clear" w:color="auto" w:fill="auto"/>
          </w:tcPr>
          <w:p w:rsidR="008B6F78" w:rsidRPr="001368E0" w:rsidRDefault="008B6F78" w:rsidP="001368E0">
            <w:pPr>
              <w:spacing w:after="0" w:line="240" w:lineRule="auto"/>
              <w:jc w:val="right"/>
              <w:rPr>
                <w:sz w:val="20"/>
                <w:szCs w:val="20"/>
              </w:rPr>
            </w:pPr>
            <w:r w:rsidRPr="001368E0">
              <w:rPr>
                <w:sz w:val="20"/>
                <w:szCs w:val="20"/>
              </w:rPr>
              <w:t>0</w:t>
            </w:r>
          </w:p>
        </w:tc>
        <w:tc>
          <w:tcPr>
            <w:tcW w:w="1701" w:type="dxa"/>
            <w:shd w:val="clear" w:color="auto" w:fill="auto"/>
          </w:tcPr>
          <w:p w:rsidR="008B6F78" w:rsidRPr="001368E0" w:rsidRDefault="008B6F78" w:rsidP="001368E0">
            <w:pPr>
              <w:spacing w:after="0" w:line="240" w:lineRule="auto"/>
              <w:jc w:val="right"/>
              <w:rPr>
                <w:sz w:val="20"/>
                <w:szCs w:val="20"/>
              </w:rPr>
            </w:pPr>
            <w:r w:rsidRPr="001368E0">
              <w:rPr>
                <w:sz w:val="20"/>
                <w:szCs w:val="20"/>
              </w:rPr>
              <w:t>4</w:t>
            </w: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COI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1.2.3</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Number of organisations</w:t>
            </w:r>
          </w:p>
        </w:tc>
        <w:tc>
          <w:tcPr>
            <w:tcW w:w="1559" w:type="dxa"/>
            <w:shd w:val="clear" w:color="auto" w:fill="auto"/>
          </w:tcPr>
          <w:p w:rsidR="008B6F78" w:rsidRPr="001368E0" w:rsidRDefault="008B6F78" w:rsidP="001368E0">
            <w:pPr>
              <w:spacing w:after="0" w:line="240" w:lineRule="auto"/>
              <w:jc w:val="right"/>
              <w:rPr>
                <w:sz w:val="20"/>
                <w:szCs w:val="20"/>
              </w:rPr>
            </w:pPr>
            <w:r w:rsidRPr="001368E0">
              <w:rPr>
                <w:sz w:val="20"/>
                <w:szCs w:val="20"/>
              </w:rPr>
              <w:t>0</w:t>
            </w:r>
          </w:p>
        </w:tc>
        <w:tc>
          <w:tcPr>
            <w:tcW w:w="1701" w:type="dxa"/>
            <w:shd w:val="clear" w:color="auto" w:fill="auto"/>
          </w:tcPr>
          <w:p w:rsidR="008B6F78" w:rsidRPr="001368E0" w:rsidRDefault="008B6F78" w:rsidP="001368E0">
            <w:pPr>
              <w:spacing w:after="0" w:line="240" w:lineRule="auto"/>
              <w:jc w:val="right"/>
              <w:rPr>
                <w:sz w:val="20"/>
                <w:szCs w:val="20"/>
              </w:rPr>
            </w:pPr>
            <w:r w:rsidRPr="001368E0">
              <w:rPr>
                <w:sz w:val="20"/>
                <w:szCs w:val="20"/>
              </w:rPr>
              <w:t>15</w:t>
            </w: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COI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2.1.1</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Number of ICT tools</w:t>
            </w:r>
          </w:p>
        </w:tc>
        <w:tc>
          <w:tcPr>
            <w:tcW w:w="1559" w:type="dxa"/>
            <w:shd w:val="clear" w:color="auto" w:fill="auto"/>
          </w:tcPr>
          <w:p w:rsidR="008B6F78" w:rsidRPr="001368E0" w:rsidRDefault="008B6F78" w:rsidP="001368E0">
            <w:pPr>
              <w:spacing w:after="0" w:line="240" w:lineRule="auto"/>
              <w:jc w:val="right"/>
              <w:rPr>
                <w:sz w:val="20"/>
                <w:szCs w:val="20"/>
              </w:rPr>
            </w:pPr>
            <w:r w:rsidRPr="001368E0">
              <w:rPr>
                <w:sz w:val="20"/>
                <w:szCs w:val="20"/>
              </w:rPr>
              <w:t>0</w:t>
            </w:r>
          </w:p>
        </w:tc>
        <w:tc>
          <w:tcPr>
            <w:tcW w:w="1701" w:type="dxa"/>
            <w:shd w:val="clear" w:color="auto" w:fill="auto"/>
          </w:tcPr>
          <w:p w:rsidR="008B6F78" w:rsidRPr="001368E0" w:rsidRDefault="008B6F78" w:rsidP="001368E0">
            <w:pPr>
              <w:spacing w:after="0" w:line="240" w:lineRule="auto"/>
              <w:jc w:val="right"/>
              <w:rPr>
                <w:sz w:val="20"/>
                <w:szCs w:val="20"/>
              </w:rPr>
            </w:pPr>
            <w:r w:rsidRPr="001368E0">
              <w:rPr>
                <w:sz w:val="20"/>
                <w:szCs w:val="20"/>
              </w:rPr>
              <w:t>13</w:t>
            </w: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COI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2.1.2</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Number of institutions</w:t>
            </w:r>
          </w:p>
        </w:tc>
        <w:tc>
          <w:tcPr>
            <w:tcW w:w="1559" w:type="dxa"/>
            <w:shd w:val="clear" w:color="auto" w:fill="auto"/>
          </w:tcPr>
          <w:p w:rsidR="008B6F78" w:rsidRPr="001368E0" w:rsidRDefault="008B6F78" w:rsidP="001368E0">
            <w:pPr>
              <w:spacing w:after="0" w:line="240" w:lineRule="auto"/>
              <w:jc w:val="right"/>
              <w:rPr>
                <w:sz w:val="20"/>
                <w:szCs w:val="20"/>
              </w:rPr>
            </w:pPr>
            <w:r w:rsidRPr="001368E0">
              <w:rPr>
                <w:sz w:val="20"/>
                <w:szCs w:val="20"/>
              </w:rPr>
              <w:t>0</w:t>
            </w:r>
          </w:p>
        </w:tc>
        <w:tc>
          <w:tcPr>
            <w:tcW w:w="1701" w:type="dxa"/>
            <w:shd w:val="clear" w:color="auto" w:fill="auto"/>
          </w:tcPr>
          <w:p w:rsidR="008B6F78" w:rsidRPr="001368E0" w:rsidRDefault="008B6F78" w:rsidP="001368E0">
            <w:pPr>
              <w:spacing w:after="0" w:line="240" w:lineRule="auto"/>
              <w:jc w:val="right"/>
              <w:rPr>
                <w:sz w:val="20"/>
                <w:szCs w:val="20"/>
              </w:rPr>
            </w:pPr>
            <w:r w:rsidRPr="001368E0">
              <w:rPr>
                <w:sz w:val="20"/>
                <w:szCs w:val="20"/>
              </w:rPr>
              <w:t>10</w:t>
            </w: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COI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2.2.1</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Number of persons</w:t>
            </w:r>
          </w:p>
        </w:tc>
        <w:tc>
          <w:tcPr>
            <w:tcW w:w="1559" w:type="dxa"/>
            <w:shd w:val="clear" w:color="auto" w:fill="auto"/>
          </w:tcPr>
          <w:p w:rsidR="008B6F78" w:rsidRPr="001368E0" w:rsidRDefault="008B6F78" w:rsidP="001368E0">
            <w:pPr>
              <w:spacing w:after="0" w:line="240" w:lineRule="auto"/>
              <w:jc w:val="right"/>
              <w:rPr>
                <w:sz w:val="20"/>
                <w:szCs w:val="20"/>
              </w:rPr>
            </w:pPr>
            <w:r w:rsidRPr="001368E0">
              <w:rPr>
                <w:sz w:val="20"/>
                <w:szCs w:val="20"/>
              </w:rPr>
              <w:t>0</w:t>
            </w:r>
          </w:p>
        </w:tc>
        <w:tc>
          <w:tcPr>
            <w:tcW w:w="1701" w:type="dxa"/>
            <w:shd w:val="clear" w:color="auto" w:fill="auto"/>
          </w:tcPr>
          <w:p w:rsidR="008B6F78" w:rsidRPr="001368E0" w:rsidRDefault="008B6F78" w:rsidP="001368E0">
            <w:pPr>
              <w:spacing w:after="0" w:line="240" w:lineRule="auto"/>
              <w:jc w:val="right"/>
              <w:rPr>
                <w:sz w:val="20"/>
                <w:szCs w:val="20"/>
              </w:rPr>
            </w:pPr>
            <w:r w:rsidRPr="001368E0">
              <w:rPr>
                <w:sz w:val="20"/>
                <w:szCs w:val="20"/>
              </w:rPr>
              <w:t>3 600</w:t>
            </w:r>
          </w:p>
        </w:tc>
      </w:tr>
      <w:tr w:rsidR="00911D7B" w:rsidRPr="001368E0" w:rsidTr="001368E0">
        <w:tc>
          <w:tcPr>
            <w:tcW w:w="959" w:type="dxa"/>
            <w:shd w:val="clear" w:color="auto" w:fill="auto"/>
          </w:tcPr>
          <w:p w:rsidR="008B6F78" w:rsidRPr="001368E0" w:rsidRDefault="008B6F78" w:rsidP="001368E0">
            <w:pPr>
              <w:spacing w:after="0" w:line="240" w:lineRule="auto"/>
              <w:jc w:val="both"/>
              <w:rPr>
                <w:b/>
                <w:bCs/>
                <w:color w:val="FFFFFF"/>
                <w:sz w:val="20"/>
                <w:szCs w:val="20"/>
              </w:rPr>
            </w:pPr>
            <w:r w:rsidRPr="001368E0">
              <w:rPr>
                <w:b/>
                <w:bCs/>
                <w:color w:val="FFFFFF"/>
                <w:sz w:val="20"/>
                <w:szCs w:val="20"/>
              </w:rPr>
              <w:t>PSOI</w:t>
            </w:r>
          </w:p>
        </w:tc>
        <w:tc>
          <w:tcPr>
            <w:tcW w:w="1701" w:type="dxa"/>
            <w:shd w:val="clear" w:color="auto" w:fill="auto"/>
          </w:tcPr>
          <w:p w:rsidR="008B6F78" w:rsidRPr="001368E0" w:rsidRDefault="008B6F78" w:rsidP="001368E0">
            <w:pPr>
              <w:spacing w:after="0" w:line="240" w:lineRule="auto"/>
              <w:rPr>
                <w:sz w:val="20"/>
                <w:szCs w:val="20"/>
              </w:rPr>
            </w:pPr>
            <w:r w:rsidRPr="001368E0">
              <w:rPr>
                <w:sz w:val="20"/>
                <w:szCs w:val="20"/>
              </w:rPr>
              <w:t>2.2.2</w:t>
            </w:r>
          </w:p>
        </w:tc>
        <w:tc>
          <w:tcPr>
            <w:tcW w:w="5103" w:type="dxa"/>
            <w:shd w:val="clear" w:color="auto" w:fill="auto"/>
          </w:tcPr>
          <w:p w:rsidR="008B6F78" w:rsidRPr="001368E0" w:rsidRDefault="008B6F78" w:rsidP="001368E0">
            <w:pPr>
              <w:spacing w:after="0" w:line="240" w:lineRule="auto"/>
              <w:rPr>
                <w:sz w:val="20"/>
                <w:szCs w:val="20"/>
              </w:rPr>
            </w:pPr>
            <w:r w:rsidRPr="001368E0">
              <w:rPr>
                <w:sz w:val="20"/>
                <w:szCs w:val="20"/>
              </w:rPr>
              <w:t>Number of organisations</w:t>
            </w:r>
          </w:p>
        </w:tc>
        <w:tc>
          <w:tcPr>
            <w:tcW w:w="1559" w:type="dxa"/>
            <w:shd w:val="clear" w:color="auto" w:fill="auto"/>
          </w:tcPr>
          <w:p w:rsidR="008B6F78" w:rsidRPr="001368E0" w:rsidRDefault="008B6F78" w:rsidP="001368E0">
            <w:pPr>
              <w:spacing w:after="0" w:line="240" w:lineRule="auto"/>
              <w:jc w:val="right"/>
              <w:rPr>
                <w:sz w:val="20"/>
                <w:szCs w:val="20"/>
              </w:rPr>
            </w:pPr>
            <w:r w:rsidRPr="001368E0">
              <w:rPr>
                <w:sz w:val="20"/>
                <w:szCs w:val="20"/>
              </w:rPr>
              <w:t>0</w:t>
            </w:r>
          </w:p>
        </w:tc>
        <w:tc>
          <w:tcPr>
            <w:tcW w:w="1701" w:type="dxa"/>
            <w:shd w:val="clear" w:color="auto" w:fill="auto"/>
          </w:tcPr>
          <w:p w:rsidR="008B6F78" w:rsidRPr="001368E0" w:rsidRDefault="008B6F78" w:rsidP="001368E0">
            <w:pPr>
              <w:spacing w:after="0" w:line="240" w:lineRule="auto"/>
              <w:jc w:val="right"/>
              <w:rPr>
                <w:sz w:val="20"/>
                <w:szCs w:val="20"/>
              </w:rPr>
            </w:pPr>
            <w:r w:rsidRPr="001368E0">
              <w:rPr>
                <w:sz w:val="20"/>
                <w:szCs w:val="20"/>
              </w:rPr>
              <w:t>40</w:t>
            </w:r>
          </w:p>
        </w:tc>
      </w:tr>
    </w:tbl>
    <w:p w:rsidR="003C46A8" w:rsidRPr="003C46A8" w:rsidRDefault="003C46A8" w:rsidP="003C46A8">
      <w:pPr>
        <w:widowControl w:val="0"/>
        <w:autoSpaceDE w:val="0"/>
        <w:autoSpaceDN w:val="0"/>
        <w:adjustRightInd w:val="0"/>
        <w:spacing w:before="120" w:after="120" w:line="264" w:lineRule="auto"/>
        <w:jc w:val="both"/>
        <w:rPr>
          <w:sz w:val="22"/>
          <w:szCs w:val="22"/>
          <w:lang w:val="en-GB"/>
        </w:rPr>
      </w:pPr>
      <w:bookmarkStart w:id="73" w:name="_Toc273788693"/>
      <w:bookmarkStart w:id="74" w:name="_Toc276156674"/>
      <w:r>
        <w:rPr>
          <w:sz w:val="22"/>
          <w:szCs w:val="22"/>
          <w:lang w:val="en-GB"/>
        </w:rPr>
        <w:t xml:space="preserve">Definition of the indicators and ways to measure them is </w:t>
      </w:r>
      <w:r w:rsidRPr="001D37A2">
        <w:rPr>
          <w:sz w:val="22"/>
          <w:szCs w:val="22"/>
          <w:lang w:val="en-GB"/>
        </w:rPr>
        <w:t>further described in the Monitoring and Evaluation system</w:t>
      </w:r>
      <w:r>
        <w:rPr>
          <w:sz w:val="22"/>
          <w:szCs w:val="22"/>
          <w:lang w:val="en-GB"/>
        </w:rPr>
        <w:t xml:space="preserve"> and plan</w:t>
      </w:r>
      <w:r w:rsidR="00FF0EA3">
        <w:rPr>
          <w:sz w:val="22"/>
          <w:szCs w:val="22"/>
          <w:lang w:val="en-GB"/>
        </w:rPr>
        <w:t xml:space="preserve"> (see</w:t>
      </w:r>
      <w:r>
        <w:rPr>
          <w:sz w:val="22"/>
          <w:szCs w:val="22"/>
          <w:lang w:val="en-GB"/>
        </w:rPr>
        <w:t xml:space="preserve"> in Annex 3)</w:t>
      </w:r>
      <w:r w:rsidRPr="001D37A2">
        <w:rPr>
          <w:sz w:val="22"/>
          <w:szCs w:val="22"/>
          <w:lang w:val="en-GB"/>
        </w:rPr>
        <w:t>.</w:t>
      </w:r>
    </w:p>
    <w:p w:rsidR="00FF1E64" w:rsidRPr="0025034F" w:rsidRDefault="00FF1E64" w:rsidP="0065700F">
      <w:pPr>
        <w:pStyle w:val="Heading3"/>
        <w:spacing w:before="480" w:after="240" w:line="264" w:lineRule="auto"/>
        <w:rPr>
          <w:b/>
          <w:sz w:val="28"/>
          <w:szCs w:val="28"/>
          <w:lang w:val="en-GB"/>
        </w:rPr>
      </w:pPr>
      <w:bookmarkStart w:id="75" w:name="_Toc288133450"/>
      <w:r w:rsidRPr="0025034F">
        <w:rPr>
          <w:b/>
          <w:sz w:val="28"/>
          <w:szCs w:val="28"/>
          <w:lang w:val="en-GB"/>
        </w:rPr>
        <w:t>Risk analysis and mitigating measures</w:t>
      </w:r>
      <w:bookmarkEnd w:id="75"/>
    </w:p>
    <w:p w:rsidR="009668F5" w:rsidRPr="009668F5" w:rsidRDefault="009668F5" w:rsidP="00A17136">
      <w:pPr>
        <w:spacing w:after="120" w:line="264" w:lineRule="auto"/>
        <w:jc w:val="both"/>
        <w:rPr>
          <w:sz w:val="22"/>
          <w:szCs w:val="22"/>
          <w:lang w:val="en-GB"/>
        </w:rPr>
      </w:pPr>
      <w:r w:rsidRPr="009668F5">
        <w:rPr>
          <w:sz w:val="22"/>
          <w:szCs w:val="22"/>
          <w:lang w:val="en-GB"/>
        </w:rPr>
        <w:t xml:space="preserve">The achievement of the programme objectives is subject to external influences that are beyond the direct control of the programme management bodies and may impact negatively on the programme. </w:t>
      </w:r>
    </w:p>
    <w:p w:rsidR="009668F5" w:rsidRPr="009668F5" w:rsidRDefault="009668F5" w:rsidP="00A17136">
      <w:pPr>
        <w:spacing w:after="120" w:line="264" w:lineRule="auto"/>
        <w:jc w:val="both"/>
        <w:rPr>
          <w:sz w:val="22"/>
          <w:szCs w:val="22"/>
          <w:lang w:val="en-GB"/>
        </w:rPr>
      </w:pPr>
      <w:r w:rsidRPr="009668F5">
        <w:rPr>
          <w:sz w:val="22"/>
          <w:szCs w:val="22"/>
          <w:lang w:val="en-GB"/>
        </w:rPr>
        <w:t>Two main types of risks on programme achievement may be identified:</w:t>
      </w:r>
    </w:p>
    <w:p w:rsidR="009668F5" w:rsidRPr="009668F5" w:rsidRDefault="006F38B5" w:rsidP="0065700F">
      <w:pPr>
        <w:pStyle w:val="ListParagraph"/>
        <w:widowControl w:val="0"/>
        <w:numPr>
          <w:ilvl w:val="0"/>
          <w:numId w:val="16"/>
        </w:numPr>
        <w:autoSpaceDE w:val="0"/>
        <w:autoSpaceDN w:val="0"/>
        <w:adjustRightInd w:val="0"/>
        <w:spacing w:after="120" w:line="264" w:lineRule="auto"/>
        <w:contextualSpacing w:val="0"/>
        <w:jc w:val="both"/>
        <w:rPr>
          <w:sz w:val="22"/>
          <w:szCs w:val="22"/>
          <w:lang w:val="en-GB"/>
        </w:rPr>
      </w:pPr>
      <w:r>
        <w:rPr>
          <w:sz w:val="22"/>
          <w:szCs w:val="22"/>
          <w:lang w:val="en-GB"/>
        </w:rPr>
        <w:t>Contextual risks</w:t>
      </w:r>
      <w:r w:rsidR="009668F5" w:rsidRPr="009668F5">
        <w:rPr>
          <w:sz w:val="22"/>
          <w:szCs w:val="22"/>
          <w:lang w:val="en-GB"/>
        </w:rPr>
        <w:t xml:space="preserve"> that cover the range of potential adverse outcomes that may arise in the BSB context (e.g. regional conflicts…)</w:t>
      </w:r>
    </w:p>
    <w:p w:rsidR="009668F5" w:rsidRPr="009668F5" w:rsidRDefault="009668F5" w:rsidP="0065700F">
      <w:pPr>
        <w:pStyle w:val="ListParagraph"/>
        <w:widowControl w:val="0"/>
        <w:numPr>
          <w:ilvl w:val="0"/>
          <w:numId w:val="16"/>
        </w:numPr>
        <w:autoSpaceDE w:val="0"/>
        <w:autoSpaceDN w:val="0"/>
        <w:adjustRightInd w:val="0"/>
        <w:spacing w:after="120" w:line="264" w:lineRule="auto"/>
        <w:ind w:left="714" w:hanging="357"/>
        <w:contextualSpacing w:val="0"/>
        <w:jc w:val="both"/>
        <w:rPr>
          <w:sz w:val="22"/>
          <w:szCs w:val="22"/>
          <w:lang w:val="en-GB"/>
        </w:rPr>
      </w:pPr>
      <w:r w:rsidRPr="009668F5">
        <w:rPr>
          <w:sz w:val="22"/>
          <w:szCs w:val="22"/>
          <w:lang w:val="en-GB"/>
        </w:rPr>
        <w:t>Progr</w:t>
      </w:r>
      <w:r w:rsidR="006F38B5">
        <w:rPr>
          <w:sz w:val="22"/>
          <w:szCs w:val="22"/>
          <w:lang w:val="en-GB"/>
        </w:rPr>
        <w:t>ammatic and institutional risks</w:t>
      </w:r>
      <w:r w:rsidRPr="009668F5">
        <w:rPr>
          <w:sz w:val="22"/>
          <w:szCs w:val="22"/>
          <w:lang w:val="en-GB"/>
        </w:rPr>
        <w:t xml:space="preserve"> that include the potential for the programme to fail to achieve its objectives, the potential for the programme to cause harm in the external environment and ‘internal risks’ from the perspective of the EU/MA (e.g financial loss…)</w:t>
      </w:r>
    </w:p>
    <w:p w:rsidR="00B26463" w:rsidRPr="00B26463" w:rsidRDefault="009668F5" w:rsidP="00B26463">
      <w:pPr>
        <w:spacing w:after="120" w:line="264" w:lineRule="auto"/>
        <w:jc w:val="both"/>
        <w:rPr>
          <w:sz w:val="22"/>
          <w:szCs w:val="22"/>
          <w:lang w:val="en-GB"/>
        </w:rPr>
      </w:pPr>
      <w:r w:rsidRPr="009668F5">
        <w:rPr>
          <w:sz w:val="22"/>
          <w:szCs w:val="22"/>
          <w:lang w:val="en-GB"/>
        </w:rPr>
        <w:t>In case of contextual risks, the programme management bodies have limited control over t</w:t>
      </w:r>
      <w:r w:rsidR="000666E5">
        <w:rPr>
          <w:sz w:val="22"/>
          <w:szCs w:val="22"/>
          <w:lang w:val="en-GB"/>
        </w:rPr>
        <w:t xml:space="preserve">he risk but </w:t>
      </w:r>
      <w:r w:rsidR="00B26463" w:rsidRPr="00B26463">
        <w:rPr>
          <w:sz w:val="22"/>
          <w:szCs w:val="22"/>
          <w:lang w:val="en-GB"/>
        </w:rPr>
        <w:t>still need to assess the adverse effect on the programme, monito</w:t>
      </w:r>
      <w:r w:rsidR="000666E5">
        <w:rPr>
          <w:sz w:val="22"/>
          <w:szCs w:val="22"/>
          <w:lang w:val="en-GB"/>
        </w:rPr>
        <w:t xml:space="preserve">r the relevant situation and </w:t>
      </w:r>
      <w:r w:rsidR="00056243">
        <w:rPr>
          <w:sz w:val="22"/>
          <w:szCs w:val="22"/>
          <w:lang w:val="en-GB"/>
        </w:rPr>
        <w:t xml:space="preserve">have a </w:t>
      </w:r>
      <w:r w:rsidR="00B26463" w:rsidRPr="00B26463">
        <w:rPr>
          <w:sz w:val="22"/>
          <w:szCs w:val="22"/>
          <w:lang w:val="en-GB"/>
        </w:rPr>
        <w:t>management plan put in place</w:t>
      </w:r>
      <w:r w:rsidR="00056243">
        <w:rPr>
          <w:sz w:val="22"/>
          <w:szCs w:val="22"/>
          <w:lang w:val="en-GB"/>
        </w:rPr>
        <w:t xml:space="preserve"> as possible</w:t>
      </w:r>
      <w:r w:rsidR="00B26463" w:rsidRPr="00B26463">
        <w:rPr>
          <w:sz w:val="22"/>
          <w:szCs w:val="22"/>
          <w:lang w:val="en-GB"/>
        </w:rPr>
        <w:t xml:space="preserve">. In case of programmatic and institutional risks relevant mitigation measures and a management plan may be put in place.   </w:t>
      </w:r>
    </w:p>
    <w:p w:rsidR="009668F5" w:rsidRPr="009668F5" w:rsidRDefault="009668F5" w:rsidP="00A17136">
      <w:pPr>
        <w:spacing w:after="120" w:line="264" w:lineRule="auto"/>
        <w:jc w:val="both"/>
        <w:rPr>
          <w:sz w:val="22"/>
          <w:szCs w:val="22"/>
          <w:lang w:val="en-GB"/>
        </w:rPr>
      </w:pPr>
      <w:r w:rsidRPr="009668F5">
        <w:rPr>
          <w:sz w:val="22"/>
          <w:szCs w:val="22"/>
          <w:lang w:val="en-GB"/>
        </w:rPr>
        <w:t xml:space="preserve">The risk management matrix </w:t>
      </w:r>
      <w:r w:rsidR="00CF13EF">
        <w:rPr>
          <w:sz w:val="22"/>
          <w:szCs w:val="22"/>
          <w:lang w:val="en-GB"/>
        </w:rPr>
        <w:t xml:space="preserve">presented </w:t>
      </w:r>
      <w:r w:rsidRPr="009668F5">
        <w:rPr>
          <w:sz w:val="22"/>
          <w:szCs w:val="22"/>
          <w:lang w:val="en-GB"/>
        </w:rPr>
        <w:t xml:space="preserve">below highlights main identified risks and the programme plans to manage </w:t>
      </w:r>
      <w:r w:rsidR="000D0083">
        <w:rPr>
          <w:sz w:val="22"/>
          <w:szCs w:val="22"/>
          <w:lang w:val="en-GB"/>
        </w:rPr>
        <w:t>or mitigate these</w:t>
      </w:r>
      <w:r w:rsidRPr="009668F5">
        <w:rPr>
          <w:sz w:val="22"/>
          <w:szCs w:val="22"/>
          <w:lang w:val="en-GB"/>
        </w:rPr>
        <w:t>. R</w:t>
      </w:r>
      <w:r w:rsidR="000D0083">
        <w:rPr>
          <w:sz w:val="22"/>
          <w:szCs w:val="22"/>
          <w:lang w:val="en-GB"/>
        </w:rPr>
        <w:t xml:space="preserve">isks have been identified </w:t>
      </w:r>
      <w:r w:rsidRPr="009668F5">
        <w:rPr>
          <w:sz w:val="22"/>
          <w:szCs w:val="22"/>
          <w:lang w:val="en-GB"/>
        </w:rPr>
        <w:t>notably</w:t>
      </w:r>
      <w:r w:rsidR="000D0083">
        <w:rPr>
          <w:sz w:val="22"/>
          <w:szCs w:val="22"/>
          <w:lang w:val="en-GB"/>
        </w:rPr>
        <w:t xml:space="preserve"> based</w:t>
      </w:r>
      <w:r w:rsidRPr="009668F5">
        <w:rPr>
          <w:sz w:val="22"/>
          <w:szCs w:val="22"/>
          <w:lang w:val="en-GB"/>
        </w:rPr>
        <w:t xml:space="preserve"> on the </w:t>
      </w:r>
      <w:r w:rsidR="000D0083">
        <w:rPr>
          <w:sz w:val="22"/>
          <w:szCs w:val="22"/>
          <w:lang w:val="en-GB"/>
        </w:rPr>
        <w:t>SWOT analysis and lessons learned</w:t>
      </w:r>
      <w:r w:rsidRPr="009668F5">
        <w:rPr>
          <w:sz w:val="22"/>
          <w:szCs w:val="22"/>
          <w:lang w:val="en-GB"/>
        </w:rPr>
        <w:t xml:space="preserve"> from the previou</w:t>
      </w:r>
      <w:r w:rsidR="000D0083">
        <w:rPr>
          <w:sz w:val="22"/>
          <w:szCs w:val="22"/>
          <w:lang w:val="en-GB"/>
        </w:rPr>
        <w:t>s (ENPI CBC) programming period</w:t>
      </w:r>
      <w:r w:rsidRPr="009668F5">
        <w:rPr>
          <w:sz w:val="22"/>
          <w:szCs w:val="22"/>
          <w:lang w:val="en-GB"/>
        </w:rPr>
        <w:t xml:space="preserve"> and are also linked to the programme intervention logic summed up in the logical framework. </w:t>
      </w:r>
    </w:p>
    <w:p w:rsidR="009668F5" w:rsidRDefault="009668F5" w:rsidP="00F674D6">
      <w:pPr>
        <w:spacing w:after="120" w:line="264" w:lineRule="auto"/>
        <w:jc w:val="both"/>
        <w:rPr>
          <w:sz w:val="22"/>
          <w:szCs w:val="22"/>
          <w:lang w:val="en-GB"/>
        </w:rPr>
      </w:pPr>
      <w:r w:rsidRPr="009668F5">
        <w:rPr>
          <w:sz w:val="22"/>
          <w:szCs w:val="22"/>
          <w:lang w:val="en-GB"/>
        </w:rPr>
        <w:t>As risk levels may evolve and new risks may emerge during programme implementation, the external environment will be monitored so to take action to mana</w:t>
      </w:r>
      <w:r w:rsidR="000D0083">
        <w:rPr>
          <w:sz w:val="22"/>
          <w:szCs w:val="22"/>
          <w:lang w:val="en-GB"/>
        </w:rPr>
        <w:t>ge or mitigate these risks when necessary and to the extent</w:t>
      </w:r>
      <w:r w:rsidRPr="009668F5">
        <w:rPr>
          <w:sz w:val="22"/>
          <w:szCs w:val="22"/>
          <w:lang w:val="en-GB"/>
        </w:rPr>
        <w:t xml:space="preserve"> possible. The pro</w:t>
      </w:r>
      <w:r w:rsidR="00C51899">
        <w:rPr>
          <w:sz w:val="22"/>
          <w:szCs w:val="22"/>
          <w:lang w:val="en-GB"/>
        </w:rPr>
        <w:t xml:space="preserve">gramme risk management matrix </w:t>
      </w:r>
      <w:r w:rsidRPr="009668F5">
        <w:rPr>
          <w:sz w:val="22"/>
          <w:szCs w:val="22"/>
          <w:lang w:val="en-GB"/>
        </w:rPr>
        <w:t>will therefore be subject to regular review and updating by the MA during programme implementation.</w:t>
      </w:r>
    </w:p>
    <w:p w:rsidR="00D46FEE" w:rsidRDefault="00D46FEE" w:rsidP="00F674D6">
      <w:pPr>
        <w:spacing w:after="120" w:line="264" w:lineRule="auto"/>
        <w:jc w:val="both"/>
        <w:rPr>
          <w:sz w:val="22"/>
          <w:szCs w:val="22"/>
          <w:lang w:val="en-GB"/>
        </w:rPr>
      </w:pPr>
    </w:p>
    <w:p w:rsidR="00F674D6" w:rsidRPr="009326D9" w:rsidRDefault="00F674D6" w:rsidP="00F674D6">
      <w:pPr>
        <w:spacing w:after="120" w:line="264" w:lineRule="auto"/>
        <w:jc w:val="both"/>
        <w:rPr>
          <w:sz w:val="8"/>
          <w:szCs w:val="8"/>
          <w:lang w:val="en-GB"/>
        </w:rPr>
      </w:pPr>
    </w:p>
    <w:tbl>
      <w:tblPr>
        <w:tblW w:w="11023" w:type="dxa"/>
        <w:tblBorders>
          <w:top w:val="single" w:sz="8" w:space="0" w:color="4B5A60"/>
          <w:left w:val="single" w:sz="8" w:space="0" w:color="4B5A60"/>
          <w:bottom w:val="single" w:sz="8" w:space="0" w:color="4B5A60"/>
          <w:right w:val="single" w:sz="8" w:space="0" w:color="4B5A60"/>
          <w:insideH w:val="single" w:sz="8" w:space="0" w:color="4B5A60"/>
          <w:insideV w:val="single" w:sz="8" w:space="0" w:color="4B5A60"/>
        </w:tblBorders>
        <w:tblLayout w:type="fixed"/>
        <w:tblLook w:val="04A0"/>
      </w:tblPr>
      <w:tblGrid>
        <w:gridCol w:w="1968"/>
        <w:gridCol w:w="1826"/>
        <w:gridCol w:w="1276"/>
        <w:gridCol w:w="992"/>
        <w:gridCol w:w="3402"/>
        <w:gridCol w:w="1559"/>
      </w:tblGrid>
      <w:tr w:rsidR="002B1D54" w:rsidRPr="001368E0" w:rsidTr="001368E0">
        <w:trPr>
          <w:trHeight w:val="643"/>
        </w:trPr>
        <w:tc>
          <w:tcPr>
            <w:tcW w:w="1968" w:type="dxa"/>
            <w:tcBorders>
              <w:right w:val="single" w:sz="4" w:space="0" w:color="FFFFFF"/>
            </w:tcBorders>
            <w:shd w:val="clear" w:color="auto" w:fill="auto"/>
            <w:hideMark/>
          </w:tcPr>
          <w:p w:rsidR="002B1D54" w:rsidRPr="001368E0" w:rsidRDefault="002B1D54" w:rsidP="001368E0">
            <w:pPr>
              <w:spacing w:after="0" w:line="240" w:lineRule="auto"/>
              <w:rPr>
                <w:rFonts w:eastAsia="Times New Roman"/>
                <w:b/>
                <w:color w:val="000000"/>
                <w:sz w:val="20"/>
                <w:szCs w:val="20"/>
                <w:lang w:val="en-GB"/>
              </w:rPr>
            </w:pPr>
            <w:r w:rsidRPr="001368E0">
              <w:rPr>
                <w:rFonts w:eastAsia="Times New Roman"/>
                <w:b/>
                <w:color w:val="000000"/>
                <w:sz w:val="20"/>
                <w:szCs w:val="20"/>
                <w:lang w:val="en-GB"/>
              </w:rPr>
              <w:t>Risk</w:t>
            </w:r>
          </w:p>
          <w:p w:rsidR="002B1D54" w:rsidRPr="001368E0" w:rsidRDefault="002B1D54" w:rsidP="001368E0">
            <w:pPr>
              <w:spacing w:after="0" w:line="240" w:lineRule="auto"/>
              <w:rPr>
                <w:rFonts w:eastAsia="Times New Roman"/>
                <w:bCs/>
                <w:color w:val="000000"/>
                <w:sz w:val="20"/>
                <w:szCs w:val="20"/>
                <w:lang w:val="en-GB"/>
              </w:rPr>
            </w:pPr>
          </w:p>
        </w:tc>
        <w:tc>
          <w:tcPr>
            <w:tcW w:w="1826" w:type="dxa"/>
            <w:tcBorders>
              <w:left w:val="single" w:sz="4" w:space="0" w:color="FFFFFF"/>
            </w:tcBorders>
            <w:shd w:val="clear" w:color="auto" w:fill="auto"/>
          </w:tcPr>
          <w:p w:rsidR="002B1D54" w:rsidRPr="001368E0" w:rsidRDefault="002B1D54"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H: high</w:t>
            </w:r>
          </w:p>
          <w:p w:rsidR="002B1D54" w:rsidRPr="001368E0" w:rsidRDefault="002B1D54"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M: medium</w:t>
            </w:r>
          </w:p>
          <w:p w:rsidR="002B1D54" w:rsidRPr="001368E0" w:rsidRDefault="002B1D54" w:rsidP="001368E0">
            <w:pPr>
              <w:spacing w:after="0" w:line="240" w:lineRule="auto"/>
              <w:rPr>
                <w:rFonts w:eastAsia="Times New Roman"/>
                <w:b/>
                <w:color w:val="000000"/>
                <w:sz w:val="20"/>
                <w:szCs w:val="20"/>
                <w:lang w:val="en-GB"/>
              </w:rPr>
            </w:pPr>
            <w:r w:rsidRPr="001368E0">
              <w:rPr>
                <w:rFonts w:eastAsia="Times New Roman"/>
                <w:color w:val="000000"/>
                <w:sz w:val="20"/>
                <w:szCs w:val="20"/>
                <w:lang w:val="en-GB"/>
              </w:rPr>
              <w:t>L: low</w:t>
            </w:r>
          </w:p>
        </w:tc>
        <w:tc>
          <w:tcPr>
            <w:tcW w:w="1276" w:type="dxa"/>
            <w:shd w:val="clear" w:color="auto" w:fill="auto"/>
            <w:hideMark/>
          </w:tcPr>
          <w:p w:rsidR="002B1D54" w:rsidRPr="001368E0" w:rsidRDefault="002B1D54" w:rsidP="001368E0">
            <w:pPr>
              <w:spacing w:after="0" w:line="240" w:lineRule="auto"/>
              <w:rPr>
                <w:rFonts w:eastAsia="Times New Roman"/>
                <w:bCs/>
                <w:color w:val="000000"/>
                <w:sz w:val="20"/>
                <w:szCs w:val="20"/>
                <w:lang w:val="en-GB"/>
              </w:rPr>
            </w:pPr>
            <w:r w:rsidRPr="001368E0">
              <w:rPr>
                <w:rFonts w:eastAsia="Times New Roman"/>
                <w:b/>
                <w:color w:val="000000"/>
                <w:sz w:val="20"/>
                <w:szCs w:val="20"/>
                <w:lang w:val="en-GB"/>
              </w:rPr>
              <w:t xml:space="preserve">Likelihood </w:t>
            </w:r>
          </w:p>
          <w:p w:rsidR="002B1D54" w:rsidRPr="001368E0" w:rsidRDefault="002B1D54" w:rsidP="001368E0">
            <w:pPr>
              <w:spacing w:after="0" w:line="240" w:lineRule="auto"/>
              <w:rPr>
                <w:rFonts w:eastAsia="Times New Roman"/>
                <w:b/>
                <w:color w:val="000000"/>
                <w:sz w:val="20"/>
                <w:szCs w:val="20"/>
                <w:lang w:val="en-GB"/>
              </w:rPr>
            </w:pPr>
          </w:p>
        </w:tc>
        <w:tc>
          <w:tcPr>
            <w:tcW w:w="992" w:type="dxa"/>
            <w:shd w:val="clear" w:color="auto" w:fill="auto"/>
            <w:hideMark/>
          </w:tcPr>
          <w:p w:rsidR="002B1D54" w:rsidRPr="001368E0" w:rsidRDefault="002B1D54" w:rsidP="001368E0">
            <w:pPr>
              <w:spacing w:after="0" w:line="240" w:lineRule="auto"/>
              <w:rPr>
                <w:rFonts w:eastAsia="Times New Roman"/>
                <w:b/>
                <w:color w:val="000000"/>
                <w:sz w:val="20"/>
                <w:szCs w:val="20"/>
                <w:lang w:val="en-GB"/>
              </w:rPr>
            </w:pPr>
            <w:r w:rsidRPr="001368E0">
              <w:rPr>
                <w:rFonts w:eastAsia="Times New Roman"/>
                <w:b/>
                <w:color w:val="000000"/>
                <w:sz w:val="20"/>
                <w:szCs w:val="20"/>
                <w:lang w:val="en-GB"/>
              </w:rPr>
              <w:t>Impact on BSB progr.</w:t>
            </w:r>
          </w:p>
        </w:tc>
        <w:tc>
          <w:tcPr>
            <w:tcW w:w="3402" w:type="dxa"/>
            <w:shd w:val="clear" w:color="auto" w:fill="auto"/>
            <w:hideMark/>
          </w:tcPr>
          <w:p w:rsidR="002B1D54" w:rsidRPr="001368E0" w:rsidRDefault="002B1D54" w:rsidP="001368E0">
            <w:pPr>
              <w:spacing w:after="0" w:line="240" w:lineRule="auto"/>
              <w:rPr>
                <w:rFonts w:eastAsia="Times New Roman"/>
                <w:b/>
                <w:color w:val="000000"/>
                <w:sz w:val="20"/>
                <w:szCs w:val="20"/>
                <w:lang w:val="en-GB"/>
              </w:rPr>
            </w:pPr>
            <w:r w:rsidRPr="001368E0">
              <w:rPr>
                <w:rFonts w:eastAsia="Times New Roman"/>
                <w:b/>
                <w:color w:val="000000"/>
                <w:sz w:val="20"/>
                <w:szCs w:val="20"/>
                <w:lang w:val="en-GB"/>
              </w:rPr>
              <w:t>Management/mitigation measure if applicable</w:t>
            </w:r>
          </w:p>
        </w:tc>
        <w:tc>
          <w:tcPr>
            <w:tcW w:w="1559" w:type="dxa"/>
            <w:shd w:val="clear" w:color="auto" w:fill="auto"/>
            <w:hideMark/>
          </w:tcPr>
          <w:p w:rsidR="002B1D54" w:rsidRPr="001368E0" w:rsidRDefault="002B1D54" w:rsidP="001368E0">
            <w:pPr>
              <w:spacing w:after="0" w:line="240" w:lineRule="auto"/>
              <w:rPr>
                <w:rFonts w:eastAsia="Times New Roman"/>
                <w:b/>
                <w:color w:val="000000"/>
                <w:sz w:val="20"/>
                <w:szCs w:val="20"/>
                <w:lang w:val="en-GB"/>
              </w:rPr>
            </w:pPr>
            <w:r w:rsidRPr="001368E0">
              <w:rPr>
                <w:rFonts w:eastAsia="Times New Roman"/>
                <w:b/>
                <w:color w:val="000000"/>
                <w:sz w:val="20"/>
                <w:szCs w:val="20"/>
                <w:lang w:val="en-GB"/>
              </w:rPr>
              <w:t>Responsibility if applicable</w:t>
            </w:r>
            <w:r w:rsidRPr="001368E0">
              <w:rPr>
                <w:rStyle w:val="FootnoteReference"/>
                <w:rFonts w:eastAsia="Times New Roman"/>
                <w:b/>
                <w:color w:val="000000"/>
                <w:sz w:val="20"/>
                <w:szCs w:val="20"/>
                <w:lang w:val="en-GB"/>
              </w:rPr>
              <w:footnoteReference w:id="68"/>
            </w:r>
          </w:p>
          <w:p w:rsidR="002B1D54" w:rsidRPr="001368E0" w:rsidRDefault="002B1D54" w:rsidP="001368E0">
            <w:pPr>
              <w:spacing w:after="0" w:line="240" w:lineRule="auto"/>
              <w:rPr>
                <w:rFonts w:eastAsia="Times New Roman"/>
                <w:b/>
                <w:color w:val="000000"/>
                <w:sz w:val="20"/>
                <w:szCs w:val="20"/>
                <w:lang w:val="en-GB"/>
              </w:rPr>
            </w:pPr>
          </w:p>
        </w:tc>
      </w:tr>
      <w:tr w:rsidR="009668F5" w:rsidRPr="001368E0" w:rsidTr="001368E0">
        <w:trPr>
          <w:trHeight w:val="300"/>
        </w:trPr>
        <w:tc>
          <w:tcPr>
            <w:tcW w:w="11023" w:type="dxa"/>
            <w:gridSpan w:val="6"/>
            <w:shd w:val="clear" w:color="auto" w:fill="auto"/>
            <w:noWrap/>
            <w:hideMark/>
          </w:tcPr>
          <w:p w:rsidR="009668F5" w:rsidRPr="001368E0" w:rsidRDefault="009668F5" w:rsidP="001368E0">
            <w:pPr>
              <w:spacing w:after="0" w:line="240" w:lineRule="auto"/>
              <w:rPr>
                <w:rFonts w:eastAsia="Times New Roman"/>
                <w:b/>
                <w:bCs/>
                <w:color w:val="000000"/>
                <w:sz w:val="20"/>
                <w:szCs w:val="20"/>
                <w:lang w:val="en-GB"/>
              </w:rPr>
            </w:pPr>
            <w:r w:rsidRPr="001368E0">
              <w:rPr>
                <w:rFonts w:eastAsia="Times New Roman"/>
                <w:b/>
                <w:color w:val="000000"/>
                <w:sz w:val="20"/>
                <w:szCs w:val="20"/>
                <w:lang w:val="en-GB"/>
              </w:rPr>
              <w:t xml:space="preserve">Contextual Risks </w:t>
            </w:r>
          </w:p>
        </w:tc>
      </w:tr>
      <w:tr w:rsidR="00F674D6" w:rsidRPr="001368E0" w:rsidTr="001368E0">
        <w:trPr>
          <w:trHeight w:val="300"/>
        </w:trPr>
        <w:tc>
          <w:tcPr>
            <w:tcW w:w="3794" w:type="dxa"/>
            <w:gridSpan w:val="2"/>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 xml:space="preserve">Lack of political commitment </w:t>
            </w:r>
            <w:r w:rsidR="00107197" w:rsidRPr="001368E0">
              <w:rPr>
                <w:rFonts w:eastAsia="Times New Roman"/>
                <w:bCs/>
                <w:color w:val="000000"/>
                <w:sz w:val="20"/>
                <w:szCs w:val="20"/>
                <w:lang w:val="en-GB"/>
              </w:rPr>
              <w:t>by some eligible countries to participate in the BSB programme</w:t>
            </w:r>
          </w:p>
        </w:tc>
        <w:tc>
          <w:tcPr>
            <w:tcW w:w="1276" w:type="dxa"/>
            <w:shd w:val="clear" w:color="auto" w:fill="auto"/>
            <w:hideMark/>
          </w:tcPr>
          <w:p w:rsidR="009668F5" w:rsidRPr="001368E0" w:rsidRDefault="009668F5"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 H</w:t>
            </w:r>
          </w:p>
        </w:tc>
        <w:tc>
          <w:tcPr>
            <w:tcW w:w="992" w:type="dxa"/>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 M</w:t>
            </w:r>
          </w:p>
        </w:tc>
        <w:tc>
          <w:tcPr>
            <w:tcW w:w="3402" w:type="dxa"/>
            <w:shd w:val="clear" w:color="auto" w:fill="auto"/>
            <w:hideMark/>
          </w:tcPr>
          <w:p w:rsidR="009668F5" w:rsidRPr="001368E0" w:rsidRDefault="009668F5"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 xml:space="preserve">The programme is still presented for adoption by the EC and will </w:t>
            </w:r>
            <w:r w:rsidR="00921EE2" w:rsidRPr="001368E0">
              <w:rPr>
                <w:rFonts w:eastAsia="Times New Roman"/>
                <w:color w:val="000000"/>
                <w:sz w:val="20"/>
                <w:szCs w:val="20"/>
                <w:lang w:val="en-GB"/>
              </w:rPr>
              <w:t xml:space="preserve">only be implemented in those countries which have made the necessary formal commitment </w:t>
            </w:r>
            <w:r w:rsidRPr="001368E0">
              <w:rPr>
                <w:rStyle w:val="FootnoteReference"/>
                <w:rFonts w:eastAsia="Times New Roman"/>
                <w:color w:val="000000"/>
                <w:sz w:val="20"/>
                <w:szCs w:val="20"/>
                <w:lang w:val="en-GB"/>
              </w:rPr>
              <w:footnoteReference w:id="69"/>
            </w:r>
          </w:p>
        </w:tc>
        <w:tc>
          <w:tcPr>
            <w:tcW w:w="1559" w:type="dxa"/>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 MA, JPC, EC</w:t>
            </w:r>
          </w:p>
        </w:tc>
      </w:tr>
      <w:tr w:rsidR="009106AA" w:rsidRPr="001368E0" w:rsidTr="001368E0">
        <w:trPr>
          <w:trHeight w:val="300"/>
        </w:trPr>
        <w:tc>
          <w:tcPr>
            <w:tcW w:w="3794" w:type="dxa"/>
            <w:gridSpan w:val="2"/>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Cross-border cooperation is hampered by</w:t>
            </w:r>
            <w:r w:rsidR="003615EB" w:rsidRPr="001368E0">
              <w:rPr>
                <w:rFonts w:eastAsia="Times New Roman"/>
                <w:bCs/>
                <w:color w:val="000000"/>
                <w:sz w:val="20"/>
                <w:szCs w:val="20"/>
                <w:lang w:val="en-GB"/>
              </w:rPr>
              <w:t xml:space="preserve"> an</w:t>
            </w:r>
            <w:r w:rsidRPr="001368E0">
              <w:rPr>
                <w:rFonts w:eastAsia="Times New Roman"/>
                <w:bCs/>
                <w:color w:val="000000"/>
                <w:sz w:val="20"/>
                <w:szCs w:val="20"/>
                <w:lang w:val="en-GB"/>
              </w:rPr>
              <w:t xml:space="preserve"> unstable political situation in some regions and</w:t>
            </w:r>
            <w:r w:rsidR="003615EB" w:rsidRPr="001368E0">
              <w:rPr>
                <w:rFonts w:eastAsia="Times New Roman"/>
                <w:bCs/>
                <w:color w:val="000000"/>
                <w:sz w:val="20"/>
                <w:szCs w:val="20"/>
                <w:lang w:val="en-GB"/>
              </w:rPr>
              <w:t>/or</w:t>
            </w:r>
            <w:r w:rsidRPr="001368E0">
              <w:rPr>
                <w:rFonts w:eastAsia="Times New Roman"/>
                <w:bCs/>
                <w:color w:val="000000"/>
                <w:sz w:val="20"/>
                <w:szCs w:val="20"/>
                <w:lang w:val="en-GB"/>
              </w:rPr>
              <w:t xml:space="preserve"> by regional conflicts </w:t>
            </w:r>
          </w:p>
        </w:tc>
        <w:tc>
          <w:tcPr>
            <w:tcW w:w="1276" w:type="dxa"/>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H </w:t>
            </w:r>
          </w:p>
        </w:tc>
        <w:tc>
          <w:tcPr>
            <w:tcW w:w="992" w:type="dxa"/>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M </w:t>
            </w:r>
          </w:p>
        </w:tc>
        <w:tc>
          <w:tcPr>
            <w:tcW w:w="3402" w:type="dxa"/>
            <w:shd w:val="clear" w:color="auto" w:fill="auto"/>
            <w:hideMark/>
          </w:tcPr>
          <w:p w:rsidR="009668F5" w:rsidRPr="001368E0" w:rsidRDefault="009668F5"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 xml:space="preserve">Eligibility of some regions may be suspended, transfer of funds </w:t>
            </w:r>
            <w:r w:rsidR="008F75F7" w:rsidRPr="001368E0">
              <w:rPr>
                <w:rFonts w:eastAsia="Times New Roman"/>
                <w:color w:val="000000"/>
                <w:sz w:val="20"/>
                <w:szCs w:val="20"/>
                <w:lang w:val="en-GB"/>
              </w:rPr>
              <w:t xml:space="preserve">to some regions </w:t>
            </w:r>
            <w:r w:rsidRPr="001368E0">
              <w:rPr>
                <w:rFonts w:eastAsia="Times New Roman"/>
                <w:color w:val="000000"/>
                <w:sz w:val="20"/>
                <w:szCs w:val="20"/>
                <w:lang w:val="en-GB"/>
              </w:rPr>
              <w:t>may be suspended</w:t>
            </w:r>
          </w:p>
        </w:tc>
        <w:tc>
          <w:tcPr>
            <w:tcW w:w="1559" w:type="dxa"/>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 EC, MA, NA</w:t>
            </w:r>
          </w:p>
        </w:tc>
      </w:tr>
      <w:tr w:rsidR="00F674D6" w:rsidRPr="001368E0" w:rsidTr="001368E0">
        <w:trPr>
          <w:trHeight w:val="705"/>
        </w:trPr>
        <w:tc>
          <w:tcPr>
            <w:tcW w:w="3794" w:type="dxa"/>
            <w:gridSpan w:val="2"/>
            <w:shd w:val="clear" w:color="auto" w:fill="auto"/>
          </w:tcPr>
          <w:p w:rsidR="009668F5" w:rsidRPr="001368E0" w:rsidRDefault="00BF7AB2" w:rsidP="001368E0">
            <w:pPr>
              <w:spacing w:after="20" w:line="240" w:lineRule="auto"/>
              <w:rPr>
                <w:rFonts w:eastAsia="Times New Roman"/>
                <w:bCs/>
                <w:color w:val="000000"/>
                <w:sz w:val="20"/>
                <w:szCs w:val="20"/>
                <w:lang w:val="en-GB"/>
              </w:rPr>
            </w:pPr>
            <w:r w:rsidRPr="001368E0">
              <w:rPr>
                <w:rFonts w:eastAsia="Times New Roman"/>
                <w:bCs/>
                <w:color w:val="000000"/>
                <w:sz w:val="20"/>
                <w:szCs w:val="20"/>
                <w:lang w:val="en-GB"/>
              </w:rPr>
              <w:t>EU sluggish growth</w:t>
            </w:r>
            <w:r w:rsidR="009668F5" w:rsidRPr="001368E0">
              <w:rPr>
                <w:rFonts w:eastAsia="Times New Roman"/>
                <w:bCs/>
                <w:color w:val="000000"/>
                <w:sz w:val="20"/>
                <w:szCs w:val="20"/>
                <w:lang w:val="en-GB"/>
              </w:rPr>
              <w:t xml:space="preserve"> and continuing problems emanating from the debt crisis limit further economic recovery in BSB and development of business and entrepreneurship</w:t>
            </w:r>
          </w:p>
        </w:tc>
        <w:tc>
          <w:tcPr>
            <w:tcW w:w="1276" w:type="dxa"/>
            <w:shd w:val="clear" w:color="auto" w:fill="auto"/>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M</w:t>
            </w:r>
          </w:p>
        </w:tc>
        <w:tc>
          <w:tcPr>
            <w:tcW w:w="992" w:type="dxa"/>
            <w:shd w:val="clear" w:color="auto" w:fill="auto"/>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L</w:t>
            </w:r>
          </w:p>
        </w:tc>
        <w:tc>
          <w:tcPr>
            <w:tcW w:w="3402" w:type="dxa"/>
            <w:shd w:val="clear" w:color="auto" w:fill="auto"/>
          </w:tcPr>
          <w:p w:rsidR="009668F5" w:rsidRPr="001368E0" w:rsidRDefault="009668F5" w:rsidP="001368E0">
            <w:pPr>
              <w:spacing w:after="0" w:line="240" w:lineRule="auto"/>
              <w:rPr>
                <w:rFonts w:eastAsia="Times New Roman"/>
                <w:color w:val="000000"/>
                <w:sz w:val="20"/>
                <w:szCs w:val="20"/>
                <w:lang w:val="en-GB"/>
              </w:rPr>
            </w:pPr>
          </w:p>
        </w:tc>
        <w:tc>
          <w:tcPr>
            <w:tcW w:w="1559" w:type="dxa"/>
            <w:shd w:val="clear" w:color="auto" w:fill="auto"/>
          </w:tcPr>
          <w:p w:rsidR="009668F5" w:rsidRPr="001368E0" w:rsidRDefault="009668F5" w:rsidP="001368E0">
            <w:pPr>
              <w:spacing w:after="0" w:line="240" w:lineRule="auto"/>
              <w:rPr>
                <w:rFonts w:eastAsia="Times New Roman"/>
                <w:bCs/>
                <w:color w:val="000000"/>
                <w:sz w:val="20"/>
                <w:szCs w:val="20"/>
                <w:lang w:val="en-GB"/>
              </w:rPr>
            </w:pPr>
          </w:p>
        </w:tc>
      </w:tr>
      <w:tr w:rsidR="009668F5" w:rsidRPr="001368E0" w:rsidTr="001368E0">
        <w:trPr>
          <w:trHeight w:val="300"/>
        </w:trPr>
        <w:tc>
          <w:tcPr>
            <w:tcW w:w="11023" w:type="dxa"/>
            <w:gridSpan w:val="6"/>
            <w:shd w:val="clear" w:color="auto" w:fill="auto"/>
            <w:noWrap/>
            <w:hideMark/>
          </w:tcPr>
          <w:p w:rsidR="009668F5" w:rsidRPr="001368E0" w:rsidRDefault="009668F5" w:rsidP="001368E0">
            <w:pPr>
              <w:spacing w:after="0" w:line="240" w:lineRule="auto"/>
              <w:rPr>
                <w:rFonts w:eastAsia="Times New Roman"/>
                <w:b/>
                <w:color w:val="000000"/>
                <w:sz w:val="20"/>
                <w:szCs w:val="20"/>
                <w:lang w:val="en-GB"/>
              </w:rPr>
            </w:pPr>
            <w:r w:rsidRPr="001368E0">
              <w:rPr>
                <w:rFonts w:eastAsia="Times New Roman"/>
                <w:b/>
                <w:color w:val="000000"/>
                <w:sz w:val="20"/>
                <w:szCs w:val="20"/>
                <w:lang w:val="en-GB"/>
              </w:rPr>
              <w:t xml:space="preserve">Programmatic and Institutional Risks </w:t>
            </w:r>
          </w:p>
        </w:tc>
      </w:tr>
      <w:tr w:rsidR="00F674D6" w:rsidRPr="001368E0" w:rsidTr="001368E0">
        <w:trPr>
          <w:trHeight w:val="300"/>
        </w:trPr>
        <w:tc>
          <w:tcPr>
            <w:tcW w:w="3794" w:type="dxa"/>
            <w:gridSpan w:val="2"/>
            <w:shd w:val="clear" w:color="auto" w:fill="auto"/>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 xml:space="preserve">ENI CBC new management and implementation </w:t>
            </w:r>
            <w:r w:rsidR="00BF7AB2" w:rsidRPr="001368E0">
              <w:rPr>
                <w:rFonts w:eastAsia="Times New Roman"/>
                <w:bCs/>
                <w:color w:val="000000"/>
                <w:sz w:val="20"/>
                <w:szCs w:val="20"/>
                <w:lang w:val="en-GB"/>
              </w:rPr>
              <w:t>modalities result in delays in programme start-up and implementation</w:t>
            </w:r>
          </w:p>
        </w:tc>
        <w:tc>
          <w:tcPr>
            <w:tcW w:w="1276" w:type="dxa"/>
            <w:shd w:val="clear" w:color="auto" w:fill="auto"/>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H</w:t>
            </w:r>
          </w:p>
        </w:tc>
        <w:tc>
          <w:tcPr>
            <w:tcW w:w="992" w:type="dxa"/>
            <w:shd w:val="clear" w:color="auto" w:fill="auto"/>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M</w:t>
            </w:r>
          </w:p>
        </w:tc>
        <w:tc>
          <w:tcPr>
            <w:tcW w:w="3402" w:type="dxa"/>
            <w:shd w:val="clear" w:color="auto" w:fill="auto"/>
          </w:tcPr>
          <w:p w:rsidR="009668F5" w:rsidRPr="001368E0" w:rsidRDefault="009668F5"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 xml:space="preserve">Identify </w:t>
            </w:r>
            <w:r w:rsidR="00BF7AB2" w:rsidRPr="001368E0">
              <w:rPr>
                <w:rFonts w:eastAsia="Times New Roman"/>
                <w:color w:val="000000"/>
                <w:sz w:val="20"/>
                <w:szCs w:val="20"/>
                <w:lang w:val="en-GB"/>
              </w:rPr>
              <w:t>potential bottlenecks, then enhance capacity, ensure sufficient resources and/or support adaptation of procedures as needed to speed up programme implementation</w:t>
            </w:r>
          </w:p>
        </w:tc>
        <w:tc>
          <w:tcPr>
            <w:tcW w:w="1559" w:type="dxa"/>
            <w:shd w:val="clear" w:color="auto" w:fill="auto"/>
          </w:tcPr>
          <w:p w:rsidR="009668F5" w:rsidRPr="001368E0" w:rsidRDefault="000863DE" w:rsidP="001368E0">
            <w:pPr>
              <w:spacing w:after="0" w:line="240" w:lineRule="auto"/>
              <w:rPr>
                <w:rFonts w:eastAsia="Times New Roman"/>
                <w:bCs/>
                <w:color w:val="000000"/>
                <w:sz w:val="20"/>
                <w:szCs w:val="20"/>
              </w:rPr>
            </w:pPr>
            <w:r w:rsidRPr="001368E0">
              <w:rPr>
                <w:rFonts w:eastAsia="Times New Roman"/>
                <w:bCs/>
                <w:color w:val="000000"/>
                <w:sz w:val="20"/>
                <w:szCs w:val="20"/>
              </w:rPr>
              <w:t xml:space="preserve">AA, </w:t>
            </w:r>
            <w:r w:rsidR="00F9757C" w:rsidRPr="001368E0">
              <w:rPr>
                <w:rFonts w:eastAsia="Times New Roman"/>
                <w:bCs/>
                <w:color w:val="000000"/>
                <w:sz w:val="20"/>
                <w:szCs w:val="20"/>
              </w:rPr>
              <w:t xml:space="preserve">JMC, </w:t>
            </w:r>
            <w:r w:rsidR="009668F5" w:rsidRPr="001368E0">
              <w:rPr>
                <w:rFonts w:eastAsia="Times New Roman"/>
                <w:bCs/>
                <w:color w:val="000000"/>
                <w:sz w:val="20"/>
                <w:szCs w:val="20"/>
              </w:rPr>
              <w:t xml:space="preserve">MA, JTS, </w:t>
            </w:r>
            <w:r w:rsidR="00BF7AB2" w:rsidRPr="001368E0">
              <w:rPr>
                <w:rFonts w:eastAsia="Times New Roman"/>
                <w:bCs/>
                <w:color w:val="000000"/>
                <w:sz w:val="20"/>
                <w:szCs w:val="20"/>
              </w:rPr>
              <w:t xml:space="preserve">NA, </w:t>
            </w:r>
            <w:r w:rsidR="00C47793" w:rsidRPr="001368E0">
              <w:rPr>
                <w:rFonts w:eastAsia="Times New Roman"/>
                <w:bCs/>
                <w:color w:val="000000"/>
                <w:sz w:val="20"/>
                <w:szCs w:val="20"/>
              </w:rPr>
              <w:t>EC</w:t>
            </w:r>
          </w:p>
        </w:tc>
      </w:tr>
      <w:tr w:rsidR="009106AA" w:rsidRPr="001368E0" w:rsidTr="001368E0">
        <w:trPr>
          <w:trHeight w:val="300"/>
        </w:trPr>
        <w:tc>
          <w:tcPr>
            <w:tcW w:w="3794" w:type="dxa"/>
            <w:gridSpan w:val="2"/>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Decreasing interest</w:t>
            </w:r>
            <w:r w:rsidR="00265A86" w:rsidRPr="001368E0">
              <w:rPr>
                <w:rFonts w:eastAsia="Times New Roman"/>
                <w:bCs/>
                <w:color w:val="000000"/>
                <w:sz w:val="20"/>
                <w:szCs w:val="20"/>
                <w:lang w:val="en-GB"/>
              </w:rPr>
              <w:t xml:space="preserve"> from applicants in ENI CBC </w:t>
            </w:r>
            <w:r w:rsidRPr="001368E0">
              <w:rPr>
                <w:rFonts w:eastAsia="Times New Roman"/>
                <w:bCs/>
                <w:color w:val="000000"/>
                <w:sz w:val="20"/>
                <w:szCs w:val="20"/>
                <w:lang w:val="en-GB"/>
              </w:rPr>
              <w:t>because of lengthy procedures for selection/contracting and grant payment</w:t>
            </w:r>
          </w:p>
        </w:tc>
        <w:tc>
          <w:tcPr>
            <w:tcW w:w="1276" w:type="dxa"/>
            <w:shd w:val="clear" w:color="auto" w:fill="auto"/>
            <w:hideMark/>
          </w:tcPr>
          <w:p w:rsidR="009668F5" w:rsidRPr="001368E0" w:rsidRDefault="00265A86"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 L</w:t>
            </w:r>
          </w:p>
        </w:tc>
        <w:tc>
          <w:tcPr>
            <w:tcW w:w="992" w:type="dxa"/>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L  </w:t>
            </w:r>
          </w:p>
        </w:tc>
        <w:tc>
          <w:tcPr>
            <w:tcW w:w="3402" w:type="dxa"/>
            <w:shd w:val="clear" w:color="auto" w:fill="auto"/>
            <w:hideMark/>
          </w:tcPr>
          <w:p w:rsidR="009668F5" w:rsidRPr="001368E0" w:rsidRDefault="00914D6C"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More efficient</w:t>
            </w:r>
            <w:r w:rsidR="009668F5" w:rsidRPr="001368E0">
              <w:rPr>
                <w:rFonts w:eastAsia="Times New Roman"/>
                <w:color w:val="000000"/>
                <w:sz w:val="20"/>
                <w:szCs w:val="20"/>
                <w:lang w:val="en-GB"/>
              </w:rPr>
              <w:t xml:space="preserve"> and timely procedures are put in place </w:t>
            </w:r>
          </w:p>
        </w:tc>
        <w:tc>
          <w:tcPr>
            <w:tcW w:w="1559" w:type="dxa"/>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MA, JTS, JMC</w:t>
            </w:r>
          </w:p>
        </w:tc>
      </w:tr>
      <w:tr w:rsidR="00F674D6" w:rsidRPr="001368E0" w:rsidTr="001368E0">
        <w:trPr>
          <w:trHeight w:val="300"/>
        </w:trPr>
        <w:tc>
          <w:tcPr>
            <w:tcW w:w="3794" w:type="dxa"/>
            <w:gridSpan w:val="2"/>
            <w:shd w:val="clear" w:color="auto" w:fill="auto"/>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Difficulties in finding partners limits countries balanced participation in the programme</w:t>
            </w:r>
          </w:p>
        </w:tc>
        <w:tc>
          <w:tcPr>
            <w:tcW w:w="1276" w:type="dxa"/>
            <w:shd w:val="clear" w:color="auto" w:fill="auto"/>
          </w:tcPr>
          <w:p w:rsidR="009668F5" w:rsidRPr="001368E0" w:rsidRDefault="009668F5"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M</w:t>
            </w:r>
          </w:p>
        </w:tc>
        <w:tc>
          <w:tcPr>
            <w:tcW w:w="992" w:type="dxa"/>
            <w:shd w:val="clear" w:color="auto" w:fill="auto"/>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L</w:t>
            </w:r>
          </w:p>
        </w:tc>
        <w:tc>
          <w:tcPr>
            <w:tcW w:w="3402" w:type="dxa"/>
            <w:shd w:val="clear" w:color="auto" w:fill="auto"/>
          </w:tcPr>
          <w:p w:rsidR="009668F5" w:rsidRPr="001368E0" w:rsidRDefault="009668F5"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 xml:space="preserve">Provide improved partner search tools and opportunities </w:t>
            </w:r>
          </w:p>
        </w:tc>
        <w:tc>
          <w:tcPr>
            <w:tcW w:w="1559" w:type="dxa"/>
            <w:shd w:val="clear" w:color="auto" w:fill="auto"/>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MA, JTS, NA</w:t>
            </w:r>
          </w:p>
        </w:tc>
      </w:tr>
      <w:tr w:rsidR="009106AA" w:rsidRPr="001368E0" w:rsidTr="001368E0">
        <w:trPr>
          <w:trHeight w:val="300"/>
        </w:trPr>
        <w:tc>
          <w:tcPr>
            <w:tcW w:w="3794" w:type="dxa"/>
            <w:gridSpan w:val="2"/>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Limited capacity</w:t>
            </w:r>
            <w:r w:rsidR="00240774" w:rsidRPr="001368E0">
              <w:rPr>
                <w:rFonts w:eastAsia="Times New Roman"/>
                <w:bCs/>
                <w:color w:val="000000"/>
                <w:sz w:val="20"/>
                <w:szCs w:val="20"/>
                <w:lang w:val="en-GB"/>
              </w:rPr>
              <w:t xml:space="preserve"> (including financial)</w:t>
            </w:r>
            <w:r w:rsidRPr="001368E0">
              <w:rPr>
                <w:rFonts w:eastAsia="Times New Roman"/>
                <w:bCs/>
                <w:color w:val="000000"/>
                <w:sz w:val="20"/>
                <w:szCs w:val="20"/>
                <w:lang w:val="en-GB"/>
              </w:rPr>
              <w:t xml:space="preserve"> of project partners hampers project implementation</w:t>
            </w:r>
          </w:p>
        </w:tc>
        <w:tc>
          <w:tcPr>
            <w:tcW w:w="1276" w:type="dxa"/>
            <w:shd w:val="clear" w:color="auto" w:fill="auto"/>
            <w:hideMark/>
          </w:tcPr>
          <w:p w:rsidR="009668F5" w:rsidRPr="001368E0" w:rsidRDefault="009668F5"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 M</w:t>
            </w:r>
          </w:p>
        </w:tc>
        <w:tc>
          <w:tcPr>
            <w:tcW w:w="992" w:type="dxa"/>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L</w:t>
            </w:r>
          </w:p>
        </w:tc>
        <w:tc>
          <w:tcPr>
            <w:tcW w:w="3402" w:type="dxa"/>
            <w:shd w:val="clear" w:color="auto" w:fill="auto"/>
            <w:hideMark/>
          </w:tcPr>
          <w:p w:rsidR="009668F5" w:rsidRPr="001368E0" w:rsidRDefault="00240774"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C</w:t>
            </w:r>
            <w:r w:rsidR="00630A48" w:rsidRPr="001368E0">
              <w:rPr>
                <w:rFonts w:eastAsia="Times New Roman"/>
                <w:color w:val="000000"/>
                <w:sz w:val="20"/>
                <w:szCs w:val="20"/>
                <w:lang w:val="en-GB"/>
              </w:rPr>
              <w:t>ommunication</w:t>
            </w:r>
            <w:r w:rsidRPr="001368E0">
              <w:rPr>
                <w:rFonts w:eastAsia="Times New Roman"/>
                <w:color w:val="000000"/>
                <w:sz w:val="20"/>
                <w:szCs w:val="20"/>
                <w:lang w:val="en-GB"/>
              </w:rPr>
              <w:t xml:space="preserve"> is</w:t>
            </w:r>
            <w:r w:rsidR="00630A48" w:rsidRPr="001368E0">
              <w:rPr>
                <w:rFonts w:eastAsia="Times New Roman"/>
                <w:color w:val="000000"/>
                <w:sz w:val="20"/>
                <w:szCs w:val="20"/>
                <w:lang w:val="en-GB"/>
              </w:rPr>
              <w:t xml:space="preserve"> strengthen</w:t>
            </w:r>
            <w:r w:rsidRPr="001368E0">
              <w:rPr>
                <w:rFonts w:eastAsia="Times New Roman"/>
                <w:color w:val="000000"/>
                <w:sz w:val="20"/>
                <w:szCs w:val="20"/>
                <w:lang w:val="en-GB"/>
              </w:rPr>
              <w:t>ed</w:t>
            </w:r>
            <w:r w:rsidR="00E50D43" w:rsidRPr="001368E0">
              <w:rPr>
                <w:rFonts w:eastAsia="Times New Roman"/>
                <w:color w:val="000000"/>
                <w:sz w:val="20"/>
                <w:szCs w:val="20"/>
                <w:lang w:val="en-GB"/>
              </w:rPr>
              <w:t xml:space="preserve"> and additional t</w:t>
            </w:r>
            <w:r w:rsidR="009668F5" w:rsidRPr="001368E0">
              <w:rPr>
                <w:rFonts w:eastAsia="Times New Roman"/>
                <w:color w:val="000000"/>
                <w:sz w:val="20"/>
                <w:szCs w:val="20"/>
                <w:lang w:val="en-GB"/>
              </w:rPr>
              <w:t>rainings are provided to enhance project management capacity of partners</w:t>
            </w:r>
            <w:r w:rsidRPr="001368E0">
              <w:rPr>
                <w:rFonts w:eastAsia="Times New Roman"/>
                <w:color w:val="000000"/>
                <w:sz w:val="20"/>
                <w:szCs w:val="20"/>
                <w:lang w:val="en-GB"/>
              </w:rPr>
              <w:t xml:space="preserve">, </w:t>
            </w:r>
            <w:r w:rsidR="00027113" w:rsidRPr="001368E0">
              <w:rPr>
                <w:rFonts w:eastAsia="Times New Roman"/>
                <w:color w:val="000000"/>
                <w:sz w:val="20"/>
                <w:szCs w:val="20"/>
                <w:lang w:val="en-GB"/>
              </w:rPr>
              <w:t xml:space="preserve">project </w:t>
            </w:r>
            <w:r w:rsidRPr="001368E0">
              <w:rPr>
                <w:rFonts w:eastAsia="Times New Roman"/>
                <w:color w:val="000000"/>
                <w:sz w:val="20"/>
                <w:szCs w:val="20"/>
                <w:lang w:val="en-GB"/>
              </w:rPr>
              <w:t xml:space="preserve">co-financing </w:t>
            </w:r>
            <w:r w:rsidR="0035573F" w:rsidRPr="001368E0">
              <w:rPr>
                <w:rFonts w:eastAsia="Times New Roman"/>
                <w:color w:val="000000"/>
                <w:sz w:val="20"/>
                <w:szCs w:val="20"/>
                <w:lang w:val="en-GB"/>
              </w:rPr>
              <w:t xml:space="preserve">and adequate pre-financing </w:t>
            </w:r>
            <w:r w:rsidR="00027113" w:rsidRPr="001368E0">
              <w:rPr>
                <w:rFonts w:eastAsia="Times New Roman"/>
                <w:color w:val="000000"/>
                <w:sz w:val="20"/>
                <w:szCs w:val="20"/>
                <w:lang w:val="en-GB"/>
              </w:rPr>
              <w:t>issue</w:t>
            </w:r>
            <w:r w:rsidR="0035573F" w:rsidRPr="001368E0">
              <w:rPr>
                <w:rFonts w:eastAsia="Times New Roman"/>
                <w:color w:val="000000"/>
                <w:sz w:val="20"/>
                <w:szCs w:val="20"/>
                <w:lang w:val="en-GB"/>
              </w:rPr>
              <w:t>s are</w:t>
            </w:r>
            <w:r w:rsidR="00027113" w:rsidRPr="001368E0">
              <w:rPr>
                <w:rFonts w:eastAsia="Times New Roman"/>
                <w:color w:val="000000"/>
                <w:sz w:val="20"/>
                <w:szCs w:val="20"/>
                <w:lang w:val="en-GB"/>
              </w:rPr>
              <w:t xml:space="preserve"> </w:t>
            </w:r>
            <w:r w:rsidR="00D0786C" w:rsidRPr="001368E0">
              <w:rPr>
                <w:rFonts w:eastAsia="Times New Roman"/>
                <w:color w:val="000000"/>
                <w:sz w:val="20"/>
                <w:szCs w:val="20"/>
                <w:lang w:val="en-GB"/>
              </w:rPr>
              <w:t>addressed if</w:t>
            </w:r>
            <w:r w:rsidR="00027113" w:rsidRPr="001368E0">
              <w:rPr>
                <w:rFonts w:eastAsia="Times New Roman"/>
                <w:color w:val="000000"/>
                <w:sz w:val="20"/>
                <w:szCs w:val="20"/>
                <w:lang w:val="en-GB"/>
              </w:rPr>
              <w:t xml:space="preserve"> necessary</w:t>
            </w:r>
            <w:r w:rsidR="009668F5" w:rsidRPr="001368E0">
              <w:rPr>
                <w:rFonts w:eastAsia="Times New Roman"/>
                <w:color w:val="000000"/>
                <w:sz w:val="20"/>
                <w:szCs w:val="20"/>
                <w:lang w:val="en-GB"/>
              </w:rPr>
              <w:t xml:space="preserve"> </w:t>
            </w:r>
          </w:p>
        </w:tc>
        <w:tc>
          <w:tcPr>
            <w:tcW w:w="1559" w:type="dxa"/>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MA, JTS</w:t>
            </w:r>
            <w:r w:rsidR="00E50D43" w:rsidRPr="001368E0">
              <w:rPr>
                <w:rFonts w:eastAsia="Times New Roman"/>
                <w:bCs/>
                <w:color w:val="000000"/>
                <w:sz w:val="20"/>
                <w:szCs w:val="20"/>
                <w:lang w:val="en-GB"/>
              </w:rPr>
              <w:t>, NA</w:t>
            </w:r>
            <w:r w:rsidR="00027113" w:rsidRPr="001368E0">
              <w:rPr>
                <w:rFonts w:eastAsia="Times New Roman"/>
                <w:bCs/>
                <w:color w:val="000000"/>
                <w:sz w:val="20"/>
                <w:szCs w:val="20"/>
                <w:lang w:val="en-GB"/>
              </w:rPr>
              <w:t>, JMC</w:t>
            </w:r>
          </w:p>
        </w:tc>
      </w:tr>
      <w:tr w:rsidR="00117B32" w:rsidRPr="001368E0" w:rsidTr="001368E0">
        <w:trPr>
          <w:trHeight w:val="300"/>
        </w:trPr>
        <w:tc>
          <w:tcPr>
            <w:tcW w:w="3794" w:type="dxa"/>
            <w:gridSpan w:val="2"/>
            <w:shd w:val="clear" w:color="auto" w:fill="auto"/>
          </w:tcPr>
          <w:p w:rsidR="00117B32" w:rsidRPr="001368E0" w:rsidRDefault="00F467BB"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 xml:space="preserve">Projects </w:t>
            </w:r>
            <w:r w:rsidR="00D94AE5" w:rsidRPr="001368E0">
              <w:rPr>
                <w:rFonts w:eastAsia="Times New Roman"/>
                <w:bCs/>
                <w:color w:val="000000"/>
                <w:sz w:val="20"/>
                <w:szCs w:val="20"/>
                <w:lang w:val="en-GB"/>
              </w:rPr>
              <w:t xml:space="preserve">partners </w:t>
            </w:r>
            <w:r w:rsidR="00557A36" w:rsidRPr="001368E0">
              <w:rPr>
                <w:rFonts w:eastAsia="Times New Roman"/>
                <w:bCs/>
                <w:color w:val="000000"/>
                <w:sz w:val="20"/>
                <w:szCs w:val="20"/>
                <w:lang w:val="en-GB"/>
              </w:rPr>
              <w:t xml:space="preserve">face implementation difficulties because of </w:t>
            </w:r>
            <w:r w:rsidR="00313828" w:rsidRPr="001368E0">
              <w:rPr>
                <w:rFonts w:eastAsia="Times New Roman"/>
                <w:bCs/>
                <w:color w:val="000000"/>
                <w:sz w:val="20"/>
                <w:szCs w:val="20"/>
                <w:lang w:val="en-GB"/>
              </w:rPr>
              <w:t>s</w:t>
            </w:r>
            <w:r w:rsidR="00117B32" w:rsidRPr="001368E0">
              <w:rPr>
                <w:rFonts w:eastAsia="Times New Roman"/>
                <w:bCs/>
                <w:color w:val="000000"/>
                <w:sz w:val="20"/>
                <w:szCs w:val="20"/>
                <w:lang w:val="en-GB"/>
              </w:rPr>
              <w:t>low</w:t>
            </w:r>
            <w:r w:rsidR="00A743E8" w:rsidRPr="001368E0">
              <w:rPr>
                <w:rFonts w:eastAsia="Times New Roman"/>
                <w:bCs/>
                <w:color w:val="000000"/>
                <w:sz w:val="20"/>
                <w:szCs w:val="20"/>
                <w:lang w:val="en-GB"/>
              </w:rPr>
              <w:t xml:space="preserve"> </w:t>
            </w:r>
            <w:r w:rsidR="001E482B" w:rsidRPr="001368E0">
              <w:rPr>
                <w:rFonts w:eastAsia="Times New Roman"/>
                <w:bCs/>
                <w:color w:val="000000"/>
                <w:sz w:val="20"/>
                <w:szCs w:val="20"/>
                <w:lang w:val="en-GB"/>
              </w:rPr>
              <w:t>grant</w:t>
            </w:r>
            <w:r w:rsidR="00117B32" w:rsidRPr="001368E0">
              <w:rPr>
                <w:rFonts w:eastAsia="Times New Roman"/>
                <w:bCs/>
                <w:color w:val="000000"/>
                <w:sz w:val="20"/>
                <w:szCs w:val="20"/>
                <w:lang w:val="en-GB"/>
              </w:rPr>
              <w:t xml:space="preserve"> payment procedures </w:t>
            </w:r>
          </w:p>
        </w:tc>
        <w:tc>
          <w:tcPr>
            <w:tcW w:w="1276" w:type="dxa"/>
            <w:shd w:val="clear" w:color="auto" w:fill="auto"/>
          </w:tcPr>
          <w:p w:rsidR="00117B32" w:rsidRPr="001368E0" w:rsidRDefault="00117B32" w:rsidP="001368E0">
            <w:pPr>
              <w:spacing w:after="0" w:line="240" w:lineRule="auto"/>
              <w:rPr>
                <w:rFonts w:eastAsia="Times New Roman"/>
                <w:bCs/>
                <w:color w:val="000000"/>
                <w:sz w:val="20"/>
                <w:szCs w:val="20"/>
                <w:lang w:val="en-GB"/>
              </w:rPr>
            </w:pPr>
            <w:r w:rsidRPr="001368E0">
              <w:rPr>
                <w:rFonts w:eastAsia="Times New Roman"/>
                <w:color w:val="000000"/>
                <w:sz w:val="20"/>
                <w:szCs w:val="20"/>
                <w:lang w:val="en-GB"/>
              </w:rPr>
              <w:t>M</w:t>
            </w:r>
          </w:p>
        </w:tc>
        <w:tc>
          <w:tcPr>
            <w:tcW w:w="992" w:type="dxa"/>
            <w:shd w:val="clear" w:color="auto" w:fill="auto"/>
          </w:tcPr>
          <w:p w:rsidR="00117B32" w:rsidRPr="001368E0" w:rsidRDefault="003D353A"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M</w:t>
            </w:r>
          </w:p>
        </w:tc>
        <w:tc>
          <w:tcPr>
            <w:tcW w:w="3402" w:type="dxa"/>
            <w:shd w:val="clear" w:color="auto" w:fill="auto"/>
          </w:tcPr>
          <w:p w:rsidR="00117B32" w:rsidRPr="001368E0" w:rsidRDefault="00117B32"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 xml:space="preserve">Procedures are revised and improved </w:t>
            </w:r>
          </w:p>
        </w:tc>
        <w:tc>
          <w:tcPr>
            <w:tcW w:w="1559" w:type="dxa"/>
            <w:shd w:val="clear" w:color="auto" w:fill="auto"/>
          </w:tcPr>
          <w:p w:rsidR="00117B32" w:rsidRPr="001368E0" w:rsidRDefault="00117B32"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MA, JTS, NA, CCP</w:t>
            </w:r>
          </w:p>
        </w:tc>
      </w:tr>
      <w:tr w:rsidR="00F674D6" w:rsidRPr="001368E0" w:rsidTr="001368E0">
        <w:trPr>
          <w:trHeight w:val="300"/>
        </w:trPr>
        <w:tc>
          <w:tcPr>
            <w:tcW w:w="3794" w:type="dxa"/>
            <w:gridSpan w:val="2"/>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Financial losses at programme level resulting from</w:t>
            </w:r>
            <w:r w:rsidR="00A8698E" w:rsidRPr="001368E0">
              <w:rPr>
                <w:rFonts w:eastAsia="Times New Roman"/>
                <w:bCs/>
                <w:color w:val="000000"/>
                <w:sz w:val="20"/>
                <w:szCs w:val="20"/>
                <w:lang w:val="en-GB"/>
              </w:rPr>
              <w:t xml:space="preserve"> fraud or</w:t>
            </w:r>
            <w:r w:rsidRPr="001368E0">
              <w:rPr>
                <w:rFonts w:eastAsia="Times New Roman"/>
                <w:bCs/>
                <w:color w:val="000000"/>
                <w:sz w:val="20"/>
                <w:szCs w:val="20"/>
                <w:lang w:val="en-GB"/>
              </w:rPr>
              <w:t xml:space="preserve"> financial mismanagement</w:t>
            </w:r>
          </w:p>
        </w:tc>
        <w:tc>
          <w:tcPr>
            <w:tcW w:w="1276" w:type="dxa"/>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 M</w:t>
            </w:r>
          </w:p>
        </w:tc>
        <w:tc>
          <w:tcPr>
            <w:tcW w:w="992" w:type="dxa"/>
            <w:shd w:val="clear" w:color="auto" w:fill="auto"/>
            <w:hideMark/>
          </w:tcPr>
          <w:p w:rsidR="009668F5" w:rsidRPr="001368E0" w:rsidRDefault="009668F5" w:rsidP="001368E0">
            <w:pPr>
              <w:spacing w:after="0" w:line="240" w:lineRule="auto"/>
              <w:rPr>
                <w:rFonts w:eastAsia="Times New Roman"/>
                <w:bCs/>
                <w:color w:val="000000"/>
                <w:sz w:val="20"/>
                <w:szCs w:val="20"/>
                <w:lang w:val="en-GB"/>
              </w:rPr>
            </w:pPr>
            <w:r w:rsidRPr="001368E0">
              <w:rPr>
                <w:rFonts w:eastAsia="Times New Roman"/>
                <w:bCs/>
                <w:color w:val="000000"/>
                <w:sz w:val="20"/>
                <w:szCs w:val="20"/>
                <w:lang w:val="en-GB"/>
              </w:rPr>
              <w:t>L </w:t>
            </w:r>
          </w:p>
        </w:tc>
        <w:tc>
          <w:tcPr>
            <w:tcW w:w="3402" w:type="dxa"/>
            <w:shd w:val="clear" w:color="auto" w:fill="auto"/>
            <w:hideMark/>
          </w:tcPr>
          <w:p w:rsidR="009668F5" w:rsidRPr="001368E0" w:rsidRDefault="00BC7599" w:rsidP="001368E0">
            <w:pPr>
              <w:spacing w:after="0" w:line="240" w:lineRule="auto"/>
              <w:rPr>
                <w:rFonts w:eastAsia="Times New Roman"/>
                <w:color w:val="000000"/>
                <w:sz w:val="20"/>
                <w:szCs w:val="20"/>
                <w:lang w:val="en-GB"/>
              </w:rPr>
            </w:pPr>
            <w:r w:rsidRPr="001368E0">
              <w:rPr>
                <w:rFonts w:eastAsia="Times New Roman"/>
                <w:color w:val="000000"/>
                <w:sz w:val="20"/>
                <w:szCs w:val="20"/>
                <w:lang w:val="en-GB"/>
              </w:rPr>
              <w:t>Monitor an</w:t>
            </w:r>
            <w:r w:rsidR="00265A86" w:rsidRPr="001368E0">
              <w:rPr>
                <w:rFonts w:eastAsia="Times New Roman"/>
                <w:color w:val="000000"/>
                <w:sz w:val="20"/>
                <w:szCs w:val="20"/>
                <w:lang w:val="en-GB"/>
              </w:rPr>
              <w:t>d ensure that anti</w:t>
            </w:r>
            <w:r w:rsidRPr="001368E0">
              <w:rPr>
                <w:rFonts w:eastAsia="Times New Roman"/>
                <w:color w:val="000000"/>
                <w:sz w:val="20"/>
                <w:szCs w:val="20"/>
                <w:lang w:val="en-GB"/>
              </w:rPr>
              <w:t>-fraud mechanisms put in plac</w:t>
            </w:r>
            <w:r w:rsidR="00281922" w:rsidRPr="001368E0">
              <w:rPr>
                <w:rFonts w:eastAsia="Times New Roman"/>
                <w:color w:val="000000"/>
                <w:sz w:val="20"/>
                <w:szCs w:val="20"/>
                <w:lang w:val="en-GB"/>
              </w:rPr>
              <w:t>e</w:t>
            </w:r>
            <w:r w:rsidRPr="001368E0">
              <w:rPr>
                <w:rFonts w:eastAsia="Times New Roman"/>
                <w:color w:val="000000"/>
                <w:sz w:val="20"/>
                <w:szCs w:val="20"/>
                <w:lang w:val="en-GB"/>
              </w:rPr>
              <w:t xml:space="preserve"> and programme audit and control measures function effectively</w:t>
            </w:r>
            <w:r w:rsidR="00E50D43" w:rsidRPr="001368E0">
              <w:rPr>
                <w:rFonts w:eastAsia="Times New Roman"/>
                <w:color w:val="000000"/>
                <w:sz w:val="20"/>
                <w:szCs w:val="20"/>
                <w:lang w:val="en-GB"/>
              </w:rPr>
              <w:t>, improve them as necessary</w:t>
            </w:r>
            <w:r w:rsidRPr="001368E0">
              <w:rPr>
                <w:rFonts w:eastAsia="Times New Roman"/>
                <w:color w:val="000000"/>
                <w:sz w:val="20"/>
                <w:szCs w:val="20"/>
                <w:lang w:val="en-GB"/>
              </w:rPr>
              <w:t xml:space="preserve"> </w:t>
            </w:r>
          </w:p>
        </w:tc>
        <w:tc>
          <w:tcPr>
            <w:tcW w:w="1559" w:type="dxa"/>
            <w:shd w:val="clear" w:color="auto" w:fill="auto"/>
            <w:hideMark/>
          </w:tcPr>
          <w:p w:rsidR="009668F5" w:rsidRPr="001368E0" w:rsidRDefault="009668F5" w:rsidP="001368E0">
            <w:pPr>
              <w:spacing w:after="0" w:line="240" w:lineRule="auto"/>
              <w:rPr>
                <w:rFonts w:eastAsia="Times New Roman"/>
                <w:bCs/>
                <w:color w:val="000000"/>
                <w:sz w:val="20"/>
                <w:szCs w:val="20"/>
              </w:rPr>
            </w:pPr>
            <w:r w:rsidRPr="001368E0">
              <w:rPr>
                <w:rFonts w:eastAsia="Times New Roman"/>
                <w:bCs/>
                <w:color w:val="000000"/>
                <w:sz w:val="20"/>
                <w:szCs w:val="20"/>
              </w:rPr>
              <w:t xml:space="preserve">MA, </w:t>
            </w:r>
            <w:r w:rsidR="00914D6C" w:rsidRPr="001368E0">
              <w:rPr>
                <w:rFonts w:eastAsia="Times New Roman"/>
                <w:bCs/>
                <w:color w:val="000000"/>
                <w:sz w:val="20"/>
                <w:szCs w:val="20"/>
              </w:rPr>
              <w:t xml:space="preserve">AA, </w:t>
            </w:r>
            <w:r w:rsidRPr="001368E0">
              <w:rPr>
                <w:rFonts w:eastAsia="Times New Roman"/>
                <w:bCs/>
                <w:color w:val="000000"/>
                <w:sz w:val="20"/>
                <w:szCs w:val="20"/>
              </w:rPr>
              <w:t>JTS, NA</w:t>
            </w:r>
            <w:r w:rsidR="00914D6C" w:rsidRPr="001368E0">
              <w:rPr>
                <w:rFonts w:eastAsia="Times New Roman"/>
                <w:bCs/>
                <w:color w:val="000000"/>
                <w:sz w:val="20"/>
                <w:szCs w:val="20"/>
              </w:rPr>
              <w:t>, EC</w:t>
            </w:r>
          </w:p>
        </w:tc>
      </w:tr>
    </w:tbl>
    <w:p w:rsidR="00FF1E64" w:rsidRPr="00D46FEE" w:rsidRDefault="00FF1E64" w:rsidP="004F6447">
      <w:pPr>
        <w:pStyle w:val="Heading3"/>
        <w:spacing w:before="240" w:after="240" w:line="264" w:lineRule="auto"/>
        <w:rPr>
          <w:sz w:val="16"/>
          <w:szCs w:val="16"/>
          <w:highlight w:val="yellow"/>
        </w:rPr>
      </w:pPr>
    </w:p>
    <w:p w:rsidR="00F16F0A" w:rsidRPr="0025034F" w:rsidRDefault="00F16F0A" w:rsidP="004F6447">
      <w:pPr>
        <w:pStyle w:val="Heading3"/>
        <w:spacing w:before="240" w:after="240" w:line="264" w:lineRule="auto"/>
        <w:rPr>
          <w:b/>
          <w:sz w:val="28"/>
          <w:szCs w:val="28"/>
          <w:lang w:val="en-GB"/>
        </w:rPr>
      </w:pPr>
      <w:bookmarkStart w:id="76" w:name="_Toc288133451"/>
      <w:r w:rsidRPr="0025034F">
        <w:rPr>
          <w:b/>
          <w:sz w:val="28"/>
          <w:szCs w:val="28"/>
          <w:lang w:val="en-GB"/>
        </w:rPr>
        <w:t>Programme logical frame</w:t>
      </w:r>
      <w:bookmarkEnd w:id="73"/>
      <w:r w:rsidRPr="0025034F">
        <w:rPr>
          <w:b/>
          <w:sz w:val="28"/>
          <w:szCs w:val="28"/>
          <w:lang w:val="en-GB"/>
        </w:rPr>
        <w:t>work</w:t>
      </w:r>
      <w:bookmarkEnd w:id="74"/>
      <w:bookmarkEnd w:id="76"/>
    </w:p>
    <w:p w:rsidR="00E41641" w:rsidRDefault="002B2426" w:rsidP="00834481">
      <w:pPr>
        <w:spacing w:before="120" w:after="0" w:line="264" w:lineRule="auto"/>
        <w:jc w:val="both"/>
        <w:rPr>
          <w:sz w:val="22"/>
          <w:szCs w:val="22"/>
          <w:lang w:val="en-GB"/>
        </w:rPr>
      </w:pPr>
      <w:r w:rsidRPr="00FB7481">
        <w:rPr>
          <w:sz w:val="22"/>
          <w:szCs w:val="22"/>
          <w:lang w:val="en-GB"/>
        </w:rPr>
        <w:t xml:space="preserve">The </w:t>
      </w:r>
      <w:r w:rsidR="00CF3A02">
        <w:rPr>
          <w:sz w:val="22"/>
          <w:szCs w:val="22"/>
          <w:lang w:val="en-GB"/>
        </w:rPr>
        <w:t xml:space="preserve">BSB </w:t>
      </w:r>
      <w:r w:rsidRPr="00FB7481">
        <w:rPr>
          <w:sz w:val="22"/>
          <w:szCs w:val="22"/>
          <w:lang w:val="en-GB"/>
        </w:rPr>
        <w:t xml:space="preserve">programme logical framework </w:t>
      </w:r>
      <w:r w:rsidR="00CF3A02">
        <w:rPr>
          <w:sz w:val="22"/>
          <w:szCs w:val="22"/>
          <w:lang w:val="en-GB"/>
        </w:rPr>
        <w:t>presented</w:t>
      </w:r>
      <w:r w:rsidR="003D4949">
        <w:rPr>
          <w:sz w:val="22"/>
          <w:szCs w:val="22"/>
          <w:lang w:val="en-GB"/>
        </w:rPr>
        <w:t xml:space="preserve"> in the following pages</w:t>
      </w:r>
      <w:r w:rsidR="00630F10">
        <w:rPr>
          <w:sz w:val="22"/>
          <w:szCs w:val="22"/>
          <w:lang w:val="en-GB"/>
        </w:rPr>
        <w:t xml:space="preserve"> provid</w:t>
      </w:r>
      <w:r w:rsidR="00CF3A02">
        <w:rPr>
          <w:sz w:val="22"/>
          <w:szCs w:val="22"/>
          <w:lang w:val="en-GB"/>
        </w:rPr>
        <w:t>es an overview of</w:t>
      </w:r>
      <w:r w:rsidR="001674E2" w:rsidRPr="00FB7481">
        <w:rPr>
          <w:sz w:val="22"/>
          <w:szCs w:val="22"/>
          <w:lang w:val="en-GB"/>
        </w:rPr>
        <w:t xml:space="preserve"> the</w:t>
      </w:r>
      <w:r w:rsidR="009561E9" w:rsidRPr="00FB7481">
        <w:rPr>
          <w:sz w:val="22"/>
          <w:szCs w:val="22"/>
          <w:lang w:val="en-GB"/>
        </w:rPr>
        <w:t xml:space="preserve"> strategy defi</w:t>
      </w:r>
      <w:r w:rsidR="00AA5D7F">
        <w:rPr>
          <w:sz w:val="22"/>
          <w:szCs w:val="22"/>
          <w:lang w:val="en-GB"/>
        </w:rPr>
        <w:t>s</w:t>
      </w:r>
      <w:r w:rsidR="009561E9" w:rsidRPr="00FB7481">
        <w:rPr>
          <w:sz w:val="22"/>
          <w:szCs w:val="22"/>
          <w:lang w:val="en-GB"/>
        </w:rPr>
        <w:t>nitio</w:t>
      </w:r>
      <w:r w:rsidR="005357A0">
        <w:rPr>
          <w:sz w:val="22"/>
          <w:szCs w:val="22"/>
          <w:lang w:val="en-GB"/>
        </w:rPr>
        <w:t>n, including programme</w:t>
      </w:r>
      <w:r w:rsidR="00501D1D">
        <w:rPr>
          <w:sz w:val="22"/>
          <w:szCs w:val="22"/>
          <w:lang w:val="en-GB"/>
        </w:rPr>
        <w:t xml:space="preserve"> intervention logic, indic</w:t>
      </w:r>
      <w:r w:rsidR="003B368B">
        <w:rPr>
          <w:sz w:val="22"/>
          <w:szCs w:val="22"/>
          <w:lang w:val="en-GB"/>
        </w:rPr>
        <w:t>ators of achievement and risks.</w:t>
      </w:r>
    </w:p>
    <w:p w:rsidR="003B368B" w:rsidRDefault="003B368B" w:rsidP="00834481">
      <w:pPr>
        <w:spacing w:before="120" w:after="0" w:line="264" w:lineRule="auto"/>
        <w:jc w:val="both"/>
        <w:rPr>
          <w:sz w:val="22"/>
          <w:szCs w:val="22"/>
          <w:lang w:val="en-GB"/>
        </w:rPr>
        <w:sectPr w:rsidR="003B368B" w:rsidSect="00AB7943">
          <w:headerReference w:type="default" r:id="rId65"/>
          <w:footerReference w:type="default" r:id="rId66"/>
          <w:headerReference w:type="first" r:id="rId67"/>
          <w:footerReference w:type="first" r:id="rId68"/>
          <w:footnotePr>
            <w:numFmt w:val="lowerRoman"/>
          </w:footnotePr>
          <w:endnotePr>
            <w:numFmt w:val="decimal"/>
          </w:endnotePr>
          <w:pgSz w:w="12240" w:h="15840" w:code="1"/>
          <w:pgMar w:top="794" w:right="601" w:bottom="794" w:left="760" w:header="794" w:footer="567" w:gutter="0"/>
          <w:pgNumType w:start="1"/>
          <w:cols w:space="720"/>
          <w:titlePg/>
          <w:docGrid w:linePitch="360"/>
        </w:sectPr>
      </w:pPr>
    </w:p>
    <w:p w:rsidR="002A26C5" w:rsidRDefault="002A26C5" w:rsidP="002A26C5">
      <w:pPr>
        <w:spacing w:after="0"/>
        <w:rPr>
          <w:b/>
          <w:lang w:val="en-GB"/>
        </w:rPr>
      </w:pPr>
      <w:r w:rsidRPr="00FA4C4D">
        <w:rPr>
          <w:b/>
          <w:lang w:val="en-GB"/>
        </w:rPr>
        <w:t>Logical Framework for the Black Sea Basin ENI CBC Programme 2014-2020</w:t>
      </w:r>
    </w:p>
    <w:p w:rsidR="00FA4C4D" w:rsidRPr="00FA4C4D" w:rsidRDefault="00FA4C4D" w:rsidP="002A26C5">
      <w:pPr>
        <w:spacing w:after="0"/>
        <w:rPr>
          <w:lang w:val="en-GB"/>
        </w:rPr>
      </w:pPr>
    </w:p>
    <w:tbl>
      <w:tblPr>
        <w:tblW w:w="14743" w:type="dxa"/>
        <w:tblBorders>
          <w:top w:val="single" w:sz="8" w:space="0" w:color="C1AD79"/>
          <w:left w:val="single" w:sz="8" w:space="0" w:color="C1AD79"/>
          <w:bottom w:val="single" w:sz="8" w:space="0" w:color="C1AD79"/>
          <w:right w:val="single" w:sz="8" w:space="0" w:color="C1AD79"/>
          <w:insideH w:val="single" w:sz="8" w:space="0" w:color="C1AD79"/>
          <w:insideV w:val="single" w:sz="8" w:space="0" w:color="C1AD79"/>
        </w:tblBorders>
        <w:tblLayout w:type="fixed"/>
        <w:tblLook w:val="04A0"/>
      </w:tblPr>
      <w:tblGrid>
        <w:gridCol w:w="1135"/>
        <w:gridCol w:w="7053"/>
        <w:gridCol w:w="2977"/>
        <w:gridCol w:w="1276"/>
        <w:gridCol w:w="2302"/>
      </w:tblGrid>
      <w:tr w:rsidR="00931D5C" w:rsidRPr="001368E0" w:rsidTr="001368E0">
        <w:trPr>
          <w:trHeight w:val="420"/>
          <w:tblHeader/>
        </w:trPr>
        <w:tc>
          <w:tcPr>
            <w:tcW w:w="1135" w:type="dxa"/>
            <w:shd w:val="clear" w:color="auto" w:fill="auto"/>
            <w:noWrap/>
            <w:hideMark/>
          </w:tcPr>
          <w:p w:rsidR="002A26C5" w:rsidRPr="001368E0" w:rsidRDefault="002A26C5" w:rsidP="001368E0">
            <w:pPr>
              <w:spacing w:after="0" w:line="240" w:lineRule="auto"/>
              <w:jc w:val="center"/>
              <w:rPr>
                <w:sz w:val="18"/>
                <w:szCs w:val="18"/>
                <w:lang w:val="en-GB"/>
              </w:rPr>
            </w:pPr>
          </w:p>
        </w:tc>
        <w:tc>
          <w:tcPr>
            <w:tcW w:w="7053" w:type="dxa"/>
            <w:shd w:val="clear" w:color="auto" w:fill="auto"/>
            <w:noWrap/>
            <w:hideMark/>
          </w:tcPr>
          <w:p w:rsidR="002A26C5" w:rsidRPr="001368E0" w:rsidRDefault="002A26C5" w:rsidP="001368E0">
            <w:pPr>
              <w:spacing w:after="0" w:line="240" w:lineRule="auto"/>
              <w:jc w:val="center"/>
              <w:rPr>
                <w:sz w:val="18"/>
                <w:szCs w:val="18"/>
              </w:rPr>
            </w:pPr>
            <w:r w:rsidRPr="001368E0">
              <w:rPr>
                <w:b/>
                <w:bCs/>
                <w:sz w:val="18"/>
                <w:szCs w:val="18"/>
              </w:rPr>
              <w:t>Intervention logic</w:t>
            </w:r>
          </w:p>
        </w:tc>
        <w:tc>
          <w:tcPr>
            <w:tcW w:w="2977" w:type="dxa"/>
            <w:shd w:val="clear" w:color="auto" w:fill="auto"/>
            <w:hideMark/>
          </w:tcPr>
          <w:p w:rsidR="002A26C5" w:rsidRPr="001368E0" w:rsidRDefault="002A26C5" w:rsidP="001368E0">
            <w:pPr>
              <w:spacing w:after="0" w:line="240" w:lineRule="auto"/>
              <w:jc w:val="center"/>
              <w:rPr>
                <w:sz w:val="18"/>
                <w:szCs w:val="18"/>
                <w:lang w:val="en-GB"/>
              </w:rPr>
            </w:pPr>
            <w:r w:rsidRPr="001368E0">
              <w:rPr>
                <w:b/>
                <w:bCs/>
                <w:sz w:val="18"/>
                <w:szCs w:val="18"/>
                <w:lang w:val="en-GB"/>
              </w:rPr>
              <w:t>Objectively verifiable indicators of achievement</w:t>
            </w:r>
            <w:r w:rsidRPr="001368E0">
              <w:rPr>
                <w:rStyle w:val="FootnoteReference"/>
                <w:b/>
                <w:bCs/>
                <w:sz w:val="18"/>
                <w:szCs w:val="18"/>
              </w:rPr>
              <w:footnoteReference w:id="70"/>
            </w:r>
          </w:p>
        </w:tc>
        <w:tc>
          <w:tcPr>
            <w:tcW w:w="1276" w:type="dxa"/>
            <w:shd w:val="clear" w:color="auto" w:fill="auto"/>
          </w:tcPr>
          <w:p w:rsidR="002A26C5" w:rsidRPr="001368E0" w:rsidRDefault="002A26C5" w:rsidP="001368E0">
            <w:pPr>
              <w:spacing w:after="0" w:line="240" w:lineRule="auto"/>
              <w:jc w:val="center"/>
              <w:rPr>
                <w:sz w:val="18"/>
                <w:szCs w:val="18"/>
                <w:lang w:val="en-GB"/>
              </w:rPr>
            </w:pPr>
            <w:r w:rsidRPr="001368E0">
              <w:rPr>
                <w:b/>
                <w:bCs/>
                <w:sz w:val="18"/>
                <w:szCs w:val="18"/>
                <w:lang w:val="en-GB"/>
              </w:rPr>
              <w:t>Sources of verific</w:t>
            </w:r>
            <w:r w:rsidR="00DA0E31" w:rsidRPr="001368E0">
              <w:rPr>
                <w:b/>
                <w:bCs/>
                <w:sz w:val="18"/>
                <w:szCs w:val="18"/>
                <w:lang w:val="en-GB"/>
              </w:rPr>
              <w:t>ation</w:t>
            </w:r>
          </w:p>
        </w:tc>
        <w:tc>
          <w:tcPr>
            <w:tcW w:w="2302" w:type="dxa"/>
            <w:shd w:val="clear" w:color="auto" w:fill="auto"/>
          </w:tcPr>
          <w:p w:rsidR="002A26C5" w:rsidRPr="001368E0" w:rsidRDefault="002A26C5" w:rsidP="001368E0">
            <w:pPr>
              <w:spacing w:after="0" w:line="240" w:lineRule="auto"/>
              <w:jc w:val="center"/>
              <w:rPr>
                <w:b/>
                <w:sz w:val="18"/>
                <w:szCs w:val="18"/>
                <w:lang w:val="en-GB"/>
              </w:rPr>
            </w:pPr>
            <w:r w:rsidRPr="001368E0">
              <w:rPr>
                <w:b/>
                <w:bCs/>
                <w:sz w:val="18"/>
                <w:szCs w:val="18"/>
                <w:lang w:val="en-GB"/>
              </w:rPr>
              <w:t>Risks</w:t>
            </w:r>
          </w:p>
        </w:tc>
      </w:tr>
      <w:tr w:rsidR="006D53F8" w:rsidRPr="001368E0" w:rsidTr="001368E0">
        <w:trPr>
          <w:trHeight w:val="499"/>
        </w:trPr>
        <w:tc>
          <w:tcPr>
            <w:tcW w:w="1135" w:type="dxa"/>
            <w:shd w:val="clear" w:color="auto" w:fill="auto"/>
            <w:hideMark/>
          </w:tcPr>
          <w:p w:rsidR="002A26C5" w:rsidRPr="001368E0" w:rsidRDefault="002A26C5" w:rsidP="001368E0">
            <w:pPr>
              <w:spacing w:after="20" w:line="240" w:lineRule="auto"/>
              <w:jc w:val="right"/>
              <w:rPr>
                <w:sz w:val="18"/>
                <w:szCs w:val="18"/>
              </w:rPr>
            </w:pPr>
            <w:r w:rsidRPr="001368E0">
              <w:rPr>
                <w:b/>
                <w:bCs/>
                <w:sz w:val="18"/>
                <w:szCs w:val="18"/>
              </w:rPr>
              <w:t>Overall Objective</w:t>
            </w:r>
          </w:p>
        </w:tc>
        <w:tc>
          <w:tcPr>
            <w:tcW w:w="7053" w:type="dxa"/>
            <w:shd w:val="clear" w:color="auto" w:fill="auto"/>
            <w:hideMark/>
          </w:tcPr>
          <w:p w:rsidR="002A26C5" w:rsidRPr="001368E0" w:rsidRDefault="002A26C5" w:rsidP="001368E0">
            <w:pPr>
              <w:spacing w:after="20" w:line="240" w:lineRule="auto"/>
              <w:rPr>
                <w:color w:val="000000"/>
                <w:sz w:val="18"/>
                <w:szCs w:val="18"/>
                <w:lang w:val="en-GB"/>
              </w:rPr>
            </w:pPr>
            <w:r w:rsidRPr="001368E0">
              <w:rPr>
                <w:color w:val="000000"/>
                <w:sz w:val="18"/>
                <w:szCs w:val="18"/>
                <w:lang w:val="en-GB"/>
              </w:rPr>
              <w:t>Improve the welfare of the people in the Black Sea basin regions through sustainable growth and joint environmental protection</w:t>
            </w:r>
          </w:p>
        </w:tc>
        <w:tc>
          <w:tcPr>
            <w:tcW w:w="2977" w:type="dxa"/>
            <w:shd w:val="clear" w:color="auto" w:fill="auto"/>
            <w:hideMark/>
          </w:tcPr>
          <w:p w:rsidR="002A26C5" w:rsidRPr="001368E0" w:rsidRDefault="002A26C5" w:rsidP="001368E0">
            <w:pPr>
              <w:spacing w:after="20" w:line="240" w:lineRule="auto"/>
              <w:rPr>
                <w:color w:val="000000"/>
                <w:sz w:val="18"/>
                <w:szCs w:val="18"/>
                <w:lang w:val="en-GB"/>
              </w:rPr>
            </w:pPr>
            <w:r w:rsidRPr="001368E0">
              <w:rPr>
                <w:color w:val="FFFFFF"/>
                <w:sz w:val="18"/>
                <w:szCs w:val="18"/>
                <w:lang w:val="en-GB"/>
              </w:rPr>
              <w:t> </w:t>
            </w:r>
          </w:p>
        </w:tc>
        <w:tc>
          <w:tcPr>
            <w:tcW w:w="1276" w:type="dxa"/>
            <w:shd w:val="clear" w:color="auto" w:fill="auto"/>
          </w:tcPr>
          <w:p w:rsidR="002A26C5" w:rsidRPr="001368E0" w:rsidRDefault="002A26C5" w:rsidP="001368E0">
            <w:pPr>
              <w:spacing w:after="20" w:line="240" w:lineRule="auto"/>
              <w:rPr>
                <w:color w:val="FFFFFF"/>
                <w:sz w:val="18"/>
                <w:szCs w:val="18"/>
                <w:lang w:val="en-GB"/>
              </w:rPr>
            </w:pPr>
            <w:r w:rsidRPr="001368E0">
              <w:rPr>
                <w:color w:val="000000"/>
                <w:sz w:val="18"/>
                <w:szCs w:val="18"/>
                <w:lang w:val="en-GB"/>
              </w:rPr>
              <w:t> </w:t>
            </w:r>
          </w:p>
        </w:tc>
        <w:tc>
          <w:tcPr>
            <w:tcW w:w="2302" w:type="dxa"/>
            <w:shd w:val="clear" w:color="auto" w:fill="auto"/>
          </w:tcPr>
          <w:p w:rsidR="002A26C5" w:rsidRPr="001368E0" w:rsidRDefault="002A26C5" w:rsidP="001368E0">
            <w:pPr>
              <w:spacing w:after="20" w:line="240" w:lineRule="auto"/>
              <w:rPr>
                <w:iCs/>
                <w:color w:val="000000"/>
                <w:sz w:val="18"/>
                <w:szCs w:val="18"/>
                <w:lang w:val="en-GB"/>
              </w:rPr>
            </w:pPr>
          </w:p>
        </w:tc>
      </w:tr>
      <w:tr w:rsidR="00D65763" w:rsidRPr="001368E0" w:rsidTr="001368E0">
        <w:trPr>
          <w:trHeight w:val="704"/>
        </w:trPr>
        <w:tc>
          <w:tcPr>
            <w:tcW w:w="1135" w:type="dxa"/>
            <w:shd w:val="clear" w:color="auto" w:fill="auto"/>
            <w:noWrap/>
            <w:hideMark/>
          </w:tcPr>
          <w:p w:rsidR="00D65763" w:rsidRPr="001368E0" w:rsidRDefault="00D65763" w:rsidP="001368E0">
            <w:pPr>
              <w:spacing w:after="20" w:line="240" w:lineRule="auto"/>
              <w:jc w:val="right"/>
              <w:rPr>
                <w:sz w:val="18"/>
                <w:szCs w:val="18"/>
              </w:rPr>
            </w:pPr>
            <w:r w:rsidRPr="001368E0">
              <w:rPr>
                <w:b/>
                <w:bCs/>
                <w:sz w:val="18"/>
                <w:szCs w:val="18"/>
              </w:rPr>
              <w:t>Specific Objectives</w:t>
            </w:r>
          </w:p>
        </w:tc>
        <w:tc>
          <w:tcPr>
            <w:tcW w:w="7053" w:type="dxa"/>
            <w:shd w:val="clear" w:color="auto" w:fill="auto"/>
            <w:hideMark/>
          </w:tcPr>
          <w:p w:rsidR="00D65763" w:rsidRPr="001368E0" w:rsidRDefault="00D65763" w:rsidP="001368E0">
            <w:pPr>
              <w:pStyle w:val="ListParagraph"/>
              <w:numPr>
                <w:ilvl w:val="0"/>
                <w:numId w:val="65"/>
              </w:numPr>
              <w:spacing w:after="20" w:line="240" w:lineRule="auto"/>
              <w:rPr>
                <w:color w:val="000000"/>
                <w:sz w:val="18"/>
                <w:szCs w:val="18"/>
                <w:lang w:val="en-GB"/>
              </w:rPr>
            </w:pPr>
            <w:r w:rsidRPr="001368E0">
              <w:rPr>
                <w:color w:val="000000"/>
                <w:sz w:val="18"/>
                <w:szCs w:val="18"/>
                <w:lang w:val="en-GB"/>
              </w:rPr>
              <w:t>Promote business and entrepreneurship within the Black Sea basin</w:t>
            </w:r>
          </w:p>
          <w:p w:rsidR="00D65763" w:rsidRPr="001368E0" w:rsidRDefault="00D65763" w:rsidP="001368E0">
            <w:pPr>
              <w:pStyle w:val="ListParagraph"/>
              <w:spacing w:after="20" w:line="240" w:lineRule="auto"/>
              <w:ind w:left="360"/>
              <w:rPr>
                <w:color w:val="000000"/>
                <w:sz w:val="18"/>
                <w:szCs w:val="18"/>
                <w:lang w:val="en-GB"/>
              </w:rPr>
            </w:pPr>
          </w:p>
          <w:p w:rsidR="00D65763" w:rsidRPr="001368E0" w:rsidRDefault="00D65763" w:rsidP="001368E0">
            <w:pPr>
              <w:pStyle w:val="ListParagraph"/>
              <w:numPr>
                <w:ilvl w:val="0"/>
                <w:numId w:val="65"/>
              </w:numPr>
              <w:spacing w:after="20" w:line="240" w:lineRule="auto"/>
              <w:rPr>
                <w:color w:val="000000"/>
                <w:sz w:val="18"/>
                <w:szCs w:val="18"/>
                <w:lang w:val="en-GB"/>
              </w:rPr>
            </w:pPr>
            <w:r w:rsidRPr="001368E0">
              <w:rPr>
                <w:color w:val="000000"/>
                <w:sz w:val="18"/>
                <w:szCs w:val="18"/>
                <w:lang w:val="en-GB"/>
              </w:rPr>
              <w:t xml:space="preserve">Promote coordination of environmental protection and joint reduction of marine litter in the Black Sea basin </w:t>
            </w:r>
          </w:p>
        </w:tc>
        <w:tc>
          <w:tcPr>
            <w:tcW w:w="2977" w:type="dxa"/>
            <w:shd w:val="clear" w:color="auto" w:fill="auto"/>
            <w:hideMark/>
          </w:tcPr>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 </w:t>
            </w:r>
          </w:p>
        </w:tc>
        <w:tc>
          <w:tcPr>
            <w:tcW w:w="1276" w:type="dxa"/>
            <w:shd w:val="clear" w:color="auto" w:fill="auto"/>
          </w:tcPr>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 </w:t>
            </w:r>
          </w:p>
        </w:tc>
        <w:tc>
          <w:tcPr>
            <w:tcW w:w="2302" w:type="dxa"/>
            <w:shd w:val="clear" w:color="auto" w:fill="auto"/>
          </w:tcPr>
          <w:p w:rsidR="00D65763" w:rsidRPr="001368E0" w:rsidRDefault="00D65763" w:rsidP="001368E0">
            <w:pPr>
              <w:spacing w:after="20" w:line="240" w:lineRule="auto"/>
              <w:rPr>
                <w:rFonts w:eastAsia="Times New Roman"/>
                <w:color w:val="000000"/>
                <w:sz w:val="18"/>
                <w:szCs w:val="18"/>
                <w:lang w:val="en-GB"/>
              </w:rPr>
            </w:pPr>
          </w:p>
        </w:tc>
      </w:tr>
      <w:tr w:rsidR="00D65763" w:rsidRPr="001368E0" w:rsidTr="001368E0">
        <w:trPr>
          <w:trHeight w:val="368"/>
        </w:trPr>
        <w:tc>
          <w:tcPr>
            <w:tcW w:w="1135" w:type="dxa"/>
            <w:vMerge w:val="restart"/>
            <w:shd w:val="clear" w:color="auto" w:fill="auto"/>
            <w:noWrap/>
            <w:hideMark/>
          </w:tcPr>
          <w:p w:rsidR="00D65763" w:rsidRPr="001368E0" w:rsidRDefault="00D65763" w:rsidP="001368E0">
            <w:pPr>
              <w:spacing w:after="20" w:line="240" w:lineRule="auto"/>
              <w:jc w:val="right"/>
              <w:rPr>
                <w:sz w:val="18"/>
                <w:szCs w:val="18"/>
              </w:rPr>
            </w:pPr>
            <w:r w:rsidRPr="001368E0">
              <w:rPr>
                <w:b/>
                <w:bCs/>
                <w:sz w:val="18"/>
                <w:szCs w:val="18"/>
              </w:rPr>
              <w:t>Expected results</w:t>
            </w:r>
          </w:p>
        </w:tc>
        <w:tc>
          <w:tcPr>
            <w:tcW w:w="7053" w:type="dxa"/>
            <w:shd w:val="clear" w:color="auto" w:fill="auto"/>
            <w:noWrap/>
            <w:hideMark/>
          </w:tcPr>
          <w:p w:rsidR="00D65763" w:rsidRPr="001368E0" w:rsidRDefault="00D65763" w:rsidP="001368E0">
            <w:pPr>
              <w:pStyle w:val="ListParagraph"/>
              <w:numPr>
                <w:ilvl w:val="1"/>
                <w:numId w:val="25"/>
              </w:numPr>
              <w:spacing w:after="20" w:line="240" w:lineRule="auto"/>
              <w:rPr>
                <w:color w:val="000000"/>
                <w:sz w:val="18"/>
                <w:szCs w:val="18"/>
                <w:lang w:val="en-GB"/>
              </w:rPr>
            </w:pPr>
            <w:r w:rsidRPr="001368E0">
              <w:rPr>
                <w:color w:val="000000"/>
                <w:sz w:val="18"/>
                <w:szCs w:val="18"/>
                <w:lang w:val="en-GB"/>
              </w:rPr>
              <w:t>Stronger cross-border business opportunities in the tourism and cultural sectors in BSB</w:t>
            </w:r>
          </w:p>
        </w:tc>
        <w:tc>
          <w:tcPr>
            <w:tcW w:w="2977" w:type="dxa"/>
            <w:shd w:val="clear" w:color="auto" w:fill="auto"/>
            <w:hideMark/>
          </w:tcPr>
          <w:p w:rsidR="00D65763" w:rsidRPr="001368E0" w:rsidRDefault="00D65763" w:rsidP="001368E0">
            <w:pPr>
              <w:spacing w:after="20" w:line="240" w:lineRule="auto"/>
              <w:jc w:val="both"/>
              <w:rPr>
                <w:rFonts w:eastAsia="Times New Roman"/>
                <w:bCs/>
                <w:color w:val="000000"/>
                <w:sz w:val="18"/>
                <w:szCs w:val="18"/>
                <w:lang w:val="en-GB"/>
              </w:rPr>
            </w:pPr>
            <w:r w:rsidRPr="001368E0">
              <w:rPr>
                <w:color w:val="000000"/>
                <w:sz w:val="18"/>
                <w:szCs w:val="18"/>
                <w:lang w:val="en-GB"/>
              </w:rPr>
              <w:t>R1.1</w:t>
            </w:r>
            <w:r w:rsidRPr="001368E0">
              <w:rPr>
                <w:rFonts w:eastAsia="Times New Roman"/>
                <w:bCs/>
                <w:color w:val="000000"/>
                <w:sz w:val="18"/>
                <w:szCs w:val="18"/>
                <w:lang w:val="en-GB"/>
              </w:rPr>
              <w:t xml:space="preserve"> Strength of cross-border business opportunities in the tourism and cultural sectors</w:t>
            </w:r>
          </w:p>
        </w:tc>
        <w:tc>
          <w:tcPr>
            <w:tcW w:w="1276" w:type="dxa"/>
            <w:shd w:val="clear" w:color="auto" w:fill="auto"/>
          </w:tcPr>
          <w:p w:rsidR="00D65763" w:rsidRPr="001368E0" w:rsidRDefault="00D65763" w:rsidP="001368E0">
            <w:pPr>
              <w:spacing w:after="20" w:line="240" w:lineRule="auto"/>
              <w:rPr>
                <w:color w:val="000000"/>
                <w:sz w:val="18"/>
                <w:szCs w:val="18"/>
              </w:rPr>
            </w:pPr>
            <w:r w:rsidRPr="001368E0">
              <w:rPr>
                <w:color w:val="000000"/>
                <w:sz w:val="18"/>
                <w:szCs w:val="18"/>
                <w:lang w:val="en-GB"/>
              </w:rPr>
              <w:t> </w:t>
            </w:r>
            <w:r w:rsidRPr="001368E0">
              <w:rPr>
                <w:color w:val="000000"/>
                <w:sz w:val="18"/>
                <w:szCs w:val="18"/>
              </w:rPr>
              <w:t>Survey</w:t>
            </w:r>
          </w:p>
          <w:p w:rsidR="00D65763" w:rsidRPr="001368E0" w:rsidRDefault="00D65763" w:rsidP="001368E0">
            <w:pPr>
              <w:spacing w:after="20" w:line="240" w:lineRule="auto"/>
              <w:rPr>
                <w:color w:val="000000"/>
                <w:sz w:val="18"/>
                <w:szCs w:val="18"/>
                <w:lang w:val="en-GB"/>
              </w:rPr>
            </w:pPr>
          </w:p>
        </w:tc>
        <w:tc>
          <w:tcPr>
            <w:tcW w:w="2302" w:type="dxa"/>
            <w:vMerge w:val="restart"/>
            <w:shd w:val="clear" w:color="auto" w:fill="auto"/>
          </w:tcPr>
          <w:p w:rsidR="00D65763" w:rsidRPr="001368E0" w:rsidRDefault="00D90357" w:rsidP="001368E0">
            <w:pPr>
              <w:spacing w:after="20" w:line="240" w:lineRule="auto"/>
              <w:jc w:val="both"/>
              <w:rPr>
                <w:color w:val="000000"/>
                <w:sz w:val="18"/>
                <w:szCs w:val="18"/>
                <w:lang w:val="en-GB"/>
              </w:rPr>
            </w:pPr>
            <w:r w:rsidRPr="001368E0">
              <w:rPr>
                <w:rFonts w:eastAsia="Times New Roman"/>
                <w:color w:val="000000"/>
                <w:sz w:val="18"/>
                <w:szCs w:val="18"/>
                <w:lang w:val="en-GB"/>
              </w:rPr>
              <w:t xml:space="preserve">- </w:t>
            </w:r>
            <w:r w:rsidRPr="001368E0">
              <w:rPr>
                <w:color w:val="000000"/>
                <w:sz w:val="18"/>
                <w:szCs w:val="18"/>
                <w:lang w:val="en-GB"/>
              </w:rPr>
              <w:t xml:space="preserve">EU sluggish growth and continuing problems emanating from the debt crisis limit further economic recovery in BSB and development of business and entrepreneurship </w:t>
            </w:r>
          </w:p>
          <w:p w:rsidR="005A4E8E" w:rsidRPr="001368E0" w:rsidRDefault="00D90357" w:rsidP="001368E0">
            <w:pPr>
              <w:spacing w:after="20" w:line="240" w:lineRule="auto"/>
              <w:rPr>
                <w:color w:val="000000"/>
                <w:sz w:val="18"/>
                <w:szCs w:val="18"/>
                <w:lang w:val="en-GB"/>
              </w:rPr>
            </w:pPr>
            <w:r w:rsidRPr="001368E0">
              <w:rPr>
                <w:color w:val="000000"/>
                <w:sz w:val="18"/>
                <w:szCs w:val="18"/>
                <w:lang w:val="en-GB"/>
              </w:rPr>
              <w:t xml:space="preserve"> </w:t>
            </w:r>
          </w:p>
        </w:tc>
      </w:tr>
      <w:tr w:rsidR="00D65763" w:rsidRPr="001368E0" w:rsidTr="001368E0">
        <w:trPr>
          <w:trHeight w:val="368"/>
        </w:trPr>
        <w:tc>
          <w:tcPr>
            <w:tcW w:w="1135" w:type="dxa"/>
            <w:vMerge/>
            <w:shd w:val="clear" w:color="auto" w:fill="auto"/>
            <w:noWrap/>
          </w:tcPr>
          <w:p w:rsidR="00D65763" w:rsidRPr="001368E0" w:rsidRDefault="00D65763" w:rsidP="001368E0">
            <w:pPr>
              <w:spacing w:after="20" w:line="240" w:lineRule="auto"/>
              <w:jc w:val="right"/>
              <w:rPr>
                <w:sz w:val="18"/>
                <w:szCs w:val="18"/>
                <w:lang w:val="en-GB"/>
              </w:rPr>
            </w:pPr>
          </w:p>
        </w:tc>
        <w:tc>
          <w:tcPr>
            <w:tcW w:w="7053" w:type="dxa"/>
            <w:shd w:val="clear" w:color="auto" w:fill="auto"/>
            <w:noWrap/>
          </w:tcPr>
          <w:p w:rsidR="00D65763" w:rsidRPr="001368E0" w:rsidRDefault="00D65763" w:rsidP="001368E0">
            <w:pPr>
              <w:pStyle w:val="ListParagraph"/>
              <w:numPr>
                <w:ilvl w:val="1"/>
                <w:numId w:val="25"/>
              </w:numPr>
              <w:spacing w:after="20" w:line="240" w:lineRule="auto"/>
              <w:rPr>
                <w:color w:val="000000"/>
                <w:sz w:val="18"/>
                <w:szCs w:val="18"/>
                <w:lang w:val="en-GB"/>
              </w:rPr>
            </w:pPr>
            <w:r w:rsidRPr="001368E0">
              <w:rPr>
                <w:color w:val="000000"/>
                <w:sz w:val="18"/>
                <w:szCs w:val="18"/>
                <w:lang w:val="en-GB"/>
              </w:rPr>
              <w:t>Increased cross-border links for trade and modernisation in the agricultural and connected sectors in BSB</w:t>
            </w:r>
          </w:p>
        </w:tc>
        <w:tc>
          <w:tcPr>
            <w:tcW w:w="2977" w:type="dxa"/>
            <w:shd w:val="clear" w:color="auto" w:fill="auto"/>
          </w:tcPr>
          <w:p w:rsidR="00D65763" w:rsidRPr="001368E0" w:rsidRDefault="00D65763" w:rsidP="001368E0">
            <w:pPr>
              <w:spacing w:after="20" w:line="240" w:lineRule="auto"/>
              <w:jc w:val="both"/>
              <w:rPr>
                <w:color w:val="000000"/>
                <w:sz w:val="18"/>
                <w:szCs w:val="18"/>
                <w:lang w:val="en-GB"/>
              </w:rPr>
            </w:pPr>
            <w:r w:rsidRPr="001368E0">
              <w:rPr>
                <w:color w:val="000000"/>
                <w:sz w:val="18"/>
                <w:szCs w:val="18"/>
                <w:lang w:val="en-GB"/>
              </w:rPr>
              <w:t>R1.2 St</w:t>
            </w:r>
            <w:r w:rsidRPr="001368E0">
              <w:rPr>
                <w:rFonts w:eastAsia="Times New Roman"/>
                <w:bCs/>
                <w:color w:val="000000"/>
                <w:sz w:val="18"/>
                <w:szCs w:val="18"/>
                <w:lang w:val="en-GB"/>
              </w:rPr>
              <w:t>rength of cross-border links for trade and modernisation in the agricultural and connected sectors</w:t>
            </w:r>
          </w:p>
        </w:tc>
        <w:tc>
          <w:tcPr>
            <w:tcW w:w="1276" w:type="dxa"/>
            <w:shd w:val="clear" w:color="auto" w:fill="auto"/>
          </w:tcPr>
          <w:p w:rsidR="00D65763" w:rsidRPr="001368E0" w:rsidRDefault="00D65763" w:rsidP="001368E0">
            <w:pPr>
              <w:spacing w:after="20" w:line="240" w:lineRule="auto"/>
              <w:rPr>
                <w:color w:val="000000"/>
                <w:sz w:val="18"/>
                <w:szCs w:val="18"/>
              </w:rPr>
            </w:pPr>
            <w:r w:rsidRPr="001368E0">
              <w:rPr>
                <w:color w:val="000000"/>
                <w:sz w:val="18"/>
                <w:szCs w:val="18"/>
                <w:lang w:val="en-GB"/>
              </w:rPr>
              <w:t> </w:t>
            </w:r>
            <w:r w:rsidRPr="001368E0">
              <w:rPr>
                <w:color w:val="000000"/>
                <w:sz w:val="18"/>
                <w:szCs w:val="18"/>
              </w:rPr>
              <w:t>Survey</w:t>
            </w:r>
          </w:p>
          <w:p w:rsidR="00D65763" w:rsidRPr="001368E0" w:rsidRDefault="00D65763" w:rsidP="001368E0">
            <w:pPr>
              <w:spacing w:after="20" w:line="240" w:lineRule="auto"/>
              <w:rPr>
                <w:color w:val="000000"/>
                <w:sz w:val="18"/>
                <w:szCs w:val="18"/>
                <w:lang w:val="en-GB"/>
              </w:rPr>
            </w:pPr>
          </w:p>
        </w:tc>
        <w:tc>
          <w:tcPr>
            <w:tcW w:w="2302" w:type="dxa"/>
            <w:vMerge/>
            <w:shd w:val="clear" w:color="auto" w:fill="auto"/>
          </w:tcPr>
          <w:p w:rsidR="00D65763" w:rsidRPr="001368E0" w:rsidRDefault="00D65763" w:rsidP="001368E0">
            <w:pPr>
              <w:spacing w:after="20" w:line="240" w:lineRule="auto"/>
              <w:rPr>
                <w:color w:val="000000"/>
                <w:sz w:val="18"/>
                <w:szCs w:val="18"/>
                <w:lang w:val="en-GB"/>
              </w:rPr>
            </w:pPr>
          </w:p>
        </w:tc>
      </w:tr>
      <w:tr w:rsidR="00D65763" w:rsidRPr="001368E0" w:rsidTr="001368E0">
        <w:trPr>
          <w:trHeight w:val="368"/>
        </w:trPr>
        <w:tc>
          <w:tcPr>
            <w:tcW w:w="1135" w:type="dxa"/>
            <w:vMerge/>
            <w:shd w:val="clear" w:color="auto" w:fill="auto"/>
            <w:noWrap/>
          </w:tcPr>
          <w:p w:rsidR="00D65763" w:rsidRPr="001368E0" w:rsidRDefault="00D65763" w:rsidP="001368E0">
            <w:pPr>
              <w:spacing w:after="20" w:line="240" w:lineRule="auto"/>
              <w:jc w:val="right"/>
              <w:rPr>
                <w:sz w:val="18"/>
                <w:szCs w:val="18"/>
                <w:lang w:val="en-GB"/>
              </w:rPr>
            </w:pPr>
          </w:p>
        </w:tc>
        <w:tc>
          <w:tcPr>
            <w:tcW w:w="7053" w:type="dxa"/>
            <w:shd w:val="clear" w:color="auto" w:fill="auto"/>
            <w:noWrap/>
          </w:tcPr>
          <w:p w:rsidR="00D65763" w:rsidRPr="001368E0" w:rsidRDefault="00D65763" w:rsidP="001368E0">
            <w:pPr>
              <w:pStyle w:val="ListParagraph"/>
              <w:numPr>
                <w:ilvl w:val="1"/>
                <w:numId w:val="26"/>
              </w:numPr>
              <w:spacing w:after="20" w:line="240" w:lineRule="auto"/>
              <w:rPr>
                <w:color w:val="000000"/>
                <w:sz w:val="18"/>
                <w:szCs w:val="18"/>
                <w:lang w:val="en-GB"/>
              </w:rPr>
            </w:pPr>
            <w:r w:rsidRPr="001368E0">
              <w:rPr>
                <w:color w:val="000000"/>
                <w:sz w:val="18"/>
                <w:szCs w:val="18"/>
                <w:lang w:val="en-GB"/>
              </w:rPr>
              <w:t>Improved availability of cross-border compatible environmental monitoring data and information within BSB</w:t>
            </w:r>
          </w:p>
        </w:tc>
        <w:tc>
          <w:tcPr>
            <w:tcW w:w="2977" w:type="dxa"/>
            <w:shd w:val="clear" w:color="auto" w:fill="auto"/>
          </w:tcPr>
          <w:p w:rsidR="00D65763" w:rsidRPr="001368E0" w:rsidRDefault="00D65763" w:rsidP="001368E0">
            <w:pPr>
              <w:spacing w:after="20" w:line="240" w:lineRule="auto"/>
              <w:jc w:val="both"/>
              <w:rPr>
                <w:color w:val="000000"/>
                <w:sz w:val="18"/>
                <w:szCs w:val="18"/>
                <w:lang w:val="en-GB"/>
              </w:rPr>
            </w:pPr>
            <w:r w:rsidRPr="001368E0">
              <w:rPr>
                <w:color w:val="000000"/>
                <w:sz w:val="18"/>
                <w:szCs w:val="18"/>
                <w:lang w:val="en-GB"/>
              </w:rPr>
              <w:t xml:space="preserve">R2.1 </w:t>
            </w:r>
            <w:r w:rsidRPr="001368E0">
              <w:rPr>
                <w:rFonts w:eastAsia="Times New Roman"/>
                <w:color w:val="000000"/>
                <w:sz w:val="18"/>
                <w:szCs w:val="18"/>
                <w:lang w:val="en-GB"/>
              </w:rPr>
              <w:t>Level of availability of cross-border compatible environmental monitoring data and information</w:t>
            </w:r>
          </w:p>
        </w:tc>
        <w:tc>
          <w:tcPr>
            <w:tcW w:w="1276" w:type="dxa"/>
            <w:shd w:val="clear" w:color="auto" w:fill="auto"/>
          </w:tcPr>
          <w:p w:rsidR="00D65763" w:rsidRPr="001368E0" w:rsidRDefault="00D65763" w:rsidP="001368E0">
            <w:pPr>
              <w:spacing w:after="20" w:line="240" w:lineRule="auto"/>
              <w:rPr>
                <w:color w:val="000000"/>
                <w:sz w:val="18"/>
                <w:szCs w:val="18"/>
              </w:rPr>
            </w:pPr>
            <w:r w:rsidRPr="001368E0">
              <w:rPr>
                <w:color w:val="000000"/>
                <w:sz w:val="18"/>
                <w:szCs w:val="18"/>
                <w:lang w:val="en-GB"/>
              </w:rPr>
              <w:t> </w:t>
            </w:r>
            <w:r w:rsidRPr="001368E0">
              <w:rPr>
                <w:color w:val="000000"/>
                <w:sz w:val="18"/>
                <w:szCs w:val="18"/>
              </w:rPr>
              <w:t>Survey</w:t>
            </w:r>
          </w:p>
          <w:p w:rsidR="00D65763" w:rsidRPr="001368E0" w:rsidRDefault="00D65763" w:rsidP="001368E0">
            <w:pPr>
              <w:spacing w:after="20" w:line="240" w:lineRule="auto"/>
              <w:rPr>
                <w:color w:val="000000"/>
                <w:sz w:val="18"/>
                <w:szCs w:val="18"/>
                <w:lang w:val="en-GB"/>
              </w:rPr>
            </w:pPr>
          </w:p>
        </w:tc>
        <w:tc>
          <w:tcPr>
            <w:tcW w:w="2302" w:type="dxa"/>
            <w:vMerge/>
            <w:shd w:val="clear" w:color="auto" w:fill="auto"/>
          </w:tcPr>
          <w:p w:rsidR="00D65763" w:rsidRPr="001368E0" w:rsidRDefault="00D65763" w:rsidP="001368E0">
            <w:pPr>
              <w:spacing w:after="20" w:line="240" w:lineRule="auto"/>
              <w:rPr>
                <w:color w:val="000000"/>
                <w:sz w:val="18"/>
                <w:szCs w:val="18"/>
                <w:lang w:val="en-GB"/>
              </w:rPr>
            </w:pPr>
          </w:p>
        </w:tc>
      </w:tr>
      <w:tr w:rsidR="00D65763" w:rsidRPr="001368E0" w:rsidTr="001368E0">
        <w:trPr>
          <w:trHeight w:val="368"/>
        </w:trPr>
        <w:tc>
          <w:tcPr>
            <w:tcW w:w="1135" w:type="dxa"/>
            <w:vMerge/>
            <w:shd w:val="clear" w:color="auto" w:fill="auto"/>
            <w:noWrap/>
          </w:tcPr>
          <w:p w:rsidR="00D65763" w:rsidRPr="001368E0" w:rsidRDefault="00D65763" w:rsidP="001368E0">
            <w:pPr>
              <w:spacing w:after="20" w:line="240" w:lineRule="auto"/>
              <w:jc w:val="right"/>
              <w:rPr>
                <w:sz w:val="18"/>
                <w:szCs w:val="18"/>
                <w:lang w:val="en-GB"/>
              </w:rPr>
            </w:pPr>
          </w:p>
        </w:tc>
        <w:tc>
          <w:tcPr>
            <w:tcW w:w="7053" w:type="dxa"/>
            <w:shd w:val="clear" w:color="auto" w:fill="auto"/>
            <w:noWrap/>
          </w:tcPr>
          <w:p w:rsidR="00D65763" w:rsidRPr="001368E0" w:rsidRDefault="00D65763" w:rsidP="001368E0">
            <w:pPr>
              <w:pStyle w:val="ListParagraph"/>
              <w:numPr>
                <w:ilvl w:val="1"/>
                <w:numId w:val="26"/>
              </w:numPr>
              <w:spacing w:after="20" w:line="240" w:lineRule="auto"/>
              <w:rPr>
                <w:color w:val="000000"/>
                <w:sz w:val="18"/>
                <w:szCs w:val="18"/>
                <w:lang w:val="en-GB"/>
              </w:rPr>
            </w:pPr>
            <w:r w:rsidRPr="001368E0">
              <w:rPr>
                <w:rFonts w:eastAsia="Times New Roman"/>
                <w:color w:val="000000"/>
                <w:sz w:val="18"/>
                <w:szCs w:val="18"/>
                <w:lang w:val="en-GB"/>
              </w:rPr>
              <w:t>Increased awareness on environmental challenges and good waste management practices related to river and marine litter within BSB</w:t>
            </w:r>
          </w:p>
        </w:tc>
        <w:tc>
          <w:tcPr>
            <w:tcW w:w="2977" w:type="dxa"/>
            <w:shd w:val="clear" w:color="auto" w:fill="auto"/>
          </w:tcPr>
          <w:p w:rsidR="00D65763" w:rsidRPr="001368E0" w:rsidRDefault="00D65763" w:rsidP="001368E0">
            <w:pPr>
              <w:spacing w:after="20" w:line="240" w:lineRule="auto"/>
              <w:jc w:val="both"/>
              <w:rPr>
                <w:color w:val="000000"/>
                <w:sz w:val="18"/>
                <w:szCs w:val="18"/>
                <w:lang w:val="en-GB"/>
              </w:rPr>
            </w:pPr>
            <w:r w:rsidRPr="001368E0">
              <w:rPr>
                <w:color w:val="000000"/>
                <w:sz w:val="18"/>
                <w:szCs w:val="18"/>
                <w:lang w:val="en-GB"/>
              </w:rPr>
              <w:t xml:space="preserve">R2.2 </w:t>
            </w:r>
            <w:r w:rsidRPr="001368E0">
              <w:rPr>
                <w:rFonts w:eastAsia="Times New Roman"/>
                <w:color w:val="000000"/>
                <w:sz w:val="18"/>
                <w:szCs w:val="18"/>
                <w:lang w:val="en-GB"/>
              </w:rPr>
              <w:t>Level of awareness on environmental challenges and good waste management practices related to river and marine litter</w:t>
            </w:r>
          </w:p>
        </w:tc>
        <w:tc>
          <w:tcPr>
            <w:tcW w:w="1276" w:type="dxa"/>
            <w:shd w:val="clear" w:color="auto" w:fill="auto"/>
          </w:tcPr>
          <w:p w:rsidR="00D65763" w:rsidRPr="001368E0" w:rsidRDefault="00D65763" w:rsidP="001368E0">
            <w:pPr>
              <w:spacing w:after="20" w:line="240" w:lineRule="auto"/>
              <w:rPr>
                <w:color w:val="000000"/>
                <w:sz w:val="18"/>
                <w:szCs w:val="18"/>
              </w:rPr>
            </w:pPr>
            <w:r w:rsidRPr="001368E0">
              <w:rPr>
                <w:color w:val="000000"/>
                <w:sz w:val="18"/>
                <w:szCs w:val="18"/>
                <w:lang w:val="en-GB"/>
              </w:rPr>
              <w:t> </w:t>
            </w:r>
            <w:r w:rsidRPr="001368E0">
              <w:rPr>
                <w:color w:val="000000"/>
                <w:sz w:val="18"/>
                <w:szCs w:val="18"/>
              </w:rPr>
              <w:t>Survey</w:t>
            </w:r>
          </w:p>
          <w:p w:rsidR="00D65763" w:rsidRPr="001368E0" w:rsidRDefault="00D65763" w:rsidP="001368E0">
            <w:pPr>
              <w:spacing w:after="20" w:line="240" w:lineRule="auto"/>
              <w:rPr>
                <w:color w:val="000000"/>
                <w:sz w:val="18"/>
                <w:szCs w:val="18"/>
                <w:lang w:val="en-GB"/>
              </w:rPr>
            </w:pPr>
          </w:p>
        </w:tc>
        <w:tc>
          <w:tcPr>
            <w:tcW w:w="2302" w:type="dxa"/>
            <w:vMerge/>
            <w:shd w:val="clear" w:color="auto" w:fill="auto"/>
          </w:tcPr>
          <w:p w:rsidR="00D65763" w:rsidRPr="001368E0" w:rsidRDefault="00D65763" w:rsidP="001368E0">
            <w:pPr>
              <w:spacing w:after="20" w:line="240" w:lineRule="auto"/>
              <w:rPr>
                <w:color w:val="000000"/>
                <w:sz w:val="18"/>
                <w:szCs w:val="18"/>
                <w:lang w:val="en-GB"/>
              </w:rPr>
            </w:pPr>
          </w:p>
        </w:tc>
      </w:tr>
      <w:tr w:rsidR="00D65763" w:rsidRPr="001368E0" w:rsidTr="001368E0">
        <w:trPr>
          <w:trHeight w:val="710"/>
        </w:trPr>
        <w:tc>
          <w:tcPr>
            <w:tcW w:w="1135" w:type="dxa"/>
            <w:vMerge w:val="restart"/>
            <w:shd w:val="clear" w:color="auto" w:fill="auto"/>
            <w:noWrap/>
            <w:hideMark/>
          </w:tcPr>
          <w:p w:rsidR="00D65763" w:rsidRPr="001368E0" w:rsidRDefault="00D65763" w:rsidP="001368E0">
            <w:pPr>
              <w:spacing w:after="20" w:line="240" w:lineRule="auto"/>
              <w:jc w:val="right"/>
              <w:rPr>
                <w:sz w:val="18"/>
                <w:szCs w:val="18"/>
              </w:rPr>
            </w:pPr>
            <w:r w:rsidRPr="001368E0">
              <w:rPr>
                <w:b/>
                <w:bCs/>
                <w:sz w:val="18"/>
                <w:szCs w:val="18"/>
              </w:rPr>
              <w:t>Indicative activities</w:t>
            </w:r>
          </w:p>
        </w:tc>
        <w:tc>
          <w:tcPr>
            <w:tcW w:w="7053" w:type="dxa"/>
            <w:vMerge w:val="restart"/>
            <w:shd w:val="clear" w:color="auto" w:fill="auto"/>
            <w:hideMark/>
          </w:tcPr>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 xml:space="preserve">1.1.a Develop cross-border tourism products and transnational thematic itineraries. </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 xml:space="preserve">1.1.b Promote networking and connectivity among tourism and cultural actors within BSB. </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1.1.c Develop jointly targeted tourism packages for specific markets and more innovative tourism products.</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1.1.d Jointly enhance the openness of the Black Sea Region to international and non-European tourism.</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1.1.e Encourage networking and share good experience in strengthening cultural and creative industries.</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 xml:space="preserve">1.1.f Exchange best practices on the development of environmentally friendly tourism strategies. </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1.1.g Promote historical heritage and support its preservation for tourism development.</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1.1.h. Jointly promote cultural products and events.</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1.1.i. Improve tourism services and promote the upgrade of skills (e.g. through exchange programmes between educational institutions or the joint creation of open online courses).</w:t>
            </w:r>
          </w:p>
        </w:tc>
        <w:tc>
          <w:tcPr>
            <w:tcW w:w="2977" w:type="dxa"/>
            <w:shd w:val="clear" w:color="auto" w:fill="auto"/>
            <w:noWrap/>
            <w:hideMark/>
          </w:tcPr>
          <w:p w:rsidR="00D65763" w:rsidRPr="001368E0" w:rsidRDefault="00D65763" w:rsidP="001368E0">
            <w:pPr>
              <w:spacing w:after="20" w:line="240" w:lineRule="auto"/>
              <w:jc w:val="both"/>
              <w:rPr>
                <w:rFonts w:eastAsia="Times New Roman"/>
                <w:bCs/>
                <w:color w:val="000000"/>
                <w:sz w:val="18"/>
                <w:szCs w:val="18"/>
                <w:lang w:val="en-GB"/>
              </w:rPr>
            </w:pPr>
            <w:r w:rsidRPr="001368E0">
              <w:rPr>
                <w:bCs/>
                <w:iCs/>
                <w:color w:val="000000"/>
                <w:sz w:val="18"/>
                <w:szCs w:val="18"/>
                <w:lang w:val="en-GB"/>
              </w:rPr>
              <w:t>O</w:t>
            </w:r>
            <w:r w:rsidRPr="001368E0">
              <w:rPr>
                <w:rFonts w:eastAsia="Times New Roman"/>
                <w:bCs/>
                <w:color w:val="000000"/>
                <w:sz w:val="18"/>
                <w:szCs w:val="18"/>
                <w:lang w:val="en-GB"/>
              </w:rPr>
              <w:t>1.1.1 – Number of strategies and products developed jointly to promote tourism</w:t>
            </w:r>
          </w:p>
          <w:p w:rsidR="00D65763" w:rsidRPr="001368E0" w:rsidRDefault="00D65763" w:rsidP="001368E0">
            <w:pPr>
              <w:spacing w:after="20" w:line="240" w:lineRule="auto"/>
              <w:jc w:val="both"/>
              <w:rPr>
                <w:b/>
                <w:bCs/>
                <w:i/>
                <w:iCs/>
                <w:color w:val="000000"/>
                <w:sz w:val="18"/>
                <w:szCs w:val="18"/>
                <w:lang w:val="en-GB"/>
              </w:rPr>
            </w:pPr>
          </w:p>
        </w:tc>
        <w:tc>
          <w:tcPr>
            <w:tcW w:w="1276" w:type="dxa"/>
            <w:shd w:val="clear" w:color="auto" w:fill="auto"/>
          </w:tcPr>
          <w:p w:rsidR="00D65763" w:rsidRPr="001368E0" w:rsidRDefault="00D65763" w:rsidP="001368E0">
            <w:pPr>
              <w:spacing w:after="20" w:line="240" w:lineRule="auto"/>
              <w:rPr>
                <w:bCs/>
                <w:iCs/>
                <w:color w:val="000000"/>
                <w:sz w:val="18"/>
                <w:szCs w:val="18"/>
                <w:lang w:val="en-GB"/>
              </w:rPr>
            </w:pPr>
            <w:r w:rsidRPr="001368E0">
              <w:rPr>
                <w:bCs/>
                <w:iCs/>
                <w:color w:val="000000"/>
                <w:sz w:val="18"/>
                <w:szCs w:val="18"/>
              </w:rPr>
              <w:t>Project reports</w:t>
            </w:r>
          </w:p>
        </w:tc>
        <w:tc>
          <w:tcPr>
            <w:tcW w:w="2302" w:type="dxa"/>
            <w:vMerge w:val="restart"/>
            <w:shd w:val="clear" w:color="auto" w:fill="auto"/>
          </w:tcPr>
          <w:p w:rsidR="00EF16CC" w:rsidRPr="001368E0" w:rsidRDefault="00EF16CC" w:rsidP="001368E0">
            <w:pPr>
              <w:spacing w:after="20" w:line="240" w:lineRule="auto"/>
              <w:jc w:val="both"/>
              <w:rPr>
                <w:rFonts w:eastAsia="Times New Roman"/>
                <w:color w:val="000000"/>
                <w:sz w:val="18"/>
                <w:szCs w:val="18"/>
                <w:lang w:val="en-GB"/>
              </w:rPr>
            </w:pPr>
            <w:r w:rsidRPr="001368E0">
              <w:rPr>
                <w:rFonts w:eastAsia="Times New Roman"/>
                <w:color w:val="000000"/>
                <w:sz w:val="18"/>
                <w:szCs w:val="18"/>
                <w:lang w:val="en-GB"/>
              </w:rPr>
              <w:t xml:space="preserve">- </w:t>
            </w:r>
            <w:r w:rsidR="00C54666" w:rsidRPr="001368E0">
              <w:rPr>
                <w:rFonts w:eastAsia="Times New Roman"/>
                <w:color w:val="000000"/>
                <w:sz w:val="18"/>
                <w:szCs w:val="18"/>
                <w:lang w:val="en-GB"/>
              </w:rPr>
              <w:t xml:space="preserve">Lack of political commitment by some eligible countries to </w:t>
            </w:r>
            <w:r w:rsidRPr="001368E0">
              <w:rPr>
                <w:rFonts w:eastAsia="Times New Roman"/>
                <w:color w:val="000000"/>
                <w:sz w:val="18"/>
                <w:szCs w:val="18"/>
                <w:lang w:val="en-GB"/>
              </w:rPr>
              <w:t>participate in the BSB programme</w:t>
            </w:r>
          </w:p>
          <w:p w:rsidR="00EF16CC" w:rsidRPr="001368E0" w:rsidRDefault="00EF16CC" w:rsidP="001368E0">
            <w:pPr>
              <w:spacing w:after="0" w:line="240" w:lineRule="auto"/>
              <w:rPr>
                <w:color w:val="000000"/>
                <w:lang w:val="en-GB"/>
              </w:rPr>
            </w:pPr>
          </w:p>
          <w:p w:rsidR="00EF16CC" w:rsidRPr="001368E0" w:rsidRDefault="00EF16CC" w:rsidP="001368E0">
            <w:pPr>
              <w:spacing w:after="20" w:line="240" w:lineRule="auto"/>
              <w:rPr>
                <w:color w:val="000000"/>
                <w:sz w:val="18"/>
                <w:szCs w:val="18"/>
                <w:lang w:val="en-GB"/>
              </w:rPr>
            </w:pPr>
            <w:r w:rsidRPr="001368E0">
              <w:rPr>
                <w:color w:val="000000"/>
                <w:sz w:val="18"/>
                <w:szCs w:val="18"/>
                <w:lang w:val="en-GB"/>
              </w:rPr>
              <w:t>- Cross-border cooperation is hampered by an unstable political situation in some regions and/or by regional conflicts</w:t>
            </w:r>
          </w:p>
          <w:p w:rsidR="00EF16CC" w:rsidRPr="001368E0" w:rsidRDefault="00EF16CC" w:rsidP="001368E0">
            <w:pPr>
              <w:spacing w:after="20" w:line="240" w:lineRule="auto"/>
              <w:rPr>
                <w:rFonts w:eastAsia="Times New Roman"/>
                <w:color w:val="000000"/>
                <w:sz w:val="18"/>
                <w:szCs w:val="18"/>
                <w:lang w:val="en-GB"/>
              </w:rPr>
            </w:pPr>
          </w:p>
          <w:p w:rsidR="00D65763" w:rsidRPr="001368E0" w:rsidRDefault="004F588F" w:rsidP="001368E0">
            <w:pPr>
              <w:spacing w:after="20" w:line="240" w:lineRule="auto"/>
              <w:rPr>
                <w:rFonts w:eastAsia="Times New Roman"/>
                <w:color w:val="000000"/>
                <w:sz w:val="18"/>
                <w:szCs w:val="18"/>
                <w:lang w:val="en-GB"/>
              </w:rPr>
            </w:pPr>
            <w:r w:rsidRPr="001368E0">
              <w:rPr>
                <w:rFonts w:eastAsia="Times New Roman"/>
                <w:color w:val="000000"/>
                <w:sz w:val="18"/>
                <w:szCs w:val="18"/>
                <w:lang w:val="en-GB"/>
              </w:rPr>
              <w:t xml:space="preserve">- </w:t>
            </w:r>
            <w:r w:rsidR="005A4E8E" w:rsidRPr="001368E0">
              <w:rPr>
                <w:rFonts w:eastAsia="Times New Roman"/>
                <w:color w:val="000000"/>
                <w:sz w:val="18"/>
                <w:szCs w:val="18"/>
                <w:lang w:val="en-GB"/>
              </w:rPr>
              <w:t>ENI CBC new management and implementation modalities result in delays in programme start-up and implementation</w:t>
            </w:r>
          </w:p>
          <w:p w:rsidR="004F588F" w:rsidRPr="001368E0" w:rsidRDefault="004F588F" w:rsidP="001368E0">
            <w:pPr>
              <w:spacing w:after="20" w:line="240" w:lineRule="auto"/>
              <w:rPr>
                <w:rFonts w:eastAsia="Times New Roman"/>
                <w:color w:val="000000"/>
                <w:sz w:val="18"/>
                <w:szCs w:val="18"/>
                <w:lang w:val="en-GB"/>
              </w:rPr>
            </w:pPr>
          </w:p>
          <w:p w:rsidR="004F588F" w:rsidRPr="001368E0" w:rsidRDefault="004F588F" w:rsidP="001368E0">
            <w:pPr>
              <w:spacing w:after="20" w:line="240" w:lineRule="auto"/>
              <w:jc w:val="both"/>
              <w:rPr>
                <w:rFonts w:eastAsia="Times New Roman"/>
                <w:color w:val="000000"/>
                <w:sz w:val="18"/>
                <w:szCs w:val="18"/>
                <w:lang w:val="en-GB"/>
              </w:rPr>
            </w:pPr>
            <w:r w:rsidRPr="001368E0">
              <w:rPr>
                <w:rFonts w:eastAsia="Times New Roman"/>
                <w:color w:val="000000"/>
                <w:sz w:val="18"/>
                <w:szCs w:val="18"/>
                <w:lang w:val="en-GB"/>
              </w:rPr>
              <w:t xml:space="preserve">- </w:t>
            </w:r>
            <w:r w:rsidR="005A4E8E" w:rsidRPr="001368E0">
              <w:rPr>
                <w:rFonts w:eastAsia="Times New Roman"/>
                <w:color w:val="000000"/>
                <w:sz w:val="18"/>
                <w:szCs w:val="18"/>
                <w:lang w:val="en-GB"/>
              </w:rPr>
              <w:t>Decreasing interest from applicants in ENI CBC because of lengthy procedures for selection/contracting and grant payment</w:t>
            </w:r>
          </w:p>
          <w:p w:rsidR="004F588F" w:rsidRPr="001368E0" w:rsidRDefault="004F588F" w:rsidP="001368E0">
            <w:pPr>
              <w:spacing w:after="20" w:line="240" w:lineRule="auto"/>
              <w:jc w:val="both"/>
              <w:rPr>
                <w:rFonts w:eastAsia="Times New Roman"/>
                <w:color w:val="000000"/>
                <w:sz w:val="18"/>
                <w:szCs w:val="18"/>
                <w:lang w:val="en-GB"/>
              </w:rPr>
            </w:pPr>
          </w:p>
          <w:p w:rsidR="00D65763" w:rsidRPr="001368E0" w:rsidRDefault="004F588F" w:rsidP="001368E0">
            <w:pPr>
              <w:spacing w:after="20" w:line="240" w:lineRule="auto"/>
              <w:jc w:val="both"/>
              <w:rPr>
                <w:rFonts w:eastAsia="Times New Roman"/>
                <w:color w:val="000000"/>
                <w:sz w:val="18"/>
                <w:szCs w:val="18"/>
                <w:lang w:val="en-GB"/>
              </w:rPr>
            </w:pPr>
            <w:r w:rsidRPr="001368E0">
              <w:rPr>
                <w:rFonts w:eastAsia="Times New Roman"/>
                <w:color w:val="000000"/>
                <w:sz w:val="18"/>
                <w:szCs w:val="18"/>
                <w:lang w:val="en-GB"/>
              </w:rPr>
              <w:t xml:space="preserve">- </w:t>
            </w:r>
            <w:r w:rsidR="005A4E8E" w:rsidRPr="001368E0">
              <w:rPr>
                <w:rFonts w:eastAsia="Times New Roman"/>
                <w:color w:val="000000"/>
                <w:sz w:val="18"/>
                <w:szCs w:val="18"/>
                <w:lang w:val="en-GB"/>
              </w:rPr>
              <w:t>Difficulties in finding partners limits countries balanced participation in the programme</w:t>
            </w:r>
          </w:p>
          <w:p w:rsidR="004F588F" w:rsidRPr="001368E0" w:rsidRDefault="004F588F" w:rsidP="001368E0">
            <w:pPr>
              <w:spacing w:after="20" w:line="240" w:lineRule="auto"/>
              <w:jc w:val="both"/>
              <w:rPr>
                <w:rFonts w:eastAsia="Times New Roman"/>
                <w:color w:val="000000"/>
                <w:sz w:val="18"/>
                <w:szCs w:val="18"/>
                <w:lang w:val="en-GB"/>
              </w:rPr>
            </w:pPr>
          </w:p>
          <w:p w:rsidR="005A4E8E" w:rsidRPr="001368E0" w:rsidRDefault="004F588F" w:rsidP="001368E0">
            <w:pPr>
              <w:spacing w:after="20" w:line="240" w:lineRule="auto"/>
              <w:jc w:val="both"/>
              <w:rPr>
                <w:rFonts w:eastAsia="Times New Roman"/>
                <w:color w:val="000000"/>
                <w:sz w:val="18"/>
                <w:szCs w:val="18"/>
                <w:lang w:val="en-GB"/>
              </w:rPr>
            </w:pPr>
            <w:r w:rsidRPr="001368E0">
              <w:rPr>
                <w:rFonts w:eastAsia="Times New Roman"/>
                <w:color w:val="000000"/>
                <w:sz w:val="18"/>
                <w:szCs w:val="18"/>
                <w:lang w:val="en-GB"/>
              </w:rPr>
              <w:t xml:space="preserve">- </w:t>
            </w:r>
            <w:r w:rsidR="005A4E8E" w:rsidRPr="001368E0">
              <w:rPr>
                <w:rFonts w:eastAsia="Times New Roman"/>
                <w:color w:val="000000"/>
                <w:sz w:val="18"/>
                <w:szCs w:val="18"/>
                <w:lang w:val="en-GB"/>
              </w:rPr>
              <w:t xml:space="preserve">Limited capacity </w:t>
            </w:r>
            <w:r w:rsidR="00607D00" w:rsidRPr="001368E0">
              <w:rPr>
                <w:rFonts w:eastAsia="Times New Roman"/>
                <w:color w:val="000000"/>
                <w:sz w:val="18"/>
                <w:szCs w:val="18"/>
                <w:lang w:val="en-GB"/>
              </w:rPr>
              <w:t xml:space="preserve">(including financial) </w:t>
            </w:r>
            <w:r w:rsidR="005A4E8E" w:rsidRPr="001368E0">
              <w:rPr>
                <w:rFonts w:eastAsia="Times New Roman"/>
                <w:color w:val="000000"/>
                <w:sz w:val="18"/>
                <w:szCs w:val="18"/>
                <w:lang w:val="en-GB"/>
              </w:rPr>
              <w:t>of project partners hampers project implementation</w:t>
            </w:r>
          </w:p>
          <w:p w:rsidR="004F588F" w:rsidRPr="001368E0" w:rsidRDefault="004F588F" w:rsidP="001368E0">
            <w:pPr>
              <w:spacing w:after="20" w:line="240" w:lineRule="auto"/>
              <w:jc w:val="both"/>
              <w:rPr>
                <w:rFonts w:eastAsia="Times New Roman"/>
                <w:color w:val="000000"/>
                <w:sz w:val="18"/>
                <w:szCs w:val="18"/>
                <w:lang w:val="en-GB"/>
              </w:rPr>
            </w:pPr>
          </w:p>
          <w:p w:rsidR="00AE79B7" w:rsidRPr="001368E0" w:rsidRDefault="004F588F" w:rsidP="001368E0">
            <w:pPr>
              <w:spacing w:after="20" w:line="240" w:lineRule="auto"/>
              <w:jc w:val="both"/>
              <w:rPr>
                <w:rFonts w:eastAsia="Times New Roman"/>
                <w:color w:val="000000"/>
                <w:sz w:val="18"/>
                <w:szCs w:val="18"/>
                <w:lang w:val="en-GB"/>
              </w:rPr>
            </w:pPr>
            <w:r w:rsidRPr="001368E0">
              <w:rPr>
                <w:rFonts w:eastAsia="Times New Roman"/>
                <w:color w:val="000000"/>
                <w:sz w:val="18"/>
                <w:szCs w:val="18"/>
                <w:lang w:val="en-GB"/>
              </w:rPr>
              <w:t xml:space="preserve">- </w:t>
            </w:r>
            <w:r w:rsidR="005A4E8E" w:rsidRPr="001368E0">
              <w:rPr>
                <w:rFonts w:eastAsia="Times New Roman"/>
                <w:color w:val="000000"/>
                <w:sz w:val="18"/>
                <w:szCs w:val="18"/>
                <w:lang w:val="en-GB"/>
              </w:rPr>
              <w:t>Projects partners face implementation difficulties because of slow grant payment procedures</w:t>
            </w:r>
          </w:p>
          <w:p w:rsidR="00AE79B7" w:rsidRPr="001368E0" w:rsidRDefault="00AE79B7" w:rsidP="001368E0">
            <w:pPr>
              <w:spacing w:after="20" w:line="240" w:lineRule="auto"/>
              <w:jc w:val="both"/>
              <w:rPr>
                <w:rFonts w:eastAsia="Times New Roman"/>
                <w:color w:val="000000"/>
                <w:sz w:val="18"/>
                <w:szCs w:val="18"/>
                <w:lang w:val="en-GB"/>
              </w:rPr>
            </w:pPr>
          </w:p>
          <w:p w:rsidR="005A4E8E" w:rsidRPr="001368E0" w:rsidRDefault="00AE79B7" w:rsidP="001368E0">
            <w:pPr>
              <w:spacing w:after="20" w:line="240" w:lineRule="auto"/>
              <w:jc w:val="both"/>
              <w:rPr>
                <w:rFonts w:eastAsia="Times New Roman"/>
                <w:color w:val="000000"/>
                <w:sz w:val="18"/>
                <w:szCs w:val="18"/>
                <w:lang w:val="en-GB"/>
              </w:rPr>
            </w:pPr>
            <w:r w:rsidRPr="001368E0">
              <w:rPr>
                <w:rFonts w:eastAsia="Times New Roman"/>
                <w:color w:val="000000"/>
                <w:sz w:val="18"/>
                <w:szCs w:val="18"/>
                <w:lang w:val="en-GB"/>
              </w:rPr>
              <w:t xml:space="preserve">- </w:t>
            </w:r>
            <w:r w:rsidR="005A4E8E" w:rsidRPr="001368E0">
              <w:rPr>
                <w:rFonts w:eastAsia="Times New Roman"/>
                <w:color w:val="000000"/>
                <w:sz w:val="18"/>
                <w:szCs w:val="18"/>
                <w:lang w:val="en-GB"/>
              </w:rPr>
              <w:t>Financial losses at programme</w:t>
            </w:r>
            <w:r w:rsidR="00607D00" w:rsidRPr="001368E0">
              <w:rPr>
                <w:rFonts w:eastAsia="Times New Roman"/>
                <w:color w:val="000000"/>
                <w:sz w:val="18"/>
                <w:szCs w:val="18"/>
                <w:lang w:val="en-GB"/>
              </w:rPr>
              <w:t xml:space="preserve"> level resulting from fraud</w:t>
            </w:r>
            <w:r w:rsidR="005A4E8E" w:rsidRPr="001368E0">
              <w:rPr>
                <w:rFonts w:eastAsia="Times New Roman"/>
                <w:color w:val="000000"/>
                <w:sz w:val="18"/>
                <w:szCs w:val="18"/>
                <w:lang w:val="en-GB"/>
              </w:rPr>
              <w:t xml:space="preserve"> or financial mismanagement</w:t>
            </w:r>
          </w:p>
          <w:p w:rsidR="00AE79B7" w:rsidRPr="001368E0" w:rsidRDefault="00AE79B7" w:rsidP="001368E0">
            <w:pPr>
              <w:spacing w:after="0" w:line="240" w:lineRule="auto"/>
              <w:rPr>
                <w:color w:val="000000"/>
                <w:lang w:val="en-GB"/>
              </w:rPr>
            </w:pPr>
          </w:p>
          <w:p w:rsidR="00AE79B7" w:rsidRPr="001368E0" w:rsidRDefault="00AE79B7" w:rsidP="001368E0">
            <w:pPr>
              <w:spacing w:after="20" w:line="240" w:lineRule="auto"/>
              <w:rPr>
                <w:rFonts w:eastAsia="Times New Roman"/>
                <w:color w:val="000000"/>
                <w:sz w:val="18"/>
                <w:szCs w:val="18"/>
                <w:lang w:val="en-GB"/>
              </w:rPr>
            </w:pPr>
          </w:p>
        </w:tc>
      </w:tr>
      <w:tr w:rsidR="00D65763" w:rsidRPr="001368E0" w:rsidTr="001368E0">
        <w:trPr>
          <w:trHeight w:val="928"/>
        </w:trPr>
        <w:tc>
          <w:tcPr>
            <w:tcW w:w="1135" w:type="dxa"/>
            <w:vMerge/>
            <w:shd w:val="clear" w:color="auto" w:fill="auto"/>
            <w:noWrap/>
          </w:tcPr>
          <w:p w:rsidR="00D65763" w:rsidRPr="001368E0" w:rsidRDefault="00D65763" w:rsidP="001368E0">
            <w:pPr>
              <w:spacing w:after="20" w:line="240" w:lineRule="auto"/>
              <w:jc w:val="right"/>
              <w:rPr>
                <w:sz w:val="18"/>
                <w:szCs w:val="18"/>
                <w:lang w:val="en-GB"/>
              </w:rPr>
            </w:pPr>
          </w:p>
        </w:tc>
        <w:tc>
          <w:tcPr>
            <w:tcW w:w="7053" w:type="dxa"/>
            <w:vMerge/>
            <w:shd w:val="clear" w:color="auto" w:fill="auto"/>
          </w:tcPr>
          <w:p w:rsidR="00D65763" w:rsidRPr="001368E0" w:rsidRDefault="00D65763" w:rsidP="001368E0">
            <w:pPr>
              <w:spacing w:after="20" w:line="240" w:lineRule="auto"/>
              <w:rPr>
                <w:color w:val="000000"/>
                <w:sz w:val="18"/>
                <w:szCs w:val="18"/>
                <w:lang w:val="en-GB"/>
              </w:rPr>
            </w:pPr>
          </w:p>
        </w:tc>
        <w:tc>
          <w:tcPr>
            <w:tcW w:w="2977" w:type="dxa"/>
            <w:shd w:val="clear" w:color="auto" w:fill="auto"/>
            <w:noWrap/>
          </w:tcPr>
          <w:p w:rsidR="00D65763" w:rsidRPr="001368E0" w:rsidRDefault="00D65763" w:rsidP="001368E0">
            <w:pPr>
              <w:widowControl w:val="0"/>
              <w:autoSpaceDE w:val="0"/>
              <w:autoSpaceDN w:val="0"/>
              <w:adjustRightInd w:val="0"/>
              <w:spacing w:after="20" w:line="240" w:lineRule="auto"/>
              <w:jc w:val="both"/>
              <w:rPr>
                <w:color w:val="000000"/>
                <w:sz w:val="18"/>
                <w:szCs w:val="18"/>
                <w:lang w:val="en-GB"/>
              </w:rPr>
            </w:pPr>
            <w:r w:rsidRPr="001368E0">
              <w:rPr>
                <w:color w:val="000000"/>
                <w:sz w:val="18"/>
                <w:szCs w:val="18"/>
                <w:lang w:val="en-GB"/>
              </w:rPr>
              <w:t xml:space="preserve">O1.1.2 - Number of crossborder tourism and cultural events organised using ENI CBC support </w:t>
            </w:r>
          </w:p>
        </w:tc>
        <w:tc>
          <w:tcPr>
            <w:tcW w:w="1276" w:type="dxa"/>
            <w:shd w:val="clear" w:color="auto" w:fill="auto"/>
          </w:tcPr>
          <w:p w:rsidR="00D65763" w:rsidRPr="001368E0" w:rsidRDefault="00D65763" w:rsidP="001368E0">
            <w:pPr>
              <w:widowControl w:val="0"/>
              <w:autoSpaceDE w:val="0"/>
              <w:autoSpaceDN w:val="0"/>
              <w:adjustRightInd w:val="0"/>
              <w:spacing w:after="20" w:line="240" w:lineRule="auto"/>
              <w:rPr>
                <w:color w:val="000000"/>
                <w:sz w:val="18"/>
                <w:szCs w:val="18"/>
                <w:lang w:val="en-GB"/>
              </w:rPr>
            </w:pPr>
            <w:r w:rsidRPr="001368E0">
              <w:rPr>
                <w:bCs/>
                <w:iCs/>
                <w:color w:val="000000"/>
                <w:sz w:val="18"/>
                <w:szCs w:val="18"/>
              </w:rPr>
              <w:t>Project reports</w:t>
            </w:r>
          </w:p>
        </w:tc>
        <w:tc>
          <w:tcPr>
            <w:tcW w:w="2302" w:type="dxa"/>
            <w:vMerge/>
            <w:shd w:val="clear" w:color="auto" w:fill="auto"/>
          </w:tcPr>
          <w:p w:rsidR="00D65763" w:rsidRPr="001368E0" w:rsidRDefault="00D65763" w:rsidP="001368E0">
            <w:pPr>
              <w:widowControl w:val="0"/>
              <w:autoSpaceDE w:val="0"/>
              <w:autoSpaceDN w:val="0"/>
              <w:adjustRightInd w:val="0"/>
              <w:spacing w:after="20" w:line="240" w:lineRule="auto"/>
              <w:rPr>
                <w:color w:val="000000"/>
                <w:sz w:val="18"/>
                <w:szCs w:val="18"/>
                <w:lang w:val="en-GB"/>
              </w:rPr>
            </w:pPr>
          </w:p>
        </w:tc>
      </w:tr>
      <w:tr w:rsidR="00D65763" w:rsidRPr="001368E0" w:rsidTr="001368E0">
        <w:trPr>
          <w:trHeight w:val="709"/>
        </w:trPr>
        <w:tc>
          <w:tcPr>
            <w:tcW w:w="1135" w:type="dxa"/>
            <w:vMerge/>
            <w:shd w:val="clear" w:color="auto" w:fill="auto"/>
            <w:noWrap/>
          </w:tcPr>
          <w:p w:rsidR="00D65763" w:rsidRPr="001368E0" w:rsidRDefault="00D65763" w:rsidP="001368E0">
            <w:pPr>
              <w:spacing w:after="20" w:line="240" w:lineRule="auto"/>
              <w:jc w:val="right"/>
              <w:rPr>
                <w:sz w:val="18"/>
                <w:szCs w:val="18"/>
                <w:lang w:val="en-GB"/>
              </w:rPr>
            </w:pPr>
          </w:p>
        </w:tc>
        <w:tc>
          <w:tcPr>
            <w:tcW w:w="7053" w:type="dxa"/>
            <w:vMerge/>
            <w:shd w:val="clear" w:color="auto" w:fill="auto"/>
          </w:tcPr>
          <w:p w:rsidR="00D65763" w:rsidRPr="001368E0" w:rsidRDefault="00D65763" w:rsidP="001368E0">
            <w:pPr>
              <w:spacing w:after="20" w:line="240" w:lineRule="auto"/>
              <w:rPr>
                <w:color w:val="000000"/>
                <w:sz w:val="18"/>
                <w:szCs w:val="18"/>
                <w:lang w:val="en-GB"/>
              </w:rPr>
            </w:pPr>
          </w:p>
        </w:tc>
        <w:tc>
          <w:tcPr>
            <w:tcW w:w="2977" w:type="dxa"/>
            <w:shd w:val="clear" w:color="auto" w:fill="auto"/>
            <w:noWrap/>
          </w:tcPr>
          <w:p w:rsidR="00D65763" w:rsidRPr="001368E0" w:rsidRDefault="00D65763" w:rsidP="001368E0">
            <w:pPr>
              <w:spacing w:after="20" w:line="240" w:lineRule="auto"/>
              <w:jc w:val="both"/>
              <w:rPr>
                <w:b/>
                <w:bCs/>
                <w:i/>
                <w:iCs/>
                <w:color w:val="000000"/>
                <w:sz w:val="18"/>
                <w:szCs w:val="18"/>
                <w:lang w:val="en-GB"/>
              </w:rPr>
            </w:pPr>
            <w:r w:rsidRPr="001368E0">
              <w:rPr>
                <w:color w:val="000000"/>
                <w:sz w:val="18"/>
                <w:szCs w:val="18"/>
                <w:lang w:val="en-GB"/>
              </w:rPr>
              <w:t xml:space="preserve">O1.1.3 - Number of improved cultural and historical sites as a direct consequence of programme support </w:t>
            </w:r>
            <w:r w:rsidRPr="001368E0">
              <w:rPr>
                <w:i/>
                <w:sz w:val="18"/>
                <w:szCs w:val="18"/>
                <w:lang w:val="en-GB"/>
              </w:rPr>
              <w:t>(COI 7)</w:t>
            </w:r>
          </w:p>
        </w:tc>
        <w:tc>
          <w:tcPr>
            <w:tcW w:w="1276" w:type="dxa"/>
            <w:shd w:val="clear" w:color="auto" w:fill="auto"/>
          </w:tcPr>
          <w:p w:rsidR="00D65763" w:rsidRPr="001368E0" w:rsidRDefault="00D65763" w:rsidP="001368E0">
            <w:pPr>
              <w:spacing w:after="20" w:line="240" w:lineRule="auto"/>
              <w:rPr>
                <w:color w:val="000000"/>
                <w:sz w:val="18"/>
                <w:szCs w:val="18"/>
                <w:lang w:val="en-GB"/>
              </w:rPr>
            </w:pPr>
            <w:r w:rsidRPr="001368E0">
              <w:rPr>
                <w:bCs/>
                <w:iCs/>
                <w:color w:val="000000"/>
                <w:sz w:val="18"/>
                <w:szCs w:val="18"/>
              </w:rPr>
              <w:t>Project reports</w:t>
            </w:r>
          </w:p>
        </w:tc>
        <w:tc>
          <w:tcPr>
            <w:tcW w:w="2302" w:type="dxa"/>
            <w:vMerge/>
            <w:shd w:val="clear" w:color="auto" w:fill="auto"/>
          </w:tcPr>
          <w:p w:rsidR="00D65763" w:rsidRPr="001368E0" w:rsidRDefault="00D65763" w:rsidP="001368E0">
            <w:pPr>
              <w:spacing w:after="20" w:line="240" w:lineRule="auto"/>
              <w:rPr>
                <w:color w:val="000000"/>
                <w:sz w:val="18"/>
                <w:szCs w:val="18"/>
                <w:lang w:val="en-GB"/>
              </w:rPr>
            </w:pPr>
          </w:p>
        </w:tc>
      </w:tr>
      <w:tr w:rsidR="00D65763" w:rsidRPr="001368E0" w:rsidTr="001368E0">
        <w:trPr>
          <w:trHeight w:val="972"/>
        </w:trPr>
        <w:tc>
          <w:tcPr>
            <w:tcW w:w="1135" w:type="dxa"/>
            <w:vMerge/>
            <w:shd w:val="clear" w:color="auto" w:fill="auto"/>
            <w:noWrap/>
            <w:textDirection w:val="btLr"/>
          </w:tcPr>
          <w:p w:rsidR="00D65763" w:rsidRPr="001368E0" w:rsidRDefault="00D65763" w:rsidP="001368E0">
            <w:pPr>
              <w:spacing w:after="20" w:line="240" w:lineRule="auto"/>
              <w:ind w:left="113" w:right="113"/>
              <w:jc w:val="right"/>
              <w:rPr>
                <w:sz w:val="18"/>
                <w:szCs w:val="18"/>
                <w:lang w:val="en-GB"/>
              </w:rPr>
            </w:pPr>
          </w:p>
        </w:tc>
        <w:tc>
          <w:tcPr>
            <w:tcW w:w="7053" w:type="dxa"/>
            <w:vMerge w:val="restart"/>
            <w:shd w:val="clear" w:color="auto" w:fill="auto"/>
          </w:tcPr>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1.2.a Promote international trade links, sectoral and cross-sectoral networks and partnerships within BSB, support internationalisation of exchanges.</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1.2.b. Strengthen internet connectivity, cross-border business information exchange systems, market and logistics information with greater use of ICT.</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 xml:space="preserve">1.2.c. Exchange good practice in modern and innovative marketing and trade strategies, electronic marketing tools, develop joint strategies. </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 xml:space="preserve">1.2.d. Support innovation, logistic and joint development of good practices in producing quality agricultural products. </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1.2.e. Introduction of innovative technologies for sectoral development, including exchange of experience and small-scale investments in pilot projects.</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1.2.f. Exchange of good practice on the practical introduction of standards (e.g. food safety).</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1.2.g. Joint actions to support productive use of migrant remittances in the modernisation of agriculture, aquaculture and food industry.</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1.2.h. Support entrepreneurial culture through teaching and training for young people working in agricultural and connected sectors; share good practices in this field.</w:t>
            </w:r>
          </w:p>
        </w:tc>
        <w:tc>
          <w:tcPr>
            <w:tcW w:w="2977" w:type="dxa"/>
            <w:shd w:val="clear" w:color="auto" w:fill="auto"/>
            <w:noWrap/>
          </w:tcPr>
          <w:p w:rsidR="00D65763" w:rsidRPr="001368E0" w:rsidRDefault="00D65763" w:rsidP="001368E0">
            <w:pPr>
              <w:widowControl w:val="0"/>
              <w:autoSpaceDE w:val="0"/>
              <w:autoSpaceDN w:val="0"/>
              <w:adjustRightInd w:val="0"/>
              <w:spacing w:after="20"/>
              <w:jc w:val="both"/>
              <w:rPr>
                <w:sz w:val="18"/>
                <w:szCs w:val="18"/>
                <w:lang w:val="en-GB"/>
              </w:rPr>
            </w:pPr>
            <w:r w:rsidRPr="001368E0">
              <w:rPr>
                <w:color w:val="000000"/>
                <w:sz w:val="18"/>
                <w:szCs w:val="18"/>
                <w:lang w:val="en-GB"/>
              </w:rPr>
              <w:t xml:space="preserve">O1.2.1 - Number of enterprises participating in </w:t>
            </w:r>
            <w:r w:rsidRPr="001368E0">
              <w:rPr>
                <w:sz w:val="18"/>
                <w:szCs w:val="18"/>
                <w:lang w:val="en-GB"/>
              </w:rPr>
              <w:t>crossborder</w:t>
            </w:r>
            <w:r w:rsidRPr="001368E0">
              <w:rPr>
                <w:color w:val="000000"/>
                <w:sz w:val="18"/>
                <w:szCs w:val="18"/>
                <w:lang w:val="en-GB"/>
              </w:rPr>
              <w:t xml:space="preserve"> agricultural or agro-industrial business events </w:t>
            </w:r>
            <w:r w:rsidRPr="001368E0">
              <w:rPr>
                <w:i/>
                <w:sz w:val="18"/>
                <w:szCs w:val="18"/>
                <w:lang w:val="en-GB"/>
              </w:rPr>
              <w:t>(COI3)</w:t>
            </w:r>
          </w:p>
        </w:tc>
        <w:tc>
          <w:tcPr>
            <w:tcW w:w="1276" w:type="dxa"/>
            <w:shd w:val="clear" w:color="auto" w:fill="auto"/>
          </w:tcPr>
          <w:p w:rsidR="00D65763" w:rsidRPr="001368E0" w:rsidRDefault="00D65763" w:rsidP="001368E0">
            <w:pPr>
              <w:widowControl w:val="0"/>
              <w:autoSpaceDE w:val="0"/>
              <w:autoSpaceDN w:val="0"/>
              <w:adjustRightInd w:val="0"/>
              <w:spacing w:after="20" w:line="240" w:lineRule="auto"/>
              <w:rPr>
                <w:color w:val="000000"/>
                <w:sz w:val="18"/>
                <w:szCs w:val="18"/>
                <w:lang w:val="en-GB"/>
              </w:rPr>
            </w:pPr>
            <w:r w:rsidRPr="001368E0">
              <w:rPr>
                <w:bCs/>
                <w:iCs/>
                <w:color w:val="000000"/>
                <w:sz w:val="18"/>
                <w:szCs w:val="18"/>
              </w:rPr>
              <w:t>Project reports</w:t>
            </w:r>
          </w:p>
        </w:tc>
        <w:tc>
          <w:tcPr>
            <w:tcW w:w="2302" w:type="dxa"/>
            <w:vMerge/>
            <w:shd w:val="clear" w:color="auto" w:fill="auto"/>
          </w:tcPr>
          <w:p w:rsidR="00D65763" w:rsidRPr="001368E0" w:rsidRDefault="00D65763" w:rsidP="001368E0">
            <w:pPr>
              <w:widowControl w:val="0"/>
              <w:autoSpaceDE w:val="0"/>
              <w:autoSpaceDN w:val="0"/>
              <w:adjustRightInd w:val="0"/>
              <w:spacing w:after="20" w:line="240" w:lineRule="auto"/>
              <w:rPr>
                <w:color w:val="000000"/>
                <w:sz w:val="18"/>
                <w:szCs w:val="18"/>
                <w:lang w:val="en-GB"/>
              </w:rPr>
            </w:pPr>
          </w:p>
        </w:tc>
      </w:tr>
      <w:tr w:rsidR="00D65763" w:rsidRPr="001368E0" w:rsidTr="001368E0">
        <w:trPr>
          <w:trHeight w:val="970"/>
        </w:trPr>
        <w:tc>
          <w:tcPr>
            <w:tcW w:w="1135" w:type="dxa"/>
            <w:vMerge/>
            <w:shd w:val="clear" w:color="auto" w:fill="auto"/>
            <w:noWrap/>
            <w:textDirection w:val="btLr"/>
          </w:tcPr>
          <w:p w:rsidR="00D65763" w:rsidRPr="001368E0" w:rsidRDefault="00D65763" w:rsidP="001368E0">
            <w:pPr>
              <w:spacing w:after="20" w:line="240" w:lineRule="auto"/>
              <w:ind w:left="113" w:right="113"/>
              <w:jc w:val="right"/>
              <w:rPr>
                <w:sz w:val="18"/>
                <w:szCs w:val="18"/>
                <w:lang w:val="en-GB"/>
              </w:rPr>
            </w:pPr>
          </w:p>
        </w:tc>
        <w:tc>
          <w:tcPr>
            <w:tcW w:w="7053" w:type="dxa"/>
            <w:vMerge/>
            <w:shd w:val="clear" w:color="auto" w:fill="auto"/>
          </w:tcPr>
          <w:p w:rsidR="00D65763" w:rsidRPr="001368E0" w:rsidRDefault="00D65763" w:rsidP="001368E0">
            <w:pPr>
              <w:spacing w:after="20" w:line="240" w:lineRule="auto"/>
              <w:rPr>
                <w:color w:val="000000"/>
                <w:sz w:val="18"/>
                <w:szCs w:val="18"/>
                <w:lang w:val="en-GB"/>
              </w:rPr>
            </w:pPr>
          </w:p>
        </w:tc>
        <w:tc>
          <w:tcPr>
            <w:tcW w:w="2977" w:type="dxa"/>
            <w:shd w:val="clear" w:color="auto" w:fill="auto"/>
            <w:noWrap/>
          </w:tcPr>
          <w:p w:rsidR="00D65763" w:rsidRPr="001368E0" w:rsidRDefault="00D65763" w:rsidP="001368E0">
            <w:pPr>
              <w:spacing w:after="20"/>
              <w:jc w:val="both"/>
              <w:rPr>
                <w:b/>
                <w:bCs/>
                <w:i/>
                <w:iCs/>
                <w:sz w:val="18"/>
                <w:szCs w:val="18"/>
                <w:lang w:val="en-GB"/>
              </w:rPr>
            </w:pPr>
            <w:r w:rsidRPr="001368E0">
              <w:rPr>
                <w:color w:val="000000"/>
                <w:sz w:val="18"/>
                <w:szCs w:val="18"/>
                <w:lang w:val="en-GB"/>
              </w:rPr>
              <w:t xml:space="preserve">O1.2.2 - Number of additional ICT based tools developed supporting cross-border cooperation </w:t>
            </w:r>
            <w:r w:rsidRPr="001368E0">
              <w:rPr>
                <w:i/>
                <w:sz w:val="18"/>
                <w:szCs w:val="18"/>
                <w:lang w:val="en-GB"/>
              </w:rPr>
              <w:t>(COI29)</w:t>
            </w:r>
            <w:r w:rsidRPr="001368E0">
              <w:rPr>
                <w:color w:val="000000"/>
                <w:sz w:val="18"/>
                <w:szCs w:val="18"/>
                <w:lang w:val="en-GB"/>
              </w:rPr>
              <w:t xml:space="preserve"> increasing cross-border trade opportunities for agricultural and agro-industrial products</w:t>
            </w:r>
            <w:r w:rsidRPr="001368E0">
              <w:rPr>
                <w:i/>
                <w:color w:val="000000"/>
                <w:sz w:val="18"/>
                <w:szCs w:val="18"/>
                <w:lang w:val="en-GB"/>
              </w:rPr>
              <w:t xml:space="preserve">  </w:t>
            </w:r>
          </w:p>
        </w:tc>
        <w:tc>
          <w:tcPr>
            <w:tcW w:w="1276" w:type="dxa"/>
            <w:shd w:val="clear" w:color="auto" w:fill="auto"/>
          </w:tcPr>
          <w:p w:rsidR="00D65763" w:rsidRPr="001368E0" w:rsidRDefault="00D65763" w:rsidP="001368E0">
            <w:pPr>
              <w:spacing w:after="20" w:line="240" w:lineRule="auto"/>
              <w:rPr>
                <w:color w:val="000000"/>
                <w:sz w:val="18"/>
                <w:szCs w:val="18"/>
                <w:lang w:val="en-GB"/>
              </w:rPr>
            </w:pPr>
            <w:r w:rsidRPr="001368E0">
              <w:rPr>
                <w:bCs/>
                <w:iCs/>
                <w:color w:val="000000"/>
                <w:sz w:val="18"/>
                <w:szCs w:val="18"/>
              </w:rPr>
              <w:t>Project reports</w:t>
            </w:r>
          </w:p>
        </w:tc>
        <w:tc>
          <w:tcPr>
            <w:tcW w:w="2302" w:type="dxa"/>
            <w:vMerge/>
            <w:shd w:val="clear" w:color="auto" w:fill="auto"/>
          </w:tcPr>
          <w:p w:rsidR="00D65763" w:rsidRPr="001368E0" w:rsidRDefault="00D65763" w:rsidP="001368E0">
            <w:pPr>
              <w:spacing w:after="20" w:line="240" w:lineRule="auto"/>
              <w:rPr>
                <w:color w:val="000000"/>
                <w:sz w:val="18"/>
                <w:szCs w:val="18"/>
                <w:lang w:val="en-GB"/>
              </w:rPr>
            </w:pPr>
          </w:p>
        </w:tc>
      </w:tr>
      <w:tr w:rsidR="00D65763" w:rsidRPr="001368E0" w:rsidTr="001368E0">
        <w:trPr>
          <w:trHeight w:val="970"/>
        </w:trPr>
        <w:tc>
          <w:tcPr>
            <w:tcW w:w="1135" w:type="dxa"/>
            <w:vMerge/>
            <w:shd w:val="clear" w:color="auto" w:fill="auto"/>
            <w:noWrap/>
            <w:textDirection w:val="btLr"/>
          </w:tcPr>
          <w:p w:rsidR="00D65763" w:rsidRPr="001368E0" w:rsidRDefault="00D65763" w:rsidP="001368E0">
            <w:pPr>
              <w:spacing w:after="20" w:line="240" w:lineRule="auto"/>
              <w:ind w:left="113" w:right="113"/>
              <w:jc w:val="right"/>
              <w:rPr>
                <w:sz w:val="18"/>
                <w:szCs w:val="18"/>
                <w:lang w:val="en-GB"/>
              </w:rPr>
            </w:pPr>
          </w:p>
        </w:tc>
        <w:tc>
          <w:tcPr>
            <w:tcW w:w="7053" w:type="dxa"/>
            <w:vMerge/>
            <w:shd w:val="clear" w:color="auto" w:fill="auto"/>
          </w:tcPr>
          <w:p w:rsidR="00D65763" w:rsidRPr="001368E0" w:rsidRDefault="00D65763" w:rsidP="001368E0">
            <w:pPr>
              <w:spacing w:after="20" w:line="240" w:lineRule="auto"/>
              <w:rPr>
                <w:color w:val="000000"/>
                <w:sz w:val="18"/>
                <w:szCs w:val="18"/>
                <w:lang w:val="en-GB"/>
              </w:rPr>
            </w:pPr>
          </w:p>
        </w:tc>
        <w:tc>
          <w:tcPr>
            <w:tcW w:w="2977" w:type="dxa"/>
            <w:shd w:val="clear" w:color="auto" w:fill="auto"/>
            <w:noWrap/>
          </w:tcPr>
          <w:p w:rsidR="00D65763" w:rsidRPr="001368E0" w:rsidRDefault="00D65763" w:rsidP="001368E0">
            <w:pPr>
              <w:spacing w:after="20"/>
              <w:jc w:val="both"/>
              <w:rPr>
                <w:b/>
                <w:bCs/>
                <w:i/>
                <w:iCs/>
                <w:sz w:val="18"/>
                <w:szCs w:val="18"/>
                <w:lang w:val="en-GB"/>
              </w:rPr>
            </w:pPr>
            <w:r w:rsidRPr="001368E0">
              <w:rPr>
                <w:color w:val="000000"/>
                <w:sz w:val="18"/>
                <w:szCs w:val="18"/>
                <w:lang w:val="en-GB"/>
              </w:rPr>
              <w:t xml:space="preserve">O1.2.3 - Number of business development organisations receiving support </w:t>
            </w:r>
            <w:r w:rsidRPr="001368E0">
              <w:rPr>
                <w:i/>
                <w:sz w:val="18"/>
                <w:szCs w:val="18"/>
                <w:lang w:val="en-GB"/>
              </w:rPr>
              <w:t>(COI1)</w:t>
            </w:r>
            <w:r w:rsidRPr="001368E0">
              <w:rPr>
                <w:color w:val="000000"/>
                <w:sz w:val="18"/>
                <w:szCs w:val="18"/>
                <w:lang w:val="en-GB"/>
              </w:rPr>
              <w:t xml:space="preserve"> to promote modernisation in the agricultural or connected sectors </w:t>
            </w:r>
          </w:p>
        </w:tc>
        <w:tc>
          <w:tcPr>
            <w:tcW w:w="1276" w:type="dxa"/>
            <w:shd w:val="clear" w:color="auto" w:fill="auto"/>
          </w:tcPr>
          <w:p w:rsidR="00D65763" w:rsidRPr="001368E0" w:rsidRDefault="00A571B2" w:rsidP="001368E0">
            <w:pPr>
              <w:spacing w:after="20" w:line="240" w:lineRule="auto"/>
              <w:rPr>
                <w:color w:val="000000"/>
                <w:sz w:val="18"/>
                <w:szCs w:val="18"/>
                <w:lang w:val="en-GB"/>
              </w:rPr>
            </w:pPr>
            <w:r w:rsidRPr="001368E0">
              <w:rPr>
                <w:bCs/>
                <w:iCs/>
                <w:color w:val="000000"/>
                <w:sz w:val="18"/>
                <w:szCs w:val="18"/>
              </w:rPr>
              <w:t>Programme Management and Information System (MIS)</w:t>
            </w:r>
          </w:p>
        </w:tc>
        <w:tc>
          <w:tcPr>
            <w:tcW w:w="2302" w:type="dxa"/>
            <w:vMerge/>
            <w:shd w:val="clear" w:color="auto" w:fill="auto"/>
          </w:tcPr>
          <w:p w:rsidR="00D65763" w:rsidRPr="001368E0" w:rsidRDefault="00D65763" w:rsidP="001368E0">
            <w:pPr>
              <w:spacing w:after="20" w:line="240" w:lineRule="auto"/>
              <w:rPr>
                <w:color w:val="000000"/>
                <w:sz w:val="18"/>
                <w:szCs w:val="18"/>
                <w:lang w:val="en-GB"/>
              </w:rPr>
            </w:pPr>
          </w:p>
        </w:tc>
      </w:tr>
      <w:tr w:rsidR="00D65763" w:rsidRPr="001368E0" w:rsidTr="001368E0">
        <w:trPr>
          <w:trHeight w:val="896"/>
        </w:trPr>
        <w:tc>
          <w:tcPr>
            <w:tcW w:w="1135" w:type="dxa"/>
            <w:vMerge/>
            <w:shd w:val="clear" w:color="auto" w:fill="auto"/>
            <w:noWrap/>
            <w:textDirection w:val="btLr"/>
          </w:tcPr>
          <w:p w:rsidR="00D65763" w:rsidRPr="001368E0" w:rsidRDefault="00D65763" w:rsidP="001368E0">
            <w:pPr>
              <w:spacing w:after="20" w:line="240" w:lineRule="auto"/>
              <w:ind w:left="113" w:right="113"/>
              <w:jc w:val="right"/>
              <w:rPr>
                <w:sz w:val="18"/>
                <w:szCs w:val="18"/>
                <w:lang w:val="en-GB"/>
              </w:rPr>
            </w:pPr>
          </w:p>
        </w:tc>
        <w:tc>
          <w:tcPr>
            <w:tcW w:w="7053" w:type="dxa"/>
            <w:vMerge w:val="restart"/>
            <w:shd w:val="clear" w:color="auto" w:fill="auto"/>
          </w:tcPr>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 xml:space="preserve">2.1.a. Reinforce compatible cross-border monitoring and information systems to prevent and control transboundary pollution. </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2.1.b. Improve long-term cross-border collaboration, information and research capacity for addressing ecosystem transformation, biodiversity monitoring and migration of species.</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 xml:space="preserve">2.1.c. Jointly strengthen collaboration between science, industry, relevant stakeholders and decision-makers to address integrated coastal management issues and to harmonise marine environment assessment. </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2.1.d. Promote cross-border cooperation among maritime authorities (safe navigation, fisheries control…).</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2.1.e. Improve cooperation between stakeholders involved in disaster prevention and management.</w:t>
            </w:r>
          </w:p>
        </w:tc>
        <w:tc>
          <w:tcPr>
            <w:tcW w:w="2977" w:type="dxa"/>
            <w:shd w:val="clear" w:color="auto" w:fill="auto"/>
            <w:noWrap/>
          </w:tcPr>
          <w:p w:rsidR="00D65763" w:rsidRPr="001368E0" w:rsidRDefault="00D65763" w:rsidP="001368E0">
            <w:pPr>
              <w:widowControl w:val="0"/>
              <w:autoSpaceDE w:val="0"/>
              <w:autoSpaceDN w:val="0"/>
              <w:adjustRightInd w:val="0"/>
              <w:spacing w:after="20"/>
              <w:jc w:val="both"/>
              <w:rPr>
                <w:sz w:val="18"/>
                <w:szCs w:val="18"/>
                <w:lang w:val="en-GB"/>
              </w:rPr>
            </w:pPr>
            <w:r w:rsidRPr="001368E0">
              <w:rPr>
                <w:color w:val="000000"/>
                <w:sz w:val="18"/>
                <w:szCs w:val="18"/>
                <w:lang w:val="en-GB"/>
              </w:rPr>
              <w:t xml:space="preserve">O2.1.1 - Number of additional ICT based tools developed supporting cross-border cooperation </w:t>
            </w:r>
            <w:r w:rsidRPr="001368E0">
              <w:rPr>
                <w:i/>
                <w:sz w:val="18"/>
                <w:szCs w:val="18"/>
                <w:lang w:val="en-GB"/>
              </w:rPr>
              <w:t>(COI29)</w:t>
            </w:r>
            <w:r w:rsidRPr="001368E0">
              <w:rPr>
                <w:color w:val="000000"/>
                <w:sz w:val="18"/>
                <w:szCs w:val="18"/>
                <w:lang w:val="en-GB"/>
              </w:rPr>
              <w:t xml:space="preserve"> improving joint environmental monitoring and public availability of environmental information</w:t>
            </w:r>
          </w:p>
        </w:tc>
        <w:tc>
          <w:tcPr>
            <w:tcW w:w="1276" w:type="dxa"/>
            <w:shd w:val="clear" w:color="auto" w:fill="auto"/>
          </w:tcPr>
          <w:p w:rsidR="00D65763" w:rsidRPr="001368E0" w:rsidRDefault="00D65763" w:rsidP="001368E0">
            <w:pPr>
              <w:widowControl w:val="0"/>
              <w:autoSpaceDE w:val="0"/>
              <w:autoSpaceDN w:val="0"/>
              <w:adjustRightInd w:val="0"/>
              <w:spacing w:after="20" w:line="240" w:lineRule="auto"/>
              <w:rPr>
                <w:color w:val="000000"/>
                <w:sz w:val="18"/>
                <w:szCs w:val="18"/>
                <w:lang w:val="en-GB"/>
              </w:rPr>
            </w:pPr>
            <w:r w:rsidRPr="001368E0">
              <w:rPr>
                <w:bCs/>
                <w:iCs/>
                <w:color w:val="000000"/>
                <w:sz w:val="18"/>
                <w:szCs w:val="18"/>
              </w:rPr>
              <w:t>Project reports</w:t>
            </w:r>
          </w:p>
        </w:tc>
        <w:tc>
          <w:tcPr>
            <w:tcW w:w="2302" w:type="dxa"/>
            <w:vMerge/>
            <w:shd w:val="clear" w:color="auto" w:fill="auto"/>
          </w:tcPr>
          <w:p w:rsidR="00D65763" w:rsidRPr="001368E0" w:rsidRDefault="00D65763" w:rsidP="001368E0">
            <w:pPr>
              <w:widowControl w:val="0"/>
              <w:autoSpaceDE w:val="0"/>
              <w:autoSpaceDN w:val="0"/>
              <w:adjustRightInd w:val="0"/>
              <w:spacing w:after="20" w:line="240" w:lineRule="auto"/>
              <w:rPr>
                <w:color w:val="000000"/>
                <w:sz w:val="18"/>
                <w:szCs w:val="18"/>
                <w:lang w:val="en-GB"/>
              </w:rPr>
            </w:pPr>
          </w:p>
        </w:tc>
      </w:tr>
      <w:tr w:rsidR="00D65763" w:rsidRPr="001368E0" w:rsidTr="001368E0">
        <w:trPr>
          <w:trHeight w:val="896"/>
        </w:trPr>
        <w:tc>
          <w:tcPr>
            <w:tcW w:w="1135" w:type="dxa"/>
            <w:vMerge/>
            <w:shd w:val="clear" w:color="auto" w:fill="auto"/>
            <w:noWrap/>
            <w:textDirection w:val="btLr"/>
          </w:tcPr>
          <w:p w:rsidR="00D65763" w:rsidRPr="001368E0" w:rsidRDefault="00D65763" w:rsidP="001368E0">
            <w:pPr>
              <w:spacing w:after="20" w:line="240" w:lineRule="auto"/>
              <w:ind w:left="113" w:right="113"/>
              <w:jc w:val="right"/>
              <w:rPr>
                <w:sz w:val="18"/>
                <w:szCs w:val="18"/>
                <w:lang w:val="en-GB"/>
              </w:rPr>
            </w:pPr>
          </w:p>
        </w:tc>
        <w:tc>
          <w:tcPr>
            <w:tcW w:w="7053" w:type="dxa"/>
            <w:vMerge/>
            <w:shd w:val="clear" w:color="auto" w:fill="auto"/>
          </w:tcPr>
          <w:p w:rsidR="00D65763" w:rsidRPr="001368E0" w:rsidRDefault="00D65763" w:rsidP="001368E0">
            <w:pPr>
              <w:spacing w:after="20" w:line="240" w:lineRule="auto"/>
              <w:ind w:left="-2"/>
              <w:rPr>
                <w:rFonts w:eastAsia="Times New Roman"/>
                <w:color w:val="000000"/>
                <w:sz w:val="18"/>
                <w:szCs w:val="18"/>
                <w:lang w:val="en-GB"/>
              </w:rPr>
            </w:pPr>
          </w:p>
        </w:tc>
        <w:tc>
          <w:tcPr>
            <w:tcW w:w="2977" w:type="dxa"/>
            <w:shd w:val="clear" w:color="auto" w:fill="auto"/>
            <w:noWrap/>
          </w:tcPr>
          <w:p w:rsidR="00D65763" w:rsidRPr="001368E0" w:rsidRDefault="00D65763" w:rsidP="001368E0">
            <w:pPr>
              <w:widowControl w:val="0"/>
              <w:autoSpaceDE w:val="0"/>
              <w:autoSpaceDN w:val="0"/>
              <w:adjustRightInd w:val="0"/>
              <w:spacing w:after="20"/>
              <w:jc w:val="both"/>
              <w:rPr>
                <w:sz w:val="18"/>
                <w:szCs w:val="18"/>
                <w:lang w:val="en-GB"/>
              </w:rPr>
            </w:pPr>
            <w:r w:rsidRPr="001368E0">
              <w:rPr>
                <w:color w:val="000000"/>
                <w:sz w:val="18"/>
                <w:szCs w:val="18"/>
                <w:lang w:val="en-GB"/>
              </w:rPr>
              <w:t>O2.1.2 - Number of institutions using programme support for cooperation in education, R&amp;D and innovation</w:t>
            </w:r>
            <w:r w:rsidRPr="001368E0">
              <w:rPr>
                <w:i/>
                <w:sz w:val="18"/>
                <w:szCs w:val="18"/>
                <w:lang w:val="en-GB"/>
              </w:rPr>
              <w:t xml:space="preserve"> (COI4)</w:t>
            </w:r>
            <w:r w:rsidRPr="001368E0">
              <w:rPr>
                <w:color w:val="000000"/>
                <w:sz w:val="18"/>
                <w:szCs w:val="18"/>
                <w:lang w:val="en-GB"/>
              </w:rPr>
              <w:t xml:space="preserve"> to improve </w:t>
            </w:r>
            <w:r w:rsidRPr="001368E0">
              <w:rPr>
                <w:rFonts w:eastAsia="Times New Roman"/>
                <w:color w:val="000000"/>
                <w:sz w:val="18"/>
                <w:szCs w:val="18"/>
                <w:lang w:val="en-GB"/>
              </w:rPr>
              <w:t xml:space="preserve">data sharing and cross-border information exchange systems on the environment </w:t>
            </w:r>
            <w:r w:rsidRPr="001368E0">
              <w:rPr>
                <w:color w:val="000000"/>
                <w:sz w:val="18"/>
                <w:szCs w:val="18"/>
                <w:lang w:val="en-GB"/>
              </w:rPr>
              <w:t>within BSB</w:t>
            </w:r>
          </w:p>
        </w:tc>
        <w:tc>
          <w:tcPr>
            <w:tcW w:w="1276" w:type="dxa"/>
            <w:shd w:val="clear" w:color="auto" w:fill="auto"/>
          </w:tcPr>
          <w:p w:rsidR="00D65763" w:rsidRPr="001368E0" w:rsidRDefault="00A571B2" w:rsidP="001368E0">
            <w:pPr>
              <w:widowControl w:val="0"/>
              <w:autoSpaceDE w:val="0"/>
              <w:autoSpaceDN w:val="0"/>
              <w:adjustRightInd w:val="0"/>
              <w:spacing w:after="20" w:line="240" w:lineRule="auto"/>
              <w:rPr>
                <w:color w:val="000000"/>
                <w:sz w:val="18"/>
                <w:szCs w:val="18"/>
                <w:lang w:val="en-GB"/>
              </w:rPr>
            </w:pPr>
            <w:r w:rsidRPr="001368E0">
              <w:rPr>
                <w:bCs/>
                <w:iCs/>
                <w:color w:val="000000"/>
                <w:sz w:val="18"/>
                <w:szCs w:val="18"/>
              </w:rPr>
              <w:t>MIS</w:t>
            </w:r>
          </w:p>
        </w:tc>
        <w:tc>
          <w:tcPr>
            <w:tcW w:w="2302" w:type="dxa"/>
            <w:vMerge/>
            <w:shd w:val="clear" w:color="auto" w:fill="auto"/>
          </w:tcPr>
          <w:p w:rsidR="00D65763" w:rsidRPr="001368E0" w:rsidRDefault="00D65763" w:rsidP="001368E0">
            <w:pPr>
              <w:widowControl w:val="0"/>
              <w:autoSpaceDE w:val="0"/>
              <w:autoSpaceDN w:val="0"/>
              <w:adjustRightInd w:val="0"/>
              <w:spacing w:after="20" w:line="240" w:lineRule="auto"/>
              <w:rPr>
                <w:color w:val="000000"/>
                <w:sz w:val="18"/>
                <w:szCs w:val="18"/>
                <w:lang w:val="en-GB"/>
              </w:rPr>
            </w:pPr>
          </w:p>
        </w:tc>
      </w:tr>
      <w:tr w:rsidR="00D65763" w:rsidRPr="001368E0" w:rsidTr="001368E0">
        <w:trPr>
          <w:trHeight w:val="1137"/>
        </w:trPr>
        <w:tc>
          <w:tcPr>
            <w:tcW w:w="1135" w:type="dxa"/>
            <w:vMerge/>
            <w:shd w:val="clear" w:color="auto" w:fill="auto"/>
            <w:noWrap/>
            <w:textDirection w:val="btLr"/>
          </w:tcPr>
          <w:p w:rsidR="00D65763" w:rsidRPr="001368E0" w:rsidRDefault="00D65763" w:rsidP="001368E0">
            <w:pPr>
              <w:spacing w:after="20" w:line="240" w:lineRule="auto"/>
              <w:ind w:left="113" w:right="113"/>
              <w:jc w:val="right"/>
              <w:rPr>
                <w:sz w:val="18"/>
                <w:szCs w:val="18"/>
                <w:lang w:val="en-GB"/>
              </w:rPr>
            </w:pPr>
          </w:p>
        </w:tc>
        <w:tc>
          <w:tcPr>
            <w:tcW w:w="7053" w:type="dxa"/>
            <w:vMerge w:val="restart"/>
            <w:shd w:val="clear" w:color="auto" w:fill="auto"/>
          </w:tcPr>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2.2.a. Jointly raise public awareness and education regarding river and marine litter problems, the value of biodiversity and environmental protection.</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2.2.b. Jointly promote the practice of the ‘3 Rs’ (reduce, reuse, recycle) for waste and the use of waste for energy production.</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 xml:space="preserve">2.2.c. Strengthen community action, promote and organise cross-border Black Sea Basin coastal and river clean-up campaigns. </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2.2.d. Jointly promote good environmental management practices and technologies related to waste management on riverbanks and seashores.</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2.2.e. Share experience to improve port reception facilities and services for garbage collection from vessels.</w:t>
            </w:r>
          </w:p>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2.2.f. Encourage partnerships between NGOs and civil society, the private sector, local/regional authorities and waste services to combat river and marine litter.</w:t>
            </w:r>
          </w:p>
        </w:tc>
        <w:tc>
          <w:tcPr>
            <w:tcW w:w="2977" w:type="dxa"/>
            <w:shd w:val="clear" w:color="auto" w:fill="auto"/>
            <w:noWrap/>
          </w:tcPr>
          <w:p w:rsidR="00D65763" w:rsidRPr="001368E0" w:rsidRDefault="00D65763" w:rsidP="001368E0">
            <w:pPr>
              <w:spacing w:after="20"/>
              <w:jc w:val="both"/>
              <w:rPr>
                <w:sz w:val="18"/>
                <w:szCs w:val="18"/>
                <w:lang w:val="en-GB"/>
              </w:rPr>
            </w:pPr>
            <w:r w:rsidRPr="001368E0">
              <w:rPr>
                <w:color w:val="000000"/>
                <w:sz w:val="18"/>
                <w:szCs w:val="18"/>
                <w:lang w:val="en-GB"/>
              </w:rPr>
              <w:t xml:space="preserve">O2.2.1 - Number of persons actively participating in environmental actions and awareness raising activities </w:t>
            </w:r>
            <w:r w:rsidRPr="001368E0">
              <w:rPr>
                <w:i/>
                <w:sz w:val="18"/>
                <w:szCs w:val="18"/>
                <w:lang w:val="en-GB"/>
              </w:rPr>
              <w:t>(COI17)</w:t>
            </w:r>
          </w:p>
        </w:tc>
        <w:tc>
          <w:tcPr>
            <w:tcW w:w="1276" w:type="dxa"/>
            <w:shd w:val="clear" w:color="auto" w:fill="auto"/>
          </w:tcPr>
          <w:p w:rsidR="00D65763" w:rsidRPr="001368E0" w:rsidRDefault="00D65763" w:rsidP="001368E0">
            <w:pPr>
              <w:spacing w:after="20" w:line="240" w:lineRule="auto"/>
              <w:rPr>
                <w:color w:val="000000"/>
                <w:sz w:val="18"/>
                <w:szCs w:val="18"/>
                <w:lang w:val="en-GB"/>
              </w:rPr>
            </w:pPr>
            <w:r w:rsidRPr="001368E0">
              <w:rPr>
                <w:color w:val="000000"/>
                <w:sz w:val="18"/>
                <w:szCs w:val="18"/>
                <w:lang w:val="en-GB"/>
              </w:rPr>
              <w:t>Project reports</w:t>
            </w:r>
          </w:p>
        </w:tc>
        <w:tc>
          <w:tcPr>
            <w:tcW w:w="2302" w:type="dxa"/>
            <w:vMerge/>
            <w:shd w:val="clear" w:color="auto" w:fill="auto"/>
          </w:tcPr>
          <w:p w:rsidR="00D65763" w:rsidRPr="001368E0" w:rsidRDefault="00D65763" w:rsidP="001368E0">
            <w:pPr>
              <w:spacing w:after="20" w:line="240" w:lineRule="auto"/>
              <w:rPr>
                <w:color w:val="000000"/>
                <w:sz w:val="18"/>
                <w:szCs w:val="18"/>
                <w:lang w:val="en-GB"/>
              </w:rPr>
            </w:pPr>
          </w:p>
        </w:tc>
      </w:tr>
      <w:tr w:rsidR="00D65763" w:rsidRPr="001368E0" w:rsidTr="001368E0">
        <w:trPr>
          <w:trHeight w:val="1136"/>
        </w:trPr>
        <w:tc>
          <w:tcPr>
            <w:tcW w:w="1135" w:type="dxa"/>
            <w:vMerge/>
            <w:shd w:val="clear" w:color="auto" w:fill="auto"/>
            <w:noWrap/>
            <w:textDirection w:val="btLr"/>
          </w:tcPr>
          <w:p w:rsidR="00D65763" w:rsidRPr="001368E0" w:rsidRDefault="00D65763" w:rsidP="001368E0">
            <w:pPr>
              <w:spacing w:after="20" w:line="240" w:lineRule="auto"/>
              <w:ind w:left="113" w:right="113"/>
              <w:jc w:val="right"/>
              <w:rPr>
                <w:color w:val="000000"/>
                <w:sz w:val="18"/>
                <w:szCs w:val="18"/>
                <w:lang w:val="en-GB"/>
              </w:rPr>
            </w:pPr>
          </w:p>
        </w:tc>
        <w:tc>
          <w:tcPr>
            <w:tcW w:w="7053" w:type="dxa"/>
            <w:vMerge/>
            <w:shd w:val="clear" w:color="auto" w:fill="auto"/>
          </w:tcPr>
          <w:p w:rsidR="00D65763" w:rsidRPr="001368E0" w:rsidRDefault="00D65763" w:rsidP="001368E0">
            <w:pPr>
              <w:spacing w:after="20" w:line="240" w:lineRule="auto"/>
              <w:rPr>
                <w:color w:val="000000"/>
                <w:sz w:val="18"/>
                <w:szCs w:val="18"/>
                <w:lang w:val="en-GB"/>
              </w:rPr>
            </w:pPr>
          </w:p>
        </w:tc>
        <w:tc>
          <w:tcPr>
            <w:tcW w:w="2977" w:type="dxa"/>
            <w:shd w:val="clear" w:color="auto" w:fill="auto"/>
            <w:noWrap/>
          </w:tcPr>
          <w:p w:rsidR="00D65763" w:rsidRPr="001368E0" w:rsidRDefault="00D65763" w:rsidP="001368E0">
            <w:pPr>
              <w:spacing w:after="20" w:line="240" w:lineRule="auto"/>
              <w:rPr>
                <w:color w:val="000000"/>
                <w:sz w:val="18"/>
                <w:szCs w:val="18"/>
                <w:lang w:val="en-GB"/>
              </w:rPr>
            </w:pPr>
            <w:r w:rsidRPr="001368E0">
              <w:rPr>
                <w:bCs/>
                <w:iCs/>
                <w:color w:val="000000"/>
                <w:sz w:val="18"/>
                <w:szCs w:val="18"/>
                <w:lang w:val="en-GB"/>
              </w:rPr>
              <w:t>O2.2.2 - Number of organisations using programme support to develop or improve waste management tools or facilities along river banks and sea shores (including ports)</w:t>
            </w:r>
          </w:p>
        </w:tc>
        <w:tc>
          <w:tcPr>
            <w:tcW w:w="1276" w:type="dxa"/>
            <w:shd w:val="clear" w:color="auto" w:fill="auto"/>
          </w:tcPr>
          <w:p w:rsidR="00D65763" w:rsidRPr="001368E0" w:rsidRDefault="00A571B2" w:rsidP="001368E0">
            <w:pPr>
              <w:spacing w:after="20" w:line="240" w:lineRule="auto"/>
              <w:rPr>
                <w:color w:val="000000"/>
                <w:sz w:val="18"/>
                <w:szCs w:val="18"/>
                <w:lang w:val="en-GB"/>
              </w:rPr>
            </w:pPr>
            <w:r w:rsidRPr="001368E0">
              <w:rPr>
                <w:color w:val="000000"/>
                <w:sz w:val="18"/>
                <w:szCs w:val="18"/>
                <w:lang w:val="en-GB"/>
              </w:rPr>
              <w:t>MIS</w:t>
            </w:r>
          </w:p>
        </w:tc>
        <w:tc>
          <w:tcPr>
            <w:tcW w:w="2302" w:type="dxa"/>
            <w:vMerge/>
            <w:shd w:val="clear" w:color="auto" w:fill="auto"/>
          </w:tcPr>
          <w:p w:rsidR="00D65763" w:rsidRPr="001368E0" w:rsidRDefault="00D65763" w:rsidP="001368E0">
            <w:pPr>
              <w:spacing w:after="20" w:line="240" w:lineRule="auto"/>
              <w:rPr>
                <w:color w:val="000000"/>
                <w:sz w:val="18"/>
                <w:szCs w:val="18"/>
                <w:lang w:val="en-GB"/>
              </w:rPr>
            </w:pPr>
          </w:p>
        </w:tc>
      </w:tr>
    </w:tbl>
    <w:p w:rsidR="00E41641" w:rsidRDefault="00E41641" w:rsidP="00834481">
      <w:pPr>
        <w:spacing w:before="120" w:after="0" w:line="264" w:lineRule="auto"/>
        <w:jc w:val="both"/>
        <w:rPr>
          <w:sz w:val="22"/>
          <w:szCs w:val="22"/>
          <w:lang w:val="en-GB"/>
        </w:rPr>
        <w:sectPr w:rsidR="00E41641" w:rsidSect="003B368B">
          <w:footnotePr>
            <w:numFmt w:val="lowerRoman"/>
          </w:footnotePr>
          <w:endnotePr>
            <w:numFmt w:val="decimal"/>
          </w:endnotePr>
          <w:pgSz w:w="15840" w:h="12240" w:orient="landscape" w:code="1"/>
          <w:pgMar w:top="601" w:right="794" w:bottom="760" w:left="794" w:header="794" w:footer="567" w:gutter="0"/>
          <w:cols w:space="720"/>
          <w:titlePg/>
          <w:docGrid w:linePitch="360"/>
        </w:sectPr>
      </w:pPr>
    </w:p>
    <w:p w:rsidR="00C50F00" w:rsidRPr="00DD6103" w:rsidRDefault="00C50F00" w:rsidP="00C50F00">
      <w:pPr>
        <w:pStyle w:val="Heading3"/>
        <w:spacing w:before="240" w:after="240" w:line="264" w:lineRule="auto"/>
        <w:rPr>
          <w:b/>
          <w:sz w:val="28"/>
          <w:szCs w:val="28"/>
          <w:lang w:val="en-GB"/>
        </w:rPr>
      </w:pPr>
      <w:bookmarkStart w:id="77" w:name="_Toc402864389"/>
      <w:bookmarkStart w:id="78" w:name="_Toc288133452"/>
      <w:bookmarkStart w:id="79" w:name="_Toc273788694"/>
      <w:bookmarkStart w:id="80" w:name="_Toc276156675"/>
      <w:r w:rsidRPr="00DD6103">
        <w:rPr>
          <w:b/>
          <w:sz w:val="28"/>
          <w:szCs w:val="28"/>
          <w:lang w:val="en-GB"/>
        </w:rPr>
        <w:t>Nature of projects and types of support</w:t>
      </w:r>
      <w:bookmarkEnd w:id="77"/>
      <w:bookmarkEnd w:id="78"/>
    </w:p>
    <w:p w:rsidR="00C50F00" w:rsidRDefault="00C50F00" w:rsidP="00C50F00">
      <w:pPr>
        <w:spacing w:before="120" w:after="0" w:line="264" w:lineRule="auto"/>
        <w:jc w:val="both"/>
        <w:rPr>
          <w:sz w:val="22"/>
          <w:szCs w:val="22"/>
          <w:lang w:val="en-GB"/>
        </w:rPr>
      </w:pPr>
      <w:r w:rsidRPr="00300AB3">
        <w:rPr>
          <w:sz w:val="22"/>
          <w:szCs w:val="22"/>
          <w:lang w:val="en-GB"/>
        </w:rPr>
        <w:t>Projects are expected to es</w:t>
      </w:r>
      <w:r>
        <w:rPr>
          <w:sz w:val="22"/>
          <w:szCs w:val="22"/>
          <w:lang w:val="en-GB"/>
        </w:rPr>
        <w:t>tablish long-lasting cross-border links within</w:t>
      </w:r>
      <w:r w:rsidRPr="00300AB3">
        <w:rPr>
          <w:sz w:val="22"/>
          <w:szCs w:val="22"/>
          <w:lang w:val="en-GB"/>
        </w:rPr>
        <w:t xml:space="preserve"> the Black Sea Basin whil</w:t>
      </w:r>
      <w:r>
        <w:rPr>
          <w:sz w:val="22"/>
          <w:szCs w:val="22"/>
          <w:lang w:val="en-GB"/>
        </w:rPr>
        <w:t>e resulting in</w:t>
      </w:r>
      <w:r w:rsidRPr="00300AB3">
        <w:rPr>
          <w:sz w:val="22"/>
          <w:szCs w:val="22"/>
          <w:lang w:val="en-GB"/>
        </w:rPr>
        <w:t xml:space="preserve"> </w:t>
      </w:r>
      <w:r>
        <w:rPr>
          <w:sz w:val="22"/>
          <w:szCs w:val="22"/>
          <w:lang w:val="en-GB"/>
        </w:rPr>
        <w:t>a clearly improved</w:t>
      </w:r>
      <w:r w:rsidRPr="00300AB3">
        <w:rPr>
          <w:sz w:val="22"/>
          <w:szCs w:val="22"/>
          <w:lang w:val="en-GB"/>
        </w:rPr>
        <w:t xml:space="preserve"> situation</w:t>
      </w:r>
      <w:r>
        <w:rPr>
          <w:sz w:val="22"/>
          <w:szCs w:val="22"/>
          <w:lang w:val="en-GB"/>
        </w:rPr>
        <w:t xml:space="preserve"> for</w:t>
      </w:r>
      <w:r w:rsidRPr="00300AB3">
        <w:rPr>
          <w:sz w:val="22"/>
          <w:szCs w:val="22"/>
          <w:lang w:val="en-GB"/>
        </w:rPr>
        <w:t xml:space="preserve"> the issue</w:t>
      </w:r>
      <w:r>
        <w:rPr>
          <w:sz w:val="22"/>
          <w:szCs w:val="22"/>
          <w:lang w:val="en-GB"/>
        </w:rPr>
        <w:t>s</w:t>
      </w:r>
      <w:r w:rsidRPr="00300AB3">
        <w:rPr>
          <w:sz w:val="22"/>
          <w:szCs w:val="22"/>
          <w:lang w:val="en-GB"/>
        </w:rPr>
        <w:t xml:space="preserve"> they address.</w:t>
      </w:r>
      <w:r>
        <w:rPr>
          <w:b/>
          <w:sz w:val="22"/>
          <w:szCs w:val="22"/>
          <w:lang w:val="en-GB"/>
        </w:rPr>
        <w:t xml:space="preserve"> </w:t>
      </w:r>
      <w:r w:rsidRPr="004E55EB">
        <w:rPr>
          <w:sz w:val="22"/>
          <w:szCs w:val="22"/>
          <w:lang w:val="en-GB"/>
        </w:rPr>
        <w:t xml:space="preserve">Projects </w:t>
      </w:r>
      <w:r>
        <w:rPr>
          <w:sz w:val="22"/>
          <w:szCs w:val="22"/>
          <w:lang w:val="en-GB"/>
        </w:rPr>
        <w:t>shall</w:t>
      </w:r>
      <w:r w:rsidRPr="004E55EB">
        <w:rPr>
          <w:sz w:val="22"/>
          <w:szCs w:val="22"/>
          <w:lang w:val="en-GB"/>
        </w:rPr>
        <w:t xml:space="preserve"> achieve a set of results that will allow the programme to reach its objectives.</w:t>
      </w:r>
      <w:r>
        <w:rPr>
          <w:sz w:val="22"/>
          <w:szCs w:val="22"/>
          <w:lang w:val="en-GB"/>
        </w:rPr>
        <w:t xml:space="preserve"> Project partners shall mention in their application how they will contribute to some of the programme expected results and provide relevant outputs both at the level of programme priorities and of horizontal issues</w:t>
      </w:r>
      <w:r>
        <w:rPr>
          <w:rStyle w:val="FootnoteReference"/>
          <w:sz w:val="22"/>
          <w:szCs w:val="22"/>
          <w:lang w:val="en-GB"/>
        </w:rPr>
        <w:footnoteReference w:id="71"/>
      </w:r>
      <w:r>
        <w:rPr>
          <w:sz w:val="22"/>
          <w:szCs w:val="22"/>
          <w:lang w:val="en-GB"/>
        </w:rPr>
        <w:t xml:space="preserve">. </w:t>
      </w:r>
    </w:p>
    <w:p w:rsidR="00C50F00" w:rsidRDefault="00C50F00" w:rsidP="00C50F00">
      <w:pPr>
        <w:spacing w:after="0" w:line="264" w:lineRule="auto"/>
        <w:jc w:val="both"/>
        <w:rPr>
          <w:b/>
          <w:sz w:val="22"/>
          <w:szCs w:val="22"/>
          <w:lang w:val="en-GB"/>
        </w:rPr>
      </w:pPr>
    </w:p>
    <w:p w:rsidR="00C50F00" w:rsidRPr="005B2C72" w:rsidRDefault="00C50F00" w:rsidP="00C50F00">
      <w:pPr>
        <w:spacing w:after="0" w:line="264" w:lineRule="auto"/>
        <w:jc w:val="both"/>
        <w:rPr>
          <w:sz w:val="22"/>
          <w:szCs w:val="22"/>
          <w:lang w:val="en-GB"/>
        </w:rPr>
      </w:pPr>
      <w:r w:rsidRPr="005B2C72">
        <w:rPr>
          <w:sz w:val="22"/>
          <w:szCs w:val="22"/>
          <w:lang w:val="en-GB"/>
        </w:rPr>
        <w:t xml:space="preserve">Each project shall </w:t>
      </w:r>
      <w:r>
        <w:rPr>
          <w:sz w:val="22"/>
          <w:szCs w:val="22"/>
          <w:lang w:val="en-GB"/>
        </w:rPr>
        <w:t>aim at establishing</w:t>
      </w:r>
      <w:r w:rsidRPr="005B2C72">
        <w:rPr>
          <w:sz w:val="22"/>
          <w:szCs w:val="22"/>
          <w:lang w:val="en-GB"/>
        </w:rPr>
        <w:t>:</w:t>
      </w:r>
    </w:p>
    <w:p w:rsidR="00C50F00" w:rsidRPr="0052553B" w:rsidRDefault="00C50F00" w:rsidP="006E538C">
      <w:pPr>
        <w:pStyle w:val="ListParagraph"/>
        <w:numPr>
          <w:ilvl w:val="0"/>
          <w:numId w:val="17"/>
        </w:numPr>
        <w:spacing w:before="60" w:after="60" w:line="264" w:lineRule="auto"/>
        <w:contextualSpacing w:val="0"/>
        <w:jc w:val="both"/>
        <w:rPr>
          <w:sz w:val="22"/>
          <w:szCs w:val="22"/>
          <w:lang w:val="en-GB"/>
        </w:rPr>
      </w:pPr>
      <w:r w:rsidRPr="0052553B">
        <w:rPr>
          <w:b/>
          <w:sz w:val="22"/>
          <w:szCs w:val="22"/>
          <w:lang w:val="en-GB"/>
        </w:rPr>
        <w:t xml:space="preserve">Enhanced </w:t>
      </w:r>
      <w:r>
        <w:rPr>
          <w:b/>
          <w:sz w:val="22"/>
          <w:szCs w:val="22"/>
          <w:lang w:val="en-GB"/>
        </w:rPr>
        <w:t xml:space="preserve">cross-border </w:t>
      </w:r>
      <w:r w:rsidRPr="0052553B">
        <w:rPr>
          <w:b/>
          <w:sz w:val="22"/>
          <w:szCs w:val="22"/>
          <w:lang w:val="en-GB"/>
        </w:rPr>
        <w:t>contacts</w:t>
      </w:r>
      <w:r>
        <w:rPr>
          <w:b/>
          <w:sz w:val="22"/>
          <w:szCs w:val="22"/>
          <w:lang w:val="en-GB"/>
        </w:rPr>
        <w:t xml:space="preserve"> within the Black Sea Basin</w:t>
      </w:r>
      <w:r>
        <w:rPr>
          <w:sz w:val="22"/>
          <w:szCs w:val="22"/>
          <w:lang w:val="en-GB"/>
        </w:rPr>
        <w:t xml:space="preserve"> including</w:t>
      </w:r>
      <w:r w:rsidRPr="0052553B">
        <w:rPr>
          <w:sz w:val="22"/>
          <w:szCs w:val="22"/>
          <w:lang w:val="en-GB"/>
        </w:rPr>
        <w:t xml:space="preserve"> </w:t>
      </w:r>
      <w:r>
        <w:rPr>
          <w:sz w:val="22"/>
          <w:szCs w:val="22"/>
          <w:lang w:val="en-GB"/>
        </w:rPr>
        <w:t xml:space="preserve">e.g. </w:t>
      </w:r>
      <w:r w:rsidRPr="0052553B">
        <w:rPr>
          <w:sz w:val="22"/>
          <w:szCs w:val="22"/>
          <w:lang w:val="en-GB"/>
        </w:rPr>
        <w:t>n</w:t>
      </w:r>
      <w:r>
        <w:rPr>
          <w:sz w:val="22"/>
          <w:szCs w:val="22"/>
          <w:lang w:val="en-GB"/>
        </w:rPr>
        <w:t>etworking, forums and the</w:t>
      </w:r>
      <w:r w:rsidRPr="0052553B">
        <w:rPr>
          <w:sz w:val="22"/>
          <w:szCs w:val="22"/>
          <w:lang w:val="en-GB"/>
        </w:rPr>
        <w:t xml:space="preserve"> establishment of </w:t>
      </w:r>
      <w:r>
        <w:rPr>
          <w:sz w:val="22"/>
          <w:szCs w:val="22"/>
          <w:lang w:val="en-GB"/>
        </w:rPr>
        <w:t xml:space="preserve">lasting </w:t>
      </w:r>
      <w:r w:rsidRPr="0052553B">
        <w:rPr>
          <w:sz w:val="22"/>
          <w:szCs w:val="22"/>
          <w:lang w:val="en-GB"/>
        </w:rPr>
        <w:t>partnerships</w:t>
      </w:r>
      <w:r>
        <w:rPr>
          <w:sz w:val="22"/>
          <w:szCs w:val="22"/>
          <w:lang w:val="en-GB"/>
        </w:rPr>
        <w:t>;</w:t>
      </w:r>
    </w:p>
    <w:p w:rsidR="00C50F00" w:rsidRPr="0052553B" w:rsidRDefault="00C50F00" w:rsidP="006E538C">
      <w:pPr>
        <w:pStyle w:val="ListParagraph"/>
        <w:numPr>
          <w:ilvl w:val="0"/>
          <w:numId w:val="17"/>
        </w:numPr>
        <w:spacing w:before="60" w:after="60" w:line="264" w:lineRule="auto"/>
        <w:contextualSpacing w:val="0"/>
        <w:jc w:val="both"/>
        <w:rPr>
          <w:sz w:val="22"/>
          <w:szCs w:val="22"/>
          <w:lang w:val="en-GB"/>
        </w:rPr>
      </w:pPr>
      <w:r w:rsidRPr="0052553B">
        <w:rPr>
          <w:b/>
          <w:sz w:val="22"/>
          <w:szCs w:val="22"/>
          <w:lang w:val="en-GB"/>
        </w:rPr>
        <w:t>Enhanced knowledge</w:t>
      </w:r>
      <w:r>
        <w:rPr>
          <w:b/>
          <w:sz w:val="22"/>
          <w:szCs w:val="22"/>
          <w:lang w:val="en-GB"/>
        </w:rPr>
        <w:t xml:space="preserve"> and</w:t>
      </w:r>
      <w:r w:rsidRPr="0052553B">
        <w:rPr>
          <w:b/>
          <w:sz w:val="22"/>
          <w:szCs w:val="22"/>
          <w:lang w:val="en-GB"/>
        </w:rPr>
        <w:t xml:space="preserve"> skills</w:t>
      </w:r>
      <w:r w:rsidRPr="00E55CE9">
        <w:rPr>
          <w:sz w:val="22"/>
          <w:szCs w:val="22"/>
          <w:lang w:val="en-GB"/>
        </w:rPr>
        <w:t xml:space="preserve"> </w:t>
      </w:r>
      <w:r>
        <w:rPr>
          <w:sz w:val="22"/>
          <w:szCs w:val="22"/>
          <w:lang w:val="en-GB"/>
        </w:rPr>
        <w:t xml:space="preserve">including e.g. the </w:t>
      </w:r>
      <w:r w:rsidRPr="00E55CE9">
        <w:rPr>
          <w:sz w:val="22"/>
          <w:szCs w:val="22"/>
          <w:lang w:val="en-GB"/>
        </w:rPr>
        <w:t>exchange</w:t>
      </w:r>
      <w:r w:rsidRPr="0052553B">
        <w:rPr>
          <w:sz w:val="22"/>
          <w:szCs w:val="22"/>
          <w:lang w:val="en-GB"/>
        </w:rPr>
        <w:t xml:space="preserve"> of experience and good practice, innovation, capacity-building</w:t>
      </w:r>
      <w:r>
        <w:rPr>
          <w:sz w:val="22"/>
          <w:szCs w:val="22"/>
          <w:lang w:val="en-GB"/>
        </w:rPr>
        <w:t xml:space="preserve"> and</w:t>
      </w:r>
      <w:r w:rsidRPr="0052553B">
        <w:rPr>
          <w:sz w:val="22"/>
          <w:szCs w:val="22"/>
          <w:lang w:val="en-GB"/>
        </w:rPr>
        <w:t xml:space="preserve"> </w:t>
      </w:r>
      <w:r>
        <w:rPr>
          <w:sz w:val="22"/>
          <w:szCs w:val="22"/>
          <w:lang w:val="en-GB"/>
        </w:rPr>
        <w:t xml:space="preserve">joint </w:t>
      </w:r>
      <w:r w:rsidRPr="0052553B">
        <w:rPr>
          <w:sz w:val="22"/>
          <w:szCs w:val="22"/>
          <w:lang w:val="en-GB"/>
        </w:rPr>
        <w:t>research</w:t>
      </w:r>
      <w:r>
        <w:rPr>
          <w:sz w:val="22"/>
          <w:szCs w:val="22"/>
          <w:lang w:val="en-GB"/>
        </w:rPr>
        <w:t>;</w:t>
      </w:r>
    </w:p>
    <w:p w:rsidR="00C50F00" w:rsidRDefault="00C50F00" w:rsidP="006E538C">
      <w:pPr>
        <w:pStyle w:val="ListParagraph"/>
        <w:numPr>
          <w:ilvl w:val="0"/>
          <w:numId w:val="17"/>
        </w:numPr>
        <w:spacing w:before="60" w:after="60" w:line="264" w:lineRule="auto"/>
        <w:ind w:left="714" w:hanging="357"/>
        <w:contextualSpacing w:val="0"/>
        <w:jc w:val="both"/>
        <w:rPr>
          <w:sz w:val="22"/>
          <w:szCs w:val="22"/>
          <w:lang w:val="en-GB"/>
        </w:rPr>
      </w:pPr>
      <w:r w:rsidRPr="0052553B">
        <w:rPr>
          <w:b/>
          <w:sz w:val="22"/>
          <w:szCs w:val="22"/>
          <w:lang w:val="en-GB"/>
        </w:rPr>
        <w:t>Concrete and visible outputs</w:t>
      </w:r>
      <w:r w:rsidRPr="0052553B">
        <w:rPr>
          <w:sz w:val="22"/>
          <w:szCs w:val="22"/>
          <w:lang w:val="en-GB"/>
        </w:rPr>
        <w:t xml:space="preserve"> </w:t>
      </w:r>
      <w:r>
        <w:rPr>
          <w:sz w:val="22"/>
          <w:szCs w:val="22"/>
          <w:lang w:val="en-GB"/>
        </w:rPr>
        <w:t xml:space="preserve">including e.g. </w:t>
      </w:r>
      <w:r w:rsidRPr="0052553B">
        <w:rPr>
          <w:sz w:val="22"/>
          <w:szCs w:val="22"/>
          <w:lang w:val="en-GB"/>
        </w:rPr>
        <w:t>small-scale investments, pilot project</w:t>
      </w:r>
      <w:r>
        <w:rPr>
          <w:sz w:val="22"/>
          <w:szCs w:val="22"/>
          <w:lang w:val="en-GB"/>
        </w:rPr>
        <w:t>s, information and communication technologies</w:t>
      </w:r>
      <w:r w:rsidRPr="0052553B">
        <w:rPr>
          <w:sz w:val="22"/>
          <w:szCs w:val="22"/>
          <w:lang w:val="en-GB"/>
        </w:rPr>
        <w:t xml:space="preserve"> shared tools</w:t>
      </w:r>
      <w:r>
        <w:rPr>
          <w:sz w:val="22"/>
          <w:szCs w:val="22"/>
          <w:lang w:val="en-GB"/>
        </w:rPr>
        <w:t>, online open-access resources.</w:t>
      </w:r>
    </w:p>
    <w:p w:rsidR="00C50F00" w:rsidRDefault="00C50F00" w:rsidP="006E538C">
      <w:pPr>
        <w:spacing w:before="120" w:after="0" w:line="264" w:lineRule="auto"/>
        <w:jc w:val="both"/>
        <w:rPr>
          <w:sz w:val="22"/>
          <w:szCs w:val="22"/>
          <w:lang w:val="en-GB"/>
        </w:rPr>
      </w:pPr>
      <w:r>
        <w:rPr>
          <w:sz w:val="22"/>
          <w:szCs w:val="22"/>
          <w:lang w:val="en-GB"/>
        </w:rPr>
        <w:t>When designing and implementing their action, project partners shall also</w:t>
      </w:r>
      <w:r w:rsidRPr="0052553B">
        <w:rPr>
          <w:sz w:val="22"/>
          <w:szCs w:val="22"/>
          <w:lang w:val="en-GB"/>
        </w:rPr>
        <w:t xml:space="preserve"> pay particular attention to</w:t>
      </w:r>
      <w:r>
        <w:rPr>
          <w:sz w:val="22"/>
          <w:szCs w:val="22"/>
          <w:lang w:val="en-GB"/>
        </w:rPr>
        <w:t xml:space="preserve"> ensure:</w:t>
      </w:r>
    </w:p>
    <w:p w:rsidR="00C50F00" w:rsidRPr="002C1FFB" w:rsidRDefault="00C50F00" w:rsidP="006E538C">
      <w:pPr>
        <w:pStyle w:val="ListParagraph"/>
        <w:numPr>
          <w:ilvl w:val="0"/>
          <w:numId w:val="17"/>
        </w:numPr>
        <w:spacing w:before="60" w:after="60" w:line="264" w:lineRule="auto"/>
        <w:contextualSpacing w:val="0"/>
        <w:jc w:val="both"/>
        <w:rPr>
          <w:sz w:val="22"/>
          <w:szCs w:val="22"/>
          <w:lang w:val="en-GB"/>
        </w:rPr>
      </w:pPr>
      <w:r w:rsidRPr="002C1FFB">
        <w:rPr>
          <w:sz w:val="22"/>
          <w:szCs w:val="22"/>
          <w:lang w:val="en-GB"/>
        </w:rPr>
        <w:t xml:space="preserve">The </w:t>
      </w:r>
      <w:r w:rsidRPr="002C1FFB">
        <w:rPr>
          <w:b/>
          <w:sz w:val="22"/>
          <w:szCs w:val="22"/>
          <w:lang w:val="en-GB"/>
        </w:rPr>
        <w:t>sustainability</w:t>
      </w:r>
      <w:r w:rsidRPr="002C1FFB">
        <w:rPr>
          <w:sz w:val="22"/>
          <w:szCs w:val="22"/>
          <w:lang w:val="en-GB"/>
        </w:rPr>
        <w:t xml:space="preserve"> of their action</w:t>
      </w:r>
      <w:r>
        <w:rPr>
          <w:sz w:val="22"/>
          <w:szCs w:val="22"/>
          <w:lang w:val="en-GB"/>
        </w:rPr>
        <w:t>;</w:t>
      </w:r>
      <w:r w:rsidRPr="002C1FFB">
        <w:rPr>
          <w:sz w:val="22"/>
          <w:szCs w:val="22"/>
          <w:lang w:val="en-GB"/>
        </w:rPr>
        <w:t xml:space="preserve"> </w:t>
      </w:r>
    </w:p>
    <w:p w:rsidR="00C50F00" w:rsidRPr="002C1FFB" w:rsidRDefault="00C50F00" w:rsidP="006E538C">
      <w:pPr>
        <w:pStyle w:val="ListParagraph"/>
        <w:numPr>
          <w:ilvl w:val="0"/>
          <w:numId w:val="17"/>
        </w:numPr>
        <w:spacing w:before="60" w:after="60" w:line="264" w:lineRule="auto"/>
        <w:contextualSpacing w:val="0"/>
        <w:jc w:val="both"/>
        <w:rPr>
          <w:sz w:val="22"/>
          <w:szCs w:val="22"/>
          <w:lang w:val="en-GB"/>
        </w:rPr>
      </w:pPr>
      <w:r w:rsidRPr="002C1FFB">
        <w:rPr>
          <w:b/>
          <w:sz w:val="22"/>
          <w:szCs w:val="22"/>
          <w:lang w:val="en-GB"/>
        </w:rPr>
        <w:t>Communication</w:t>
      </w:r>
      <w:r w:rsidRPr="002C1FFB">
        <w:rPr>
          <w:sz w:val="22"/>
          <w:szCs w:val="22"/>
          <w:lang w:val="en-GB"/>
        </w:rPr>
        <w:t xml:space="preserve"> on and dissemination of results</w:t>
      </w:r>
      <w:r>
        <w:rPr>
          <w:sz w:val="22"/>
          <w:szCs w:val="22"/>
          <w:lang w:val="en-GB"/>
        </w:rPr>
        <w:t>;</w:t>
      </w:r>
    </w:p>
    <w:p w:rsidR="00C50F00" w:rsidRPr="002C1FFB" w:rsidRDefault="00C50F00" w:rsidP="006E538C">
      <w:pPr>
        <w:pStyle w:val="ListParagraph"/>
        <w:numPr>
          <w:ilvl w:val="0"/>
          <w:numId w:val="17"/>
        </w:numPr>
        <w:spacing w:before="60" w:after="60" w:line="264" w:lineRule="auto"/>
        <w:contextualSpacing w:val="0"/>
        <w:jc w:val="both"/>
        <w:rPr>
          <w:sz w:val="22"/>
          <w:szCs w:val="22"/>
          <w:lang w:val="en-GB"/>
        </w:rPr>
      </w:pPr>
      <w:r w:rsidRPr="002C1FFB">
        <w:rPr>
          <w:b/>
          <w:sz w:val="22"/>
          <w:szCs w:val="22"/>
          <w:lang w:val="en-GB"/>
        </w:rPr>
        <w:t>Synergies</w:t>
      </w:r>
      <w:r w:rsidRPr="002C1FFB">
        <w:rPr>
          <w:sz w:val="22"/>
          <w:szCs w:val="22"/>
          <w:lang w:val="en-GB"/>
        </w:rPr>
        <w:t xml:space="preserve"> and complementarities with other actions in the same field</w:t>
      </w:r>
      <w:r>
        <w:rPr>
          <w:sz w:val="22"/>
          <w:szCs w:val="22"/>
          <w:lang w:val="en-GB"/>
        </w:rPr>
        <w:t>.</w:t>
      </w:r>
      <w:r w:rsidRPr="002C1FFB">
        <w:rPr>
          <w:sz w:val="22"/>
          <w:szCs w:val="22"/>
          <w:lang w:val="en-GB"/>
        </w:rPr>
        <w:t xml:space="preserve"> </w:t>
      </w:r>
    </w:p>
    <w:p w:rsidR="00D6363F" w:rsidRDefault="00D6363F" w:rsidP="00C50F00">
      <w:pPr>
        <w:spacing w:after="0" w:line="264" w:lineRule="auto"/>
        <w:jc w:val="both"/>
        <w:rPr>
          <w:sz w:val="22"/>
          <w:szCs w:val="22"/>
          <w:lang w:val="en-GB"/>
        </w:rPr>
      </w:pPr>
    </w:p>
    <w:p w:rsidR="00C50F00" w:rsidRDefault="00C50F00" w:rsidP="00C50F00">
      <w:pPr>
        <w:spacing w:after="0" w:line="264" w:lineRule="auto"/>
        <w:jc w:val="both"/>
        <w:rPr>
          <w:sz w:val="22"/>
          <w:szCs w:val="22"/>
          <w:lang w:val="en-GB"/>
        </w:rPr>
      </w:pPr>
      <w:r w:rsidRPr="00FE09B2">
        <w:rPr>
          <w:sz w:val="22"/>
          <w:szCs w:val="22"/>
          <w:lang w:val="en-GB"/>
        </w:rPr>
        <w:t xml:space="preserve">Projects </w:t>
      </w:r>
      <w:r>
        <w:rPr>
          <w:sz w:val="22"/>
          <w:szCs w:val="22"/>
          <w:lang w:val="en-GB"/>
        </w:rPr>
        <w:t>shall be submitted</w:t>
      </w:r>
      <w:r w:rsidRPr="00683A03">
        <w:rPr>
          <w:b/>
          <w:sz w:val="22"/>
          <w:szCs w:val="22"/>
          <w:lang w:val="en-GB"/>
        </w:rPr>
        <w:t xml:space="preserve"> jointly</w:t>
      </w:r>
      <w:r>
        <w:rPr>
          <w:sz w:val="22"/>
          <w:szCs w:val="22"/>
          <w:lang w:val="en-GB"/>
        </w:rPr>
        <w:t xml:space="preserve"> by partners from at least one of the participating EU Member States </w:t>
      </w:r>
      <w:r w:rsidRPr="00683A03">
        <w:rPr>
          <w:b/>
          <w:sz w:val="22"/>
          <w:szCs w:val="22"/>
          <w:lang w:val="en-GB"/>
        </w:rPr>
        <w:t>and</w:t>
      </w:r>
      <w:r>
        <w:rPr>
          <w:sz w:val="22"/>
          <w:szCs w:val="22"/>
          <w:lang w:val="en-GB"/>
        </w:rPr>
        <w:t xml:space="preserve"> one of the participating partner countries or the Russian Federation</w:t>
      </w:r>
      <w:r>
        <w:rPr>
          <w:rStyle w:val="FootnoteReference"/>
          <w:sz w:val="22"/>
          <w:szCs w:val="22"/>
          <w:lang w:val="en-GB"/>
        </w:rPr>
        <w:footnoteReference w:id="72"/>
      </w:r>
      <w:r>
        <w:rPr>
          <w:sz w:val="22"/>
          <w:szCs w:val="22"/>
          <w:lang w:val="en-GB"/>
        </w:rPr>
        <w:t xml:space="preserve">. Participation of Turkish partners is only possible in projects with at least one partner from a participating EU Member State and one partner from a participating partner country or the Russian Federation. The project lead partner may be from any of the participating countries. </w:t>
      </w:r>
    </w:p>
    <w:p w:rsidR="00C50F00" w:rsidRDefault="00C50F00" w:rsidP="00C50F00">
      <w:pPr>
        <w:spacing w:after="0" w:line="264" w:lineRule="auto"/>
        <w:jc w:val="both"/>
        <w:rPr>
          <w:sz w:val="22"/>
          <w:szCs w:val="22"/>
          <w:lang w:val="en-GB"/>
        </w:rPr>
      </w:pPr>
    </w:p>
    <w:p w:rsidR="00C50F00" w:rsidRDefault="00C50F00" w:rsidP="00C50F00">
      <w:pPr>
        <w:spacing w:after="0" w:line="264" w:lineRule="auto"/>
        <w:jc w:val="both"/>
        <w:rPr>
          <w:sz w:val="22"/>
          <w:szCs w:val="22"/>
          <w:lang w:val="en-GB"/>
        </w:rPr>
      </w:pPr>
      <w:r>
        <w:rPr>
          <w:sz w:val="22"/>
          <w:szCs w:val="22"/>
          <w:lang w:val="en-GB"/>
        </w:rPr>
        <w:t>In line with ENI CBC Programming document</w:t>
      </w:r>
      <w:r w:rsidRPr="005C2FDE">
        <w:rPr>
          <w:vertAlign w:val="superscript"/>
        </w:rPr>
        <w:footnoteReference w:id="73"/>
      </w:r>
      <w:r>
        <w:rPr>
          <w:sz w:val="22"/>
          <w:szCs w:val="22"/>
          <w:lang w:val="en-GB"/>
        </w:rPr>
        <w:t>,</w:t>
      </w:r>
      <w:r w:rsidRPr="005C2FDE">
        <w:rPr>
          <w:sz w:val="22"/>
          <w:szCs w:val="22"/>
          <w:lang w:val="en-GB"/>
        </w:rPr>
        <w:t xml:space="preserve"> the partners implementing projects will primarily represent the </w:t>
      </w:r>
      <w:r w:rsidRPr="005670FE">
        <w:rPr>
          <w:b/>
          <w:sz w:val="22"/>
          <w:szCs w:val="22"/>
          <w:lang w:val="en-GB"/>
        </w:rPr>
        <w:t>regional and sub-national administrative levels, as well as civil society organisations</w:t>
      </w:r>
      <w:r w:rsidRPr="005C2FDE">
        <w:rPr>
          <w:sz w:val="22"/>
          <w:szCs w:val="22"/>
          <w:lang w:val="en-GB"/>
        </w:rPr>
        <w:t xml:space="preserve"> based within the eligible programme area</w:t>
      </w:r>
      <w:r>
        <w:rPr>
          <w:sz w:val="22"/>
          <w:szCs w:val="22"/>
          <w:lang w:val="en-GB"/>
        </w:rPr>
        <w:t>. E</w:t>
      </w:r>
      <w:r w:rsidRPr="005C2FDE">
        <w:rPr>
          <w:sz w:val="22"/>
          <w:szCs w:val="22"/>
          <w:lang w:val="en-GB"/>
        </w:rPr>
        <w:t xml:space="preserve">ligibility of project partners is based on the ENI </w:t>
      </w:r>
      <w:r>
        <w:rPr>
          <w:sz w:val="22"/>
          <w:szCs w:val="22"/>
          <w:lang w:val="en-GB"/>
        </w:rPr>
        <w:t>regulation</w:t>
      </w:r>
      <w:r>
        <w:rPr>
          <w:rStyle w:val="FootnoteReference"/>
          <w:sz w:val="22"/>
          <w:szCs w:val="22"/>
          <w:lang w:val="en-GB"/>
        </w:rPr>
        <w:footnoteReference w:id="74"/>
      </w:r>
      <w:r>
        <w:rPr>
          <w:sz w:val="22"/>
          <w:szCs w:val="22"/>
          <w:lang w:val="en-GB"/>
        </w:rPr>
        <w:t xml:space="preserve">, but priority will </w:t>
      </w:r>
      <w:r w:rsidRPr="005C2FDE">
        <w:rPr>
          <w:sz w:val="22"/>
          <w:szCs w:val="22"/>
          <w:lang w:val="en-GB"/>
        </w:rPr>
        <w:t>be given to local and regional authorities, civil society, chambers of commerce, and the academic and educational community; as well as other eligible actors based within the geographical eligibility of the programme and important for the realisation of t</w:t>
      </w:r>
      <w:r>
        <w:rPr>
          <w:sz w:val="22"/>
          <w:szCs w:val="22"/>
          <w:lang w:val="en-GB"/>
        </w:rPr>
        <w:t xml:space="preserve">he objectives of the </w:t>
      </w:r>
      <w:r w:rsidRPr="005C2FDE">
        <w:rPr>
          <w:sz w:val="22"/>
          <w:szCs w:val="22"/>
          <w:lang w:val="en-GB"/>
        </w:rPr>
        <w:t>programme.</w:t>
      </w:r>
      <w:r>
        <w:rPr>
          <w:sz w:val="22"/>
          <w:szCs w:val="22"/>
          <w:lang w:val="en-GB"/>
        </w:rPr>
        <w:t xml:space="preserve"> N</w:t>
      </w:r>
      <w:r w:rsidRPr="005C2FDE">
        <w:rPr>
          <w:sz w:val="22"/>
          <w:szCs w:val="22"/>
          <w:lang w:val="en-GB"/>
        </w:rPr>
        <w:t xml:space="preserve">ational authorities </w:t>
      </w:r>
      <w:r>
        <w:rPr>
          <w:sz w:val="22"/>
          <w:szCs w:val="22"/>
          <w:lang w:val="en-GB"/>
        </w:rPr>
        <w:t>may be involved in project implementation when</w:t>
      </w:r>
      <w:r w:rsidRPr="005C2FDE">
        <w:rPr>
          <w:sz w:val="22"/>
          <w:szCs w:val="22"/>
          <w:lang w:val="en-GB"/>
        </w:rPr>
        <w:t xml:space="preserve"> necessary</w:t>
      </w:r>
      <w:r>
        <w:rPr>
          <w:sz w:val="22"/>
          <w:szCs w:val="22"/>
          <w:lang w:val="en-GB"/>
        </w:rPr>
        <w:t>.</w:t>
      </w:r>
    </w:p>
    <w:p w:rsidR="00C50F00" w:rsidRDefault="00C50F00" w:rsidP="00C50F00">
      <w:pPr>
        <w:spacing w:after="0" w:line="264" w:lineRule="auto"/>
        <w:jc w:val="both"/>
        <w:rPr>
          <w:sz w:val="22"/>
          <w:szCs w:val="22"/>
          <w:lang w:val="en-GB"/>
        </w:rPr>
      </w:pPr>
    </w:p>
    <w:p w:rsidR="0098580C" w:rsidRDefault="00C50F00" w:rsidP="00C50F00">
      <w:pPr>
        <w:spacing w:after="0" w:line="264" w:lineRule="auto"/>
        <w:jc w:val="both"/>
        <w:rPr>
          <w:sz w:val="22"/>
          <w:szCs w:val="22"/>
          <w:lang w:val="en-GB"/>
        </w:rPr>
      </w:pPr>
      <w:r w:rsidRPr="0068278B">
        <w:rPr>
          <w:sz w:val="22"/>
          <w:szCs w:val="22"/>
          <w:lang w:val="en-GB"/>
        </w:rPr>
        <w:t xml:space="preserve">Project partners shall be effectively </w:t>
      </w:r>
      <w:r w:rsidRPr="00FA60D8">
        <w:rPr>
          <w:b/>
          <w:sz w:val="22"/>
          <w:szCs w:val="22"/>
          <w:lang w:val="en-GB"/>
        </w:rPr>
        <w:t>established in the programme area</w:t>
      </w:r>
      <w:r>
        <w:rPr>
          <w:rStyle w:val="FootnoteReference"/>
          <w:b/>
          <w:sz w:val="22"/>
          <w:szCs w:val="22"/>
          <w:lang w:val="en-GB"/>
        </w:rPr>
        <w:footnoteReference w:id="75"/>
      </w:r>
      <w:r w:rsidRPr="0068278B">
        <w:rPr>
          <w:sz w:val="22"/>
          <w:szCs w:val="22"/>
          <w:lang w:val="en-GB"/>
        </w:rPr>
        <w:t xml:space="preserve"> or, in case of international organisations, have a base of operations in the programme area. A European grouping of territorial cooperation may be a project partner, regardless of its place of establishment, provided its geographic coverage is within the programme area</w:t>
      </w:r>
      <w:r>
        <w:rPr>
          <w:rStyle w:val="FootnoteReference"/>
          <w:sz w:val="22"/>
          <w:szCs w:val="22"/>
          <w:lang w:val="en-GB"/>
        </w:rPr>
        <w:footnoteReference w:id="76"/>
      </w:r>
      <w:r w:rsidRPr="0068278B">
        <w:rPr>
          <w:sz w:val="22"/>
          <w:szCs w:val="22"/>
          <w:lang w:val="en-GB"/>
        </w:rPr>
        <w:t>.</w:t>
      </w:r>
      <w:r w:rsidRPr="00B74C61">
        <w:rPr>
          <w:rStyle w:val="FootnoteReference"/>
          <w:sz w:val="22"/>
          <w:szCs w:val="22"/>
          <w:lang w:val="en-GB"/>
        </w:rPr>
        <w:t xml:space="preserve"> </w:t>
      </w:r>
    </w:p>
    <w:p w:rsidR="005E10D2" w:rsidRDefault="005E10D2" w:rsidP="00C50F00">
      <w:pPr>
        <w:spacing w:after="0" w:line="264" w:lineRule="auto"/>
        <w:jc w:val="both"/>
        <w:rPr>
          <w:sz w:val="22"/>
          <w:szCs w:val="22"/>
          <w:lang w:val="en-GB"/>
        </w:rPr>
      </w:pPr>
    </w:p>
    <w:p w:rsidR="0098580C" w:rsidRDefault="0098580C" w:rsidP="00C50F00">
      <w:pPr>
        <w:spacing w:after="0" w:line="264" w:lineRule="auto"/>
        <w:jc w:val="both"/>
        <w:rPr>
          <w:sz w:val="22"/>
          <w:szCs w:val="22"/>
          <w:lang w:val="en-GB"/>
        </w:rPr>
      </w:pPr>
      <w:r w:rsidRPr="00F06BD2">
        <w:rPr>
          <w:sz w:val="22"/>
          <w:szCs w:val="22"/>
          <w:lang w:val="en-GB"/>
        </w:rPr>
        <w:t>The conditions for involvement of other organisations shall be</w:t>
      </w:r>
      <w:r w:rsidR="00D859C7" w:rsidRPr="00F06BD2">
        <w:rPr>
          <w:sz w:val="22"/>
          <w:szCs w:val="22"/>
          <w:lang w:val="en-GB"/>
        </w:rPr>
        <w:t xml:space="preserve"> defined in the Guidelines for A</w:t>
      </w:r>
      <w:r w:rsidRPr="00F06BD2">
        <w:rPr>
          <w:sz w:val="22"/>
          <w:szCs w:val="22"/>
          <w:lang w:val="en-GB"/>
        </w:rPr>
        <w:t>pplicants prepared for each call for proposals</w:t>
      </w:r>
      <w:r w:rsidRPr="00C81E18">
        <w:rPr>
          <w:sz w:val="22"/>
          <w:szCs w:val="22"/>
          <w:lang w:val="en-GB"/>
        </w:rPr>
        <w:t>.</w:t>
      </w:r>
    </w:p>
    <w:p w:rsidR="00C50F00" w:rsidRDefault="00C50F00" w:rsidP="00C50F00">
      <w:pPr>
        <w:pStyle w:val="NumPar1"/>
        <w:numPr>
          <w:ilvl w:val="0"/>
          <w:numId w:val="0"/>
        </w:numPr>
        <w:spacing w:before="0" w:after="0" w:line="264" w:lineRule="auto"/>
        <w:rPr>
          <w:sz w:val="22"/>
        </w:rPr>
      </w:pPr>
    </w:p>
    <w:p w:rsidR="00C50F00" w:rsidRPr="001368E0" w:rsidRDefault="00C50F00" w:rsidP="00C50F00">
      <w:pPr>
        <w:pStyle w:val="NumPar1"/>
        <w:numPr>
          <w:ilvl w:val="0"/>
          <w:numId w:val="0"/>
        </w:numPr>
        <w:spacing w:before="0" w:after="0" w:line="264" w:lineRule="auto"/>
        <w:rPr>
          <w:rFonts w:ascii="Calisto MT" w:eastAsia="MS Mincho" w:hAnsi="Calisto MT"/>
          <w:sz w:val="22"/>
          <w:lang w:eastAsia="fr-FR"/>
        </w:rPr>
      </w:pPr>
      <w:r w:rsidRPr="001368E0">
        <w:rPr>
          <w:rFonts w:ascii="Calisto MT" w:hAnsi="Calisto MT"/>
          <w:sz w:val="22"/>
        </w:rPr>
        <w:t xml:space="preserve">Project activities shall be </w:t>
      </w:r>
      <w:r w:rsidRPr="001368E0">
        <w:rPr>
          <w:rFonts w:ascii="Calisto MT" w:hAnsi="Calisto MT"/>
          <w:b/>
          <w:sz w:val="22"/>
        </w:rPr>
        <w:t>implemented in the programme area</w:t>
      </w:r>
      <w:r w:rsidRPr="001368E0">
        <w:rPr>
          <w:rFonts w:ascii="Calisto MT" w:hAnsi="Calisto MT"/>
          <w:sz w:val="22"/>
        </w:rPr>
        <w:t>.</w:t>
      </w:r>
      <w:r>
        <w:rPr>
          <w:sz w:val="22"/>
        </w:rPr>
        <w:t xml:space="preserve"> </w:t>
      </w:r>
      <w:r w:rsidRPr="001368E0">
        <w:rPr>
          <w:rFonts w:ascii="Calisto MT" w:eastAsia="MS Mincho" w:hAnsi="Calisto MT"/>
          <w:sz w:val="22"/>
          <w:lang w:eastAsia="fr-FR"/>
        </w:rPr>
        <w:t>Projects may be partially implemented outside the programme area only if</w:t>
      </w:r>
      <w:r w:rsidRPr="001368E0">
        <w:rPr>
          <w:rStyle w:val="FootnoteReference"/>
          <w:rFonts w:ascii="Calisto MT" w:eastAsia="MS Mincho" w:hAnsi="Calisto MT"/>
          <w:sz w:val="22"/>
          <w:lang w:eastAsia="fr-FR"/>
        </w:rPr>
        <w:footnoteReference w:id="77"/>
      </w:r>
      <w:r w:rsidRPr="001368E0">
        <w:rPr>
          <w:rFonts w:ascii="Calisto MT" w:eastAsia="MS Mincho" w:hAnsi="Calisto MT"/>
          <w:sz w:val="22"/>
          <w:lang w:eastAsia="fr-FR"/>
        </w:rPr>
        <w:t>:</w:t>
      </w:r>
    </w:p>
    <w:p w:rsidR="00C50F00" w:rsidRPr="001368E0" w:rsidRDefault="00C50F00" w:rsidP="00C50F00">
      <w:pPr>
        <w:pStyle w:val="NumPar1"/>
        <w:numPr>
          <w:ilvl w:val="0"/>
          <w:numId w:val="27"/>
        </w:numPr>
        <w:spacing w:before="0" w:after="0" w:line="264" w:lineRule="auto"/>
        <w:rPr>
          <w:rFonts w:ascii="Calisto MT" w:eastAsia="MS Mincho" w:hAnsi="Calisto MT"/>
          <w:sz w:val="22"/>
          <w:lang w:eastAsia="fr-FR"/>
        </w:rPr>
      </w:pPr>
      <w:r w:rsidRPr="001368E0">
        <w:rPr>
          <w:rFonts w:ascii="Calisto MT" w:eastAsia="MS Mincho" w:hAnsi="Calisto MT"/>
          <w:sz w:val="22"/>
          <w:lang w:eastAsia="fr-FR"/>
        </w:rPr>
        <w:t xml:space="preserve">It is necessary for achieving the programme objective and it benefits the programme area, </w:t>
      </w:r>
      <w:r w:rsidRPr="001368E0">
        <w:rPr>
          <w:rFonts w:ascii="Calisto MT" w:eastAsia="MS Mincho" w:hAnsi="Calisto MT"/>
          <w:sz w:val="22"/>
          <w:u w:val="single"/>
          <w:lang w:eastAsia="fr-FR"/>
        </w:rPr>
        <w:t>and</w:t>
      </w:r>
      <w:r w:rsidRPr="001368E0">
        <w:rPr>
          <w:rFonts w:ascii="Calisto MT" w:eastAsia="MS Mincho" w:hAnsi="Calisto MT"/>
          <w:sz w:val="22"/>
          <w:lang w:eastAsia="fr-FR"/>
        </w:rPr>
        <w:t xml:space="preserve"> </w:t>
      </w:r>
    </w:p>
    <w:p w:rsidR="00C50F00" w:rsidRPr="001368E0" w:rsidRDefault="00C50F00" w:rsidP="00C50F00">
      <w:pPr>
        <w:pStyle w:val="NumPar1"/>
        <w:numPr>
          <w:ilvl w:val="0"/>
          <w:numId w:val="27"/>
        </w:numPr>
        <w:spacing w:before="0" w:after="0" w:line="264" w:lineRule="auto"/>
        <w:rPr>
          <w:rFonts w:ascii="Calisto MT" w:eastAsia="MS Mincho" w:hAnsi="Calisto MT"/>
          <w:sz w:val="22"/>
          <w:lang w:eastAsia="fr-FR"/>
        </w:rPr>
      </w:pPr>
      <w:r w:rsidRPr="001368E0">
        <w:rPr>
          <w:rFonts w:ascii="Calisto MT" w:eastAsia="MS Mincho" w:hAnsi="Calisto MT"/>
          <w:sz w:val="22"/>
          <w:lang w:eastAsia="fr-FR"/>
        </w:rPr>
        <w:t>Costs of activities outside the programme area are limited to 20% of the EU contribution at project level.</w:t>
      </w:r>
    </w:p>
    <w:p w:rsidR="00C50F00" w:rsidRPr="001E5252" w:rsidRDefault="00C50F00" w:rsidP="00C50F00">
      <w:pPr>
        <w:spacing w:after="0" w:line="264" w:lineRule="auto"/>
        <w:rPr>
          <w:lang w:val="en-GB"/>
        </w:rPr>
      </w:pPr>
    </w:p>
    <w:p w:rsidR="00C50F00" w:rsidRDefault="00C50F00" w:rsidP="00C50F00">
      <w:pPr>
        <w:spacing w:after="0" w:line="264" w:lineRule="auto"/>
        <w:jc w:val="both"/>
        <w:rPr>
          <w:sz w:val="22"/>
          <w:szCs w:val="22"/>
          <w:lang w:val="en-GB"/>
        </w:rPr>
      </w:pPr>
      <w:r>
        <w:rPr>
          <w:sz w:val="22"/>
          <w:szCs w:val="22"/>
          <w:lang w:val="en-GB"/>
        </w:rPr>
        <w:t xml:space="preserve">Projects shall always deliver clear </w:t>
      </w:r>
      <w:r w:rsidRPr="00106E5B">
        <w:rPr>
          <w:b/>
          <w:sz w:val="22"/>
          <w:szCs w:val="22"/>
          <w:lang w:val="en-GB"/>
        </w:rPr>
        <w:t>cross-border cooperation impact and benefits</w:t>
      </w:r>
      <w:r>
        <w:rPr>
          <w:sz w:val="22"/>
          <w:szCs w:val="22"/>
          <w:lang w:val="en-GB"/>
        </w:rPr>
        <w:t>. Projects may</w:t>
      </w:r>
      <w:r w:rsidRPr="00FE09B2">
        <w:rPr>
          <w:sz w:val="22"/>
          <w:szCs w:val="22"/>
          <w:lang w:val="en-GB"/>
        </w:rPr>
        <w:t xml:space="preserve"> </w:t>
      </w:r>
      <w:r>
        <w:rPr>
          <w:sz w:val="22"/>
          <w:szCs w:val="22"/>
          <w:lang w:val="en-GB"/>
        </w:rPr>
        <w:t>take the form of:</w:t>
      </w:r>
    </w:p>
    <w:p w:rsidR="00C50F00" w:rsidRDefault="00C50F00" w:rsidP="00C50F00">
      <w:pPr>
        <w:pStyle w:val="ListParagraph"/>
        <w:numPr>
          <w:ilvl w:val="0"/>
          <w:numId w:val="16"/>
        </w:numPr>
        <w:spacing w:after="0" w:line="264" w:lineRule="auto"/>
        <w:jc w:val="both"/>
        <w:rPr>
          <w:sz w:val="22"/>
          <w:szCs w:val="22"/>
          <w:lang w:val="en-GB"/>
        </w:rPr>
      </w:pPr>
      <w:r>
        <w:rPr>
          <w:sz w:val="22"/>
          <w:szCs w:val="22"/>
          <w:lang w:val="en-GB"/>
        </w:rPr>
        <w:t>I</w:t>
      </w:r>
      <w:r w:rsidRPr="00683A03">
        <w:rPr>
          <w:sz w:val="22"/>
          <w:szCs w:val="22"/>
          <w:lang w:val="en-GB"/>
        </w:rPr>
        <w:t xml:space="preserve">ntegrated projects where each beneficiary implements a part of the activities of the project on its own territory; </w:t>
      </w:r>
    </w:p>
    <w:p w:rsidR="00C50F00" w:rsidRDefault="00C50F00" w:rsidP="00C50F00">
      <w:pPr>
        <w:pStyle w:val="ListParagraph"/>
        <w:numPr>
          <w:ilvl w:val="0"/>
          <w:numId w:val="16"/>
        </w:numPr>
        <w:spacing w:after="0" w:line="264" w:lineRule="auto"/>
        <w:jc w:val="both"/>
        <w:rPr>
          <w:sz w:val="22"/>
          <w:szCs w:val="22"/>
          <w:lang w:val="en-GB"/>
        </w:rPr>
      </w:pPr>
      <w:r>
        <w:rPr>
          <w:sz w:val="22"/>
          <w:szCs w:val="22"/>
          <w:lang w:val="en-GB"/>
        </w:rPr>
        <w:t>S</w:t>
      </w:r>
      <w:r w:rsidRPr="00683A03">
        <w:rPr>
          <w:sz w:val="22"/>
          <w:szCs w:val="22"/>
          <w:lang w:val="en-GB"/>
        </w:rPr>
        <w:t xml:space="preserve">ymmetrical projects where similar activities are implemented in parallel </w:t>
      </w:r>
      <w:r>
        <w:rPr>
          <w:sz w:val="22"/>
          <w:szCs w:val="22"/>
          <w:lang w:val="en-GB"/>
        </w:rPr>
        <w:t>in the participating countries;</w:t>
      </w:r>
    </w:p>
    <w:p w:rsidR="00C50F00" w:rsidRDefault="00C50F00" w:rsidP="00C50F00">
      <w:pPr>
        <w:pStyle w:val="ListParagraph"/>
        <w:numPr>
          <w:ilvl w:val="0"/>
          <w:numId w:val="16"/>
        </w:numPr>
        <w:spacing w:after="0" w:line="264" w:lineRule="auto"/>
        <w:jc w:val="both"/>
        <w:rPr>
          <w:sz w:val="22"/>
          <w:szCs w:val="22"/>
          <w:lang w:val="en-GB"/>
        </w:rPr>
      </w:pPr>
      <w:r>
        <w:rPr>
          <w:sz w:val="22"/>
          <w:szCs w:val="22"/>
          <w:lang w:val="en-GB"/>
        </w:rPr>
        <w:t>S</w:t>
      </w:r>
      <w:r w:rsidRPr="00683A03">
        <w:rPr>
          <w:sz w:val="22"/>
          <w:szCs w:val="22"/>
          <w:lang w:val="en-GB"/>
        </w:rPr>
        <w:t>ingle-country projects where projects are implemented mainly or entirely in one of the participating countries but for the benefit of all or some of the participating countries and where cross-border impacts and benefits are identified.</w:t>
      </w:r>
    </w:p>
    <w:p w:rsidR="00C50F00" w:rsidRPr="001368E0" w:rsidRDefault="00C50F00" w:rsidP="00C50F00">
      <w:pPr>
        <w:pStyle w:val="Normaleprogram"/>
        <w:ind w:right="-54"/>
        <w:jc w:val="both"/>
        <w:rPr>
          <w:rFonts w:ascii="Calisto MT" w:eastAsia="MS Mincho" w:hAnsi="Calisto MT"/>
          <w:sz w:val="22"/>
          <w:szCs w:val="22"/>
          <w:lang w:eastAsia="fr-FR"/>
        </w:rPr>
      </w:pPr>
    </w:p>
    <w:p w:rsidR="00C50F00" w:rsidRPr="00717B16" w:rsidRDefault="00C50F00" w:rsidP="00C50F00">
      <w:pPr>
        <w:spacing w:after="0" w:line="264" w:lineRule="auto"/>
        <w:jc w:val="both"/>
        <w:rPr>
          <w:sz w:val="22"/>
          <w:szCs w:val="22"/>
          <w:lang w:val="en-GB"/>
        </w:rPr>
      </w:pPr>
      <w:r w:rsidRPr="00717B16">
        <w:rPr>
          <w:sz w:val="22"/>
          <w:szCs w:val="22"/>
          <w:lang w:val="en-GB"/>
        </w:rPr>
        <w:t>The recommended financial size and the number of partners involved in each project partnership will be further defined in th</w:t>
      </w:r>
      <w:r>
        <w:rPr>
          <w:sz w:val="22"/>
          <w:szCs w:val="22"/>
          <w:lang w:val="en-GB"/>
        </w:rPr>
        <w:t>e Calls for P</w:t>
      </w:r>
      <w:r w:rsidRPr="00717B16">
        <w:rPr>
          <w:sz w:val="22"/>
          <w:szCs w:val="22"/>
          <w:lang w:val="en-GB"/>
        </w:rPr>
        <w:t>roposals.</w:t>
      </w:r>
    </w:p>
    <w:p w:rsidR="00C50F00" w:rsidRDefault="00C50F00" w:rsidP="00C50F00">
      <w:pPr>
        <w:spacing w:after="0" w:line="264" w:lineRule="auto"/>
        <w:jc w:val="both"/>
        <w:rPr>
          <w:sz w:val="22"/>
          <w:szCs w:val="22"/>
          <w:lang w:val="en-GB"/>
        </w:rPr>
      </w:pPr>
    </w:p>
    <w:p w:rsidR="00C50F00" w:rsidRPr="00B467A7" w:rsidRDefault="00C50F00" w:rsidP="00C50F00">
      <w:pPr>
        <w:spacing w:after="0" w:line="264" w:lineRule="auto"/>
        <w:jc w:val="both"/>
        <w:rPr>
          <w:sz w:val="22"/>
          <w:szCs w:val="22"/>
          <w:lang w:val="en-GB"/>
        </w:rPr>
      </w:pPr>
      <w:r w:rsidRPr="00B467A7">
        <w:rPr>
          <w:sz w:val="22"/>
          <w:szCs w:val="22"/>
          <w:lang w:val="en-GB"/>
        </w:rPr>
        <w:t xml:space="preserve">Support to projects will be provided in the form of </w:t>
      </w:r>
      <w:r w:rsidRPr="00B467A7">
        <w:rPr>
          <w:b/>
          <w:sz w:val="22"/>
          <w:szCs w:val="22"/>
          <w:lang w:val="en-GB"/>
        </w:rPr>
        <w:t>grants awarded to projects selected through calls for proposals</w:t>
      </w:r>
      <w:r w:rsidRPr="00B467A7">
        <w:rPr>
          <w:sz w:val="22"/>
          <w:szCs w:val="22"/>
          <w:lang w:val="en-GB"/>
        </w:rPr>
        <w:t>. Two calls for proposals are provisionally expected to be launched during the programme lifetime, according with the time-frame for programme implementation</w:t>
      </w:r>
      <w:r w:rsidR="00102B20">
        <w:rPr>
          <w:sz w:val="22"/>
          <w:szCs w:val="22"/>
          <w:lang w:val="en-GB"/>
        </w:rPr>
        <w:t xml:space="preserve"> (presented in the chapter on programme implementation)</w:t>
      </w:r>
      <w:r w:rsidRPr="00B467A7">
        <w:rPr>
          <w:sz w:val="22"/>
          <w:szCs w:val="22"/>
          <w:lang w:val="en-GB"/>
        </w:rPr>
        <w:t>. The procedures to launch the calls for proposals, select and implement projects will be detailed in the Guidelines for Applicants. This document will also include the specific requirements concerning the deliverables under the project, the financial plan, and the time-limit for execution</w:t>
      </w:r>
      <w:r w:rsidRPr="00B467A7">
        <w:rPr>
          <w:sz w:val="22"/>
          <w:szCs w:val="22"/>
          <w:vertAlign w:val="superscript"/>
        </w:rPr>
        <w:footnoteReference w:id="78"/>
      </w:r>
      <w:r w:rsidRPr="00B467A7">
        <w:rPr>
          <w:sz w:val="22"/>
          <w:szCs w:val="22"/>
          <w:lang w:val="en-GB"/>
        </w:rPr>
        <w:t>.</w:t>
      </w:r>
    </w:p>
    <w:p w:rsidR="00C50F00" w:rsidRPr="00B467A7" w:rsidRDefault="00C50F00" w:rsidP="00C50F00">
      <w:pPr>
        <w:spacing w:after="0" w:line="264" w:lineRule="auto"/>
        <w:jc w:val="both"/>
        <w:rPr>
          <w:sz w:val="22"/>
          <w:szCs w:val="22"/>
          <w:lang w:val="en-GB"/>
        </w:rPr>
      </w:pPr>
    </w:p>
    <w:p w:rsidR="00F16F0A" w:rsidRPr="001E0FDF" w:rsidRDefault="00F16F0A" w:rsidP="001E0FDF">
      <w:pPr>
        <w:pStyle w:val="Heading3"/>
        <w:spacing w:before="240" w:after="240" w:line="264" w:lineRule="auto"/>
        <w:rPr>
          <w:b/>
          <w:sz w:val="28"/>
          <w:szCs w:val="28"/>
          <w:lang w:val="en-GB"/>
        </w:rPr>
      </w:pPr>
      <w:bookmarkStart w:id="81" w:name="_Toc288133453"/>
      <w:r w:rsidRPr="001E0FDF">
        <w:rPr>
          <w:b/>
          <w:sz w:val="28"/>
          <w:szCs w:val="28"/>
          <w:lang w:val="en-GB"/>
        </w:rPr>
        <w:t>Mainstreaming of cross-cutting issues</w:t>
      </w:r>
      <w:bookmarkEnd w:id="79"/>
      <w:bookmarkEnd w:id="80"/>
      <w:bookmarkEnd w:id="81"/>
    </w:p>
    <w:p w:rsidR="00F16F0A" w:rsidRDefault="00F16F0A" w:rsidP="00F16F0A">
      <w:pPr>
        <w:spacing w:before="240" w:after="0" w:line="252" w:lineRule="auto"/>
        <w:jc w:val="both"/>
        <w:rPr>
          <w:sz w:val="22"/>
          <w:szCs w:val="22"/>
          <w:lang w:val="en-US"/>
        </w:rPr>
      </w:pPr>
      <w:r w:rsidRPr="003516A4">
        <w:rPr>
          <w:sz w:val="22"/>
          <w:szCs w:val="22"/>
          <w:lang w:val="en-US"/>
        </w:rPr>
        <w:t xml:space="preserve">ENI CBC </w:t>
      </w:r>
      <w:r>
        <w:rPr>
          <w:sz w:val="22"/>
          <w:szCs w:val="22"/>
          <w:lang w:val="en-US"/>
        </w:rPr>
        <w:t>regulations</w:t>
      </w:r>
      <w:r>
        <w:rPr>
          <w:rStyle w:val="FootnoteReference"/>
          <w:sz w:val="22"/>
          <w:szCs w:val="22"/>
          <w:lang w:val="en-US"/>
        </w:rPr>
        <w:footnoteReference w:id="79"/>
      </w:r>
      <w:r>
        <w:rPr>
          <w:sz w:val="22"/>
          <w:szCs w:val="22"/>
          <w:lang w:val="en-US"/>
        </w:rPr>
        <w:t xml:space="preserve"> require</w:t>
      </w:r>
      <w:r w:rsidRPr="003516A4">
        <w:rPr>
          <w:sz w:val="22"/>
          <w:szCs w:val="22"/>
          <w:lang w:val="en-US"/>
        </w:rPr>
        <w:t xml:space="preserve"> </w:t>
      </w:r>
      <w:r w:rsidRPr="001368E0">
        <w:rPr>
          <w:sz w:val="22"/>
          <w:szCs w:val="22"/>
          <w:highlight w:val="lightGray"/>
          <w:lang w:val="en-US"/>
        </w:rPr>
        <w:t>a description of the ways the following cross-cutting issues will be mainstreamed during programme implementation</w:t>
      </w:r>
      <w:r>
        <w:rPr>
          <w:sz w:val="22"/>
          <w:szCs w:val="22"/>
          <w:lang w:val="en-US"/>
        </w:rPr>
        <w:t>,</w:t>
      </w:r>
      <w:r w:rsidRPr="003516A4">
        <w:rPr>
          <w:sz w:val="22"/>
          <w:szCs w:val="22"/>
          <w:lang w:val="en-US"/>
        </w:rPr>
        <w:t xml:space="preserve"> where </w:t>
      </w:r>
      <w:r w:rsidRPr="00272846">
        <w:rPr>
          <w:sz w:val="22"/>
          <w:szCs w:val="22"/>
          <w:lang w:val="en-US"/>
        </w:rPr>
        <w:t>relevant</w:t>
      </w:r>
      <w:r>
        <w:rPr>
          <w:sz w:val="22"/>
          <w:szCs w:val="22"/>
          <w:lang w:val="en-US"/>
        </w:rPr>
        <w:t>:</w:t>
      </w:r>
      <w:r w:rsidRPr="00272846">
        <w:rPr>
          <w:sz w:val="22"/>
          <w:szCs w:val="22"/>
          <w:lang w:val="en-US"/>
        </w:rPr>
        <w:t xml:space="preserve"> democracy and human rights, environmental sustainability, gender equality and HIV/AIDS.</w:t>
      </w:r>
      <w:r w:rsidRPr="00C54947">
        <w:rPr>
          <w:sz w:val="22"/>
          <w:szCs w:val="22"/>
          <w:lang w:val="en-US"/>
        </w:rPr>
        <w:t xml:space="preserve"> </w:t>
      </w:r>
    </w:p>
    <w:p w:rsidR="000D2E09" w:rsidRPr="00383D5C" w:rsidRDefault="003B72FB" w:rsidP="00383D5C">
      <w:pPr>
        <w:spacing w:before="120" w:after="0" w:line="252" w:lineRule="auto"/>
        <w:jc w:val="both"/>
        <w:rPr>
          <w:sz w:val="22"/>
          <w:szCs w:val="22"/>
          <w:lang w:val="cs-CZ"/>
        </w:rPr>
      </w:pPr>
      <w:r>
        <w:rPr>
          <w:sz w:val="22"/>
          <w:szCs w:val="22"/>
          <w:lang w:val="en-US"/>
        </w:rPr>
        <w:t xml:space="preserve">Within the BSB programme, environmental sustainability is </w:t>
      </w:r>
      <w:r w:rsidR="00B45BF7">
        <w:rPr>
          <w:sz w:val="22"/>
          <w:szCs w:val="22"/>
          <w:lang w:val="en-US"/>
        </w:rPr>
        <w:t xml:space="preserve">strongly </w:t>
      </w:r>
      <w:r>
        <w:rPr>
          <w:sz w:val="22"/>
          <w:szCs w:val="22"/>
          <w:lang w:val="en-US"/>
        </w:rPr>
        <w:t xml:space="preserve">mainstreamed at the level of </w:t>
      </w:r>
      <w:r w:rsidR="00B45BF7">
        <w:rPr>
          <w:sz w:val="22"/>
          <w:szCs w:val="22"/>
          <w:lang w:val="en-US"/>
        </w:rPr>
        <w:t>thematic O</w:t>
      </w:r>
      <w:r>
        <w:rPr>
          <w:sz w:val="22"/>
          <w:szCs w:val="22"/>
          <w:lang w:val="en-US"/>
        </w:rPr>
        <w:t>bjective</w:t>
      </w:r>
      <w:r w:rsidR="00B45BF7">
        <w:rPr>
          <w:sz w:val="22"/>
          <w:szCs w:val="22"/>
          <w:lang w:val="en-US"/>
        </w:rPr>
        <w:t xml:space="preserve"> 2.</w:t>
      </w:r>
      <w:r>
        <w:rPr>
          <w:sz w:val="22"/>
          <w:szCs w:val="22"/>
          <w:lang w:val="en-US"/>
        </w:rPr>
        <w:t>, while democracy and human rights and gender equality are integrated as horizontal issues</w:t>
      </w:r>
      <w:r w:rsidR="000951BF">
        <w:rPr>
          <w:rStyle w:val="FootnoteReference"/>
          <w:sz w:val="22"/>
          <w:szCs w:val="22"/>
          <w:lang w:val="en-US"/>
        </w:rPr>
        <w:footnoteReference w:id="80"/>
      </w:r>
      <w:r>
        <w:rPr>
          <w:sz w:val="22"/>
          <w:szCs w:val="22"/>
          <w:lang w:val="en-US"/>
        </w:rPr>
        <w:t>.</w:t>
      </w:r>
      <w:r w:rsidRPr="003B72FB">
        <w:rPr>
          <w:sz w:val="22"/>
          <w:szCs w:val="22"/>
          <w:lang w:val="cs-CZ"/>
        </w:rPr>
        <w:t xml:space="preserve"> </w:t>
      </w:r>
      <w:r>
        <w:rPr>
          <w:sz w:val="22"/>
          <w:szCs w:val="22"/>
          <w:lang w:val="cs-CZ"/>
        </w:rPr>
        <w:t>Considering the programme strategic orientations</w:t>
      </w:r>
      <w:r w:rsidR="00B23CC0">
        <w:rPr>
          <w:sz w:val="22"/>
          <w:szCs w:val="22"/>
          <w:lang w:val="cs-CZ"/>
        </w:rPr>
        <w:t xml:space="preserve"> and BSB</w:t>
      </w:r>
      <w:r w:rsidR="00EF58F1">
        <w:rPr>
          <w:sz w:val="22"/>
          <w:szCs w:val="22"/>
          <w:lang w:val="cs-CZ"/>
        </w:rPr>
        <w:t xml:space="preserve"> socio-economic analysis</w:t>
      </w:r>
      <w:r>
        <w:rPr>
          <w:sz w:val="22"/>
          <w:szCs w:val="22"/>
          <w:lang w:val="cs-CZ"/>
        </w:rPr>
        <w:t>, the mainstreaming of HIV/AIDS appears less relevant.</w:t>
      </w:r>
    </w:p>
    <w:p w:rsidR="007F4AE8" w:rsidRPr="00383D5C" w:rsidRDefault="000D2E09" w:rsidP="00383D5C">
      <w:pPr>
        <w:spacing w:before="240" w:after="0" w:line="252" w:lineRule="auto"/>
        <w:jc w:val="both"/>
        <w:rPr>
          <w:sz w:val="22"/>
          <w:szCs w:val="22"/>
          <w:lang w:val="en-US"/>
        </w:rPr>
      </w:pPr>
      <w:r w:rsidRPr="00383D5C">
        <w:rPr>
          <w:sz w:val="22"/>
          <w:szCs w:val="22"/>
          <w:lang w:val="en-US"/>
        </w:rPr>
        <w:t>Integration</w:t>
      </w:r>
      <w:r w:rsidR="00212BFF" w:rsidRPr="00383D5C">
        <w:rPr>
          <w:sz w:val="22"/>
          <w:szCs w:val="22"/>
          <w:lang w:val="en-US"/>
        </w:rPr>
        <w:t xml:space="preserve"> at project level</w:t>
      </w:r>
      <w:r w:rsidRPr="00383D5C">
        <w:rPr>
          <w:sz w:val="22"/>
          <w:szCs w:val="22"/>
          <w:lang w:val="en-US"/>
        </w:rPr>
        <w:t xml:space="preserve"> of</w:t>
      </w:r>
      <w:r w:rsidR="007F4AE8" w:rsidRPr="00383D5C">
        <w:rPr>
          <w:sz w:val="22"/>
          <w:szCs w:val="22"/>
          <w:lang w:val="en-US"/>
        </w:rPr>
        <w:t xml:space="preserve"> the relevant </w:t>
      </w:r>
      <w:r w:rsidRPr="00383D5C">
        <w:rPr>
          <w:sz w:val="22"/>
          <w:szCs w:val="22"/>
          <w:lang w:val="en-US"/>
        </w:rPr>
        <w:t xml:space="preserve">cross-cutting issues </w:t>
      </w:r>
      <w:r w:rsidR="007F4AE8" w:rsidRPr="00383D5C">
        <w:rPr>
          <w:sz w:val="22"/>
          <w:szCs w:val="22"/>
          <w:lang w:val="en-US"/>
        </w:rPr>
        <w:t xml:space="preserve">described below </w:t>
      </w:r>
      <w:r w:rsidRPr="00383D5C">
        <w:rPr>
          <w:sz w:val="22"/>
          <w:szCs w:val="22"/>
          <w:lang w:val="en-US"/>
        </w:rPr>
        <w:t>will be</w:t>
      </w:r>
      <w:r w:rsidR="007F4AE8" w:rsidRPr="00383D5C">
        <w:rPr>
          <w:sz w:val="22"/>
          <w:szCs w:val="22"/>
          <w:lang w:val="en-US"/>
        </w:rPr>
        <w:t>:</w:t>
      </w:r>
    </w:p>
    <w:p w:rsidR="007F4AE8" w:rsidRPr="00383D5C" w:rsidRDefault="007F4AE8" w:rsidP="00EE745F">
      <w:pPr>
        <w:pStyle w:val="ListParagraph"/>
        <w:numPr>
          <w:ilvl w:val="0"/>
          <w:numId w:val="23"/>
        </w:numPr>
        <w:spacing w:after="120" w:line="264" w:lineRule="auto"/>
        <w:jc w:val="both"/>
        <w:rPr>
          <w:sz w:val="22"/>
          <w:szCs w:val="22"/>
          <w:lang w:val="en-GB"/>
        </w:rPr>
      </w:pPr>
      <w:r w:rsidRPr="00383D5C">
        <w:rPr>
          <w:sz w:val="22"/>
          <w:szCs w:val="22"/>
          <w:lang w:val="en-GB"/>
        </w:rPr>
        <w:t>A</w:t>
      </w:r>
      <w:r w:rsidR="000D2E09" w:rsidRPr="00383D5C">
        <w:rPr>
          <w:sz w:val="22"/>
          <w:szCs w:val="22"/>
          <w:lang w:val="en-GB"/>
        </w:rPr>
        <w:t>ssessed during the selection process and included into the cr</w:t>
      </w:r>
      <w:r w:rsidRPr="00383D5C">
        <w:rPr>
          <w:sz w:val="22"/>
          <w:szCs w:val="22"/>
          <w:lang w:val="en-GB"/>
        </w:rPr>
        <w:t>iteria for project evaluation</w:t>
      </w:r>
    </w:p>
    <w:p w:rsidR="00212BFF" w:rsidRPr="00383D5C" w:rsidRDefault="007F4AE8" w:rsidP="00EE745F">
      <w:pPr>
        <w:pStyle w:val="ListParagraph"/>
        <w:numPr>
          <w:ilvl w:val="0"/>
          <w:numId w:val="23"/>
        </w:numPr>
        <w:spacing w:after="120" w:line="264" w:lineRule="auto"/>
        <w:jc w:val="both"/>
        <w:rPr>
          <w:sz w:val="22"/>
          <w:szCs w:val="22"/>
          <w:lang w:val="en-GB"/>
        </w:rPr>
      </w:pPr>
      <w:r w:rsidRPr="00383D5C">
        <w:rPr>
          <w:sz w:val="22"/>
          <w:szCs w:val="22"/>
          <w:lang w:val="en-GB"/>
        </w:rPr>
        <w:t>Checked in project reports and during project monitoring visits</w:t>
      </w:r>
      <w:r w:rsidR="00212BFF" w:rsidRPr="00383D5C">
        <w:rPr>
          <w:sz w:val="22"/>
          <w:szCs w:val="22"/>
          <w:lang w:val="en-GB"/>
        </w:rPr>
        <w:t>.</w:t>
      </w:r>
    </w:p>
    <w:p w:rsidR="00212BFF" w:rsidRPr="00383D5C" w:rsidRDefault="00212BFF" w:rsidP="00383D5C">
      <w:pPr>
        <w:spacing w:before="240" w:after="0" w:line="252" w:lineRule="auto"/>
        <w:jc w:val="both"/>
        <w:rPr>
          <w:sz w:val="22"/>
          <w:szCs w:val="22"/>
          <w:lang w:val="en-US"/>
        </w:rPr>
      </w:pPr>
      <w:r w:rsidRPr="00383D5C">
        <w:rPr>
          <w:sz w:val="22"/>
          <w:szCs w:val="22"/>
          <w:lang w:val="en-US"/>
        </w:rPr>
        <w:t xml:space="preserve">Further guidance on requirements </w:t>
      </w:r>
      <w:r w:rsidR="00262072" w:rsidRPr="00383D5C">
        <w:rPr>
          <w:sz w:val="22"/>
          <w:szCs w:val="22"/>
          <w:lang w:val="en-US"/>
        </w:rPr>
        <w:t>for project selection</w:t>
      </w:r>
      <w:r w:rsidRPr="00383D5C">
        <w:rPr>
          <w:sz w:val="22"/>
          <w:szCs w:val="22"/>
          <w:lang w:val="en-US"/>
        </w:rPr>
        <w:t xml:space="preserve"> </w:t>
      </w:r>
      <w:r w:rsidR="00262072" w:rsidRPr="00383D5C">
        <w:rPr>
          <w:sz w:val="22"/>
          <w:szCs w:val="22"/>
          <w:lang w:val="en-US"/>
        </w:rPr>
        <w:t xml:space="preserve">and reporting </w:t>
      </w:r>
      <w:r w:rsidR="00407725" w:rsidRPr="00383D5C">
        <w:rPr>
          <w:sz w:val="22"/>
          <w:szCs w:val="22"/>
          <w:lang w:val="en-US"/>
        </w:rPr>
        <w:t>will be provided in the p</w:t>
      </w:r>
      <w:r w:rsidR="006A7305">
        <w:rPr>
          <w:sz w:val="22"/>
          <w:szCs w:val="22"/>
          <w:lang w:val="en-US"/>
        </w:rPr>
        <w:t>rogramme’s</w:t>
      </w:r>
      <w:r w:rsidRPr="00383D5C">
        <w:rPr>
          <w:sz w:val="22"/>
          <w:szCs w:val="22"/>
          <w:lang w:val="en-US"/>
        </w:rPr>
        <w:t xml:space="preserve"> Guidelines for Applicants a</w:t>
      </w:r>
      <w:r w:rsidR="00262072" w:rsidRPr="00383D5C">
        <w:rPr>
          <w:sz w:val="22"/>
          <w:szCs w:val="22"/>
          <w:lang w:val="en-US"/>
        </w:rPr>
        <w:t>nd</w:t>
      </w:r>
      <w:r w:rsidR="00407725" w:rsidRPr="00383D5C">
        <w:rPr>
          <w:sz w:val="22"/>
          <w:szCs w:val="22"/>
          <w:lang w:val="en-US"/>
        </w:rPr>
        <w:t xml:space="preserve"> Implementation Manual</w:t>
      </w:r>
      <w:r w:rsidR="002507B1">
        <w:rPr>
          <w:sz w:val="22"/>
          <w:szCs w:val="22"/>
          <w:lang w:val="en-US"/>
        </w:rPr>
        <w:t xml:space="preserve"> or </w:t>
      </w:r>
      <w:r w:rsidR="00E26BAF">
        <w:rPr>
          <w:sz w:val="22"/>
          <w:szCs w:val="22"/>
          <w:lang w:val="en-US"/>
        </w:rPr>
        <w:t>similar documents issued at programme level</w:t>
      </w:r>
      <w:r w:rsidR="00407725" w:rsidRPr="00383D5C">
        <w:rPr>
          <w:sz w:val="22"/>
          <w:szCs w:val="22"/>
          <w:lang w:val="en-US"/>
        </w:rPr>
        <w:t>.</w:t>
      </w:r>
      <w:r w:rsidR="00262072" w:rsidRPr="00383D5C">
        <w:rPr>
          <w:sz w:val="22"/>
          <w:szCs w:val="22"/>
          <w:lang w:val="en-US"/>
        </w:rPr>
        <w:t xml:space="preserve"> </w:t>
      </w:r>
    </w:p>
    <w:p w:rsidR="00F16F0A" w:rsidRPr="0025034F" w:rsidRDefault="00F16F0A" w:rsidP="0025034F">
      <w:pPr>
        <w:spacing w:before="240" w:after="120"/>
        <w:rPr>
          <w:b/>
          <w:lang w:val="en-GB"/>
        </w:rPr>
      </w:pPr>
      <w:bookmarkStart w:id="82" w:name="_Toc276156676"/>
      <w:r w:rsidRPr="0025034F">
        <w:rPr>
          <w:b/>
          <w:lang w:val="en-GB"/>
        </w:rPr>
        <w:t>Environmental sustainability</w:t>
      </w:r>
      <w:bookmarkEnd w:id="82"/>
    </w:p>
    <w:p w:rsidR="00F16F0A" w:rsidRPr="00021899" w:rsidRDefault="00F16F0A" w:rsidP="00F16F0A">
      <w:pPr>
        <w:spacing w:before="120" w:after="0" w:line="252" w:lineRule="auto"/>
        <w:jc w:val="both"/>
        <w:rPr>
          <w:sz w:val="22"/>
          <w:szCs w:val="22"/>
          <w:lang w:val="en-US"/>
        </w:rPr>
      </w:pPr>
      <w:r w:rsidRPr="00021899">
        <w:rPr>
          <w:sz w:val="22"/>
          <w:szCs w:val="22"/>
          <w:lang w:val="en-US"/>
        </w:rPr>
        <w:t>Considering the great environmental challenges faced by the Black Sea basin</w:t>
      </w:r>
      <w:r w:rsidR="00146DBC">
        <w:rPr>
          <w:sz w:val="22"/>
          <w:szCs w:val="22"/>
          <w:lang w:val="en-US"/>
        </w:rPr>
        <w:t xml:space="preserve"> as described in the socio-economic analysis</w:t>
      </w:r>
      <w:r w:rsidRPr="00021899">
        <w:rPr>
          <w:sz w:val="22"/>
          <w:szCs w:val="22"/>
          <w:lang w:val="en-US"/>
        </w:rPr>
        <w:t xml:space="preserve">, the issue of environmental sustainability has been </w:t>
      </w:r>
      <w:r w:rsidR="00B45BF7">
        <w:rPr>
          <w:sz w:val="22"/>
          <w:szCs w:val="22"/>
          <w:lang w:val="en-US"/>
        </w:rPr>
        <w:t>clear</w:t>
      </w:r>
      <w:r w:rsidRPr="00021899">
        <w:rPr>
          <w:sz w:val="22"/>
          <w:szCs w:val="22"/>
          <w:lang w:val="en-US"/>
        </w:rPr>
        <w:t xml:space="preserve">ly mainstreamed within BSB programme strategy </w:t>
      </w:r>
      <w:r w:rsidRPr="002C30C5">
        <w:rPr>
          <w:sz w:val="22"/>
          <w:szCs w:val="22"/>
          <w:lang w:val="en-US"/>
        </w:rPr>
        <w:t>design. O</w:t>
      </w:r>
      <w:r w:rsidR="00DD1C75" w:rsidRPr="002C30C5">
        <w:rPr>
          <w:sz w:val="22"/>
          <w:szCs w:val="22"/>
          <w:lang w:val="en-US"/>
        </w:rPr>
        <w:t>bjective 2</w:t>
      </w:r>
      <w:r w:rsidR="007F35E8" w:rsidRPr="002C30C5">
        <w:rPr>
          <w:sz w:val="22"/>
          <w:szCs w:val="22"/>
          <w:lang w:val="en-US"/>
        </w:rPr>
        <w:t xml:space="preserve"> </w:t>
      </w:r>
      <w:r w:rsidRPr="002C30C5">
        <w:rPr>
          <w:sz w:val="22"/>
          <w:szCs w:val="22"/>
          <w:lang w:val="en-US"/>
        </w:rPr>
        <w:t>focus</w:t>
      </w:r>
      <w:r w:rsidR="007F35E8" w:rsidRPr="002C30C5">
        <w:rPr>
          <w:sz w:val="22"/>
          <w:szCs w:val="22"/>
          <w:lang w:val="en-US"/>
        </w:rPr>
        <w:t>es</w:t>
      </w:r>
      <w:r w:rsidRPr="002C30C5">
        <w:rPr>
          <w:sz w:val="22"/>
          <w:szCs w:val="22"/>
          <w:lang w:val="en-US"/>
        </w:rPr>
        <w:t xml:space="preserve"> on enhancing environmental protection, while </w:t>
      </w:r>
      <w:r w:rsidR="00B43F46" w:rsidRPr="002C30C5">
        <w:rPr>
          <w:sz w:val="22"/>
          <w:szCs w:val="22"/>
          <w:lang w:val="en-US"/>
        </w:rPr>
        <w:t>38.33</w:t>
      </w:r>
      <w:r w:rsidRPr="002C30C5">
        <w:rPr>
          <w:sz w:val="22"/>
          <w:szCs w:val="22"/>
          <w:lang w:val="en-US"/>
        </w:rPr>
        <w:t>% of the programme budget is</w:t>
      </w:r>
      <w:r w:rsidRPr="00021899">
        <w:rPr>
          <w:sz w:val="22"/>
          <w:szCs w:val="22"/>
          <w:lang w:val="en-US"/>
        </w:rPr>
        <w:t xml:space="preserve"> allocated to </w:t>
      </w:r>
      <w:r w:rsidR="007F35E8">
        <w:rPr>
          <w:sz w:val="22"/>
          <w:szCs w:val="22"/>
          <w:lang w:val="en-US"/>
        </w:rPr>
        <w:t>this Objective</w:t>
      </w:r>
      <w:r w:rsidRPr="00021899">
        <w:rPr>
          <w:sz w:val="22"/>
          <w:szCs w:val="22"/>
          <w:lang w:val="en-US"/>
        </w:rPr>
        <w:t>.</w:t>
      </w:r>
    </w:p>
    <w:p w:rsidR="00F16F0A" w:rsidRDefault="00F16F0A" w:rsidP="00F16F0A">
      <w:pPr>
        <w:spacing w:before="120" w:after="0" w:line="252" w:lineRule="auto"/>
        <w:jc w:val="both"/>
        <w:rPr>
          <w:sz w:val="22"/>
          <w:szCs w:val="22"/>
          <w:lang w:val="en-US"/>
        </w:rPr>
      </w:pPr>
      <w:r w:rsidRPr="00021899">
        <w:rPr>
          <w:sz w:val="22"/>
          <w:szCs w:val="22"/>
          <w:lang w:val="en-US"/>
        </w:rPr>
        <w:t xml:space="preserve">Moreover, environmental constraints and opportunities are also considered under Objective 1 priorities, notably within indicative activities such as the development of environmentally friendly tourism strategies (under 1.1) or the introduction of innovative technologies for organic/bio products and sustainable aquaculture (under 1.2). </w:t>
      </w:r>
    </w:p>
    <w:p w:rsidR="00F16F0A" w:rsidRPr="00021899" w:rsidRDefault="00F16F0A" w:rsidP="00F16F0A">
      <w:pPr>
        <w:widowControl w:val="0"/>
        <w:autoSpaceDE w:val="0"/>
        <w:autoSpaceDN w:val="0"/>
        <w:adjustRightInd w:val="0"/>
        <w:spacing w:after="0" w:line="240" w:lineRule="auto"/>
        <w:jc w:val="both"/>
        <w:rPr>
          <w:rFonts w:ascii="Cambria" w:hAnsi="Cambria" w:cs="Cambria"/>
          <w:i/>
          <w:iCs/>
          <w:color w:val="000000"/>
          <w:sz w:val="18"/>
          <w:szCs w:val="18"/>
          <w:lang w:val="en-GB"/>
        </w:rPr>
      </w:pPr>
    </w:p>
    <w:p w:rsidR="00266B7B" w:rsidRPr="00197A31" w:rsidRDefault="00F16F0A" w:rsidP="00F16F0A">
      <w:pPr>
        <w:widowControl w:val="0"/>
        <w:autoSpaceDE w:val="0"/>
        <w:autoSpaceDN w:val="0"/>
        <w:adjustRightInd w:val="0"/>
        <w:spacing w:after="0" w:line="240" w:lineRule="auto"/>
        <w:jc w:val="both"/>
        <w:rPr>
          <w:sz w:val="22"/>
          <w:szCs w:val="22"/>
          <w:lang w:val="en-US"/>
        </w:rPr>
      </w:pPr>
      <w:r w:rsidRPr="00DD1C75">
        <w:rPr>
          <w:sz w:val="22"/>
          <w:szCs w:val="22"/>
          <w:lang w:val="en-US"/>
        </w:rPr>
        <w:t xml:space="preserve">Beyond these thematic priorities, </w:t>
      </w:r>
      <w:r w:rsidR="00755CD3" w:rsidRPr="00DD1C75">
        <w:rPr>
          <w:sz w:val="22"/>
          <w:szCs w:val="22"/>
          <w:lang w:val="en-US"/>
        </w:rPr>
        <w:t xml:space="preserve">all projects funded in the frame of the BSB programme will have </w:t>
      </w:r>
      <w:r w:rsidRPr="00DD1C75">
        <w:rPr>
          <w:sz w:val="22"/>
          <w:szCs w:val="22"/>
          <w:lang w:val="en-US"/>
        </w:rPr>
        <w:t xml:space="preserve">to integrate environmental </w:t>
      </w:r>
      <w:r w:rsidR="00755CD3" w:rsidRPr="00DD1C75">
        <w:rPr>
          <w:sz w:val="22"/>
          <w:szCs w:val="22"/>
          <w:lang w:val="en-US"/>
        </w:rPr>
        <w:t xml:space="preserve">considerations. </w:t>
      </w:r>
      <w:r w:rsidRPr="00DD1C75">
        <w:rPr>
          <w:sz w:val="22"/>
          <w:szCs w:val="22"/>
          <w:lang w:val="en-US"/>
        </w:rPr>
        <w:t>This notably includes following good environmental practices during implementation, in particular in relation to energy efficiency as well as in relation to the use of water</w:t>
      </w:r>
      <w:r w:rsidR="003F5219">
        <w:rPr>
          <w:sz w:val="22"/>
          <w:szCs w:val="22"/>
          <w:lang w:val="en-US"/>
        </w:rPr>
        <w:t>, extraction from surface or ground water reserves</w:t>
      </w:r>
      <w:r w:rsidRPr="00DD1C75">
        <w:rPr>
          <w:sz w:val="22"/>
          <w:szCs w:val="22"/>
          <w:lang w:val="en-US"/>
        </w:rPr>
        <w:t xml:space="preserve"> and the production of waste, etc.</w:t>
      </w:r>
      <w:r w:rsidR="004725B0">
        <w:rPr>
          <w:rFonts w:eastAsia="Times New Roman"/>
          <w:sz w:val="22"/>
          <w:szCs w:val="22"/>
          <w:lang w:val="en-GB"/>
        </w:rPr>
        <w:t xml:space="preserve"> </w:t>
      </w:r>
      <w:r w:rsidR="004725B0" w:rsidRPr="00197A31">
        <w:rPr>
          <w:sz w:val="22"/>
          <w:szCs w:val="22"/>
          <w:lang w:val="en-US"/>
        </w:rPr>
        <w:t>Where necessary, the likely environmental effects should be assessed via an Environmental Impact Assessment. Projects with a direct negative impact on the environment will not be selected for financing</w:t>
      </w:r>
      <w:r w:rsidR="003F5219" w:rsidRPr="00197A31">
        <w:rPr>
          <w:rFonts w:eastAsia="Times New Roman"/>
          <w:sz w:val="22"/>
          <w:szCs w:val="22"/>
          <w:lang w:val="en-GB"/>
        </w:rPr>
        <w:t>.</w:t>
      </w:r>
      <w:r w:rsidR="003F5219" w:rsidRPr="00197A31">
        <w:rPr>
          <w:rStyle w:val="FootnoteReference"/>
          <w:rFonts w:eastAsia="Times New Roman"/>
          <w:sz w:val="22"/>
          <w:szCs w:val="22"/>
          <w:lang w:val="en-GB"/>
        </w:rPr>
        <w:footnoteReference w:id="81"/>
      </w:r>
    </w:p>
    <w:p w:rsidR="009B779C" w:rsidRPr="009A42FE" w:rsidRDefault="009B779C" w:rsidP="00F16F0A">
      <w:pPr>
        <w:spacing w:before="120" w:after="0" w:line="252" w:lineRule="auto"/>
        <w:jc w:val="both"/>
        <w:rPr>
          <w:sz w:val="22"/>
          <w:szCs w:val="22"/>
          <w:lang w:val="en-GB"/>
        </w:rPr>
      </w:pPr>
    </w:p>
    <w:p w:rsidR="00F16F0A" w:rsidRPr="0025034F" w:rsidRDefault="00F16F0A" w:rsidP="0025034F">
      <w:pPr>
        <w:spacing w:before="240" w:after="120"/>
        <w:rPr>
          <w:b/>
          <w:lang w:val="en-GB"/>
        </w:rPr>
      </w:pPr>
      <w:bookmarkStart w:id="83" w:name="_Toc276156677"/>
      <w:r w:rsidRPr="0025034F">
        <w:rPr>
          <w:b/>
          <w:lang w:val="en-GB"/>
        </w:rPr>
        <w:t>Democracy and human rights</w:t>
      </w:r>
      <w:bookmarkEnd w:id="83"/>
    </w:p>
    <w:p w:rsidR="00F16F0A" w:rsidRDefault="00F16F0A" w:rsidP="00F16F0A">
      <w:pPr>
        <w:spacing w:before="120" w:after="0" w:line="252" w:lineRule="auto"/>
        <w:jc w:val="both"/>
        <w:rPr>
          <w:sz w:val="22"/>
          <w:szCs w:val="22"/>
          <w:lang w:val="en-US"/>
        </w:rPr>
      </w:pPr>
      <w:r>
        <w:rPr>
          <w:sz w:val="22"/>
          <w:szCs w:val="22"/>
          <w:lang w:val="en-US"/>
        </w:rPr>
        <w:t>In regard to</w:t>
      </w:r>
      <w:r w:rsidRPr="00027DAB">
        <w:rPr>
          <w:sz w:val="22"/>
          <w:szCs w:val="22"/>
          <w:lang w:val="en-US"/>
        </w:rPr>
        <w:t xml:space="preserve"> </w:t>
      </w:r>
      <w:r>
        <w:rPr>
          <w:sz w:val="22"/>
          <w:szCs w:val="22"/>
          <w:lang w:val="en-US"/>
        </w:rPr>
        <w:t xml:space="preserve">democracy and human rights, several aspects are embedded in BSB strategy as horizontal issues </w:t>
      </w:r>
      <w:r w:rsidRPr="00BC6224">
        <w:rPr>
          <w:sz w:val="22"/>
          <w:szCs w:val="22"/>
          <w:lang w:val="en-US"/>
        </w:rPr>
        <w:t xml:space="preserve">or modalities to be deployed </w:t>
      </w:r>
      <w:r>
        <w:rPr>
          <w:sz w:val="22"/>
          <w:szCs w:val="22"/>
          <w:lang w:val="en-US"/>
        </w:rPr>
        <w:t xml:space="preserve">in projects </w:t>
      </w:r>
      <w:r w:rsidRPr="00BC6224">
        <w:rPr>
          <w:sz w:val="22"/>
          <w:szCs w:val="22"/>
          <w:lang w:val="en-US"/>
        </w:rPr>
        <w:t>across any of the priorities selected</w:t>
      </w:r>
      <w:r>
        <w:rPr>
          <w:sz w:val="22"/>
          <w:szCs w:val="22"/>
          <w:lang w:val="en-US"/>
        </w:rPr>
        <w:t xml:space="preserve">, in particular: </w:t>
      </w:r>
    </w:p>
    <w:p w:rsidR="00F16F0A" w:rsidRPr="00E73576" w:rsidRDefault="00E73576" w:rsidP="00C34FA9">
      <w:pPr>
        <w:pStyle w:val="ListParagraph"/>
        <w:numPr>
          <w:ilvl w:val="0"/>
          <w:numId w:val="14"/>
        </w:numPr>
        <w:spacing w:before="120" w:after="60" w:line="264" w:lineRule="auto"/>
        <w:ind w:left="714" w:hanging="357"/>
        <w:contextualSpacing w:val="0"/>
        <w:jc w:val="both"/>
        <w:rPr>
          <w:i/>
          <w:sz w:val="22"/>
          <w:szCs w:val="22"/>
          <w:lang w:val="en-GB"/>
        </w:rPr>
      </w:pPr>
      <w:r>
        <w:rPr>
          <w:sz w:val="22"/>
          <w:szCs w:val="22"/>
          <w:lang w:val="en-GB"/>
        </w:rPr>
        <w:t>S</w:t>
      </w:r>
      <w:r w:rsidR="00F16F0A" w:rsidRPr="00E457F0">
        <w:rPr>
          <w:sz w:val="22"/>
          <w:szCs w:val="22"/>
          <w:lang w:val="en-GB"/>
        </w:rPr>
        <w:t>o-called ‘people-to-people’ actions, including enhanced cooperation among NGOs and other civil society groups as well as capaci</w:t>
      </w:r>
      <w:r>
        <w:rPr>
          <w:sz w:val="22"/>
          <w:szCs w:val="22"/>
          <w:lang w:val="en-GB"/>
        </w:rPr>
        <w:t xml:space="preserve">ty-building components for NGOs will </w:t>
      </w:r>
      <w:r w:rsidRPr="00E73576">
        <w:rPr>
          <w:i/>
          <w:sz w:val="22"/>
          <w:szCs w:val="22"/>
          <w:lang w:val="en-GB"/>
        </w:rPr>
        <w:t>enhance the role of non-state actors and build their capacity as partners in public policy making</w:t>
      </w:r>
      <w:r w:rsidR="006743D2" w:rsidRPr="006743D2">
        <w:rPr>
          <w:sz w:val="22"/>
          <w:szCs w:val="22"/>
          <w:lang w:val="en-GB"/>
        </w:rPr>
        <w:t>;</w:t>
      </w:r>
    </w:p>
    <w:p w:rsidR="00F16F0A" w:rsidRPr="00E457F0" w:rsidRDefault="006743D2" w:rsidP="00C34FA9">
      <w:pPr>
        <w:pStyle w:val="ListParagraph"/>
        <w:numPr>
          <w:ilvl w:val="0"/>
          <w:numId w:val="14"/>
        </w:numPr>
        <w:spacing w:after="60" w:line="264" w:lineRule="auto"/>
        <w:ind w:left="714" w:hanging="357"/>
        <w:contextualSpacing w:val="0"/>
        <w:jc w:val="both"/>
        <w:rPr>
          <w:sz w:val="22"/>
          <w:szCs w:val="22"/>
          <w:lang w:val="en-GB"/>
        </w:rPr>
      </w:pPr>
      <w:r>
        <w:rPr>
          <w:sz w:val="22"/>
          <w:szCs w:val="22"/>
          <w:lang w:val="en-GB"/>
        </w:rPr>
        <w:t>Enhanced</w:t>
      </w:r>
      <w:r w:rsidR="00F16F0A" w:rsidRPr="00E457F0">
        <w:rPr>
          <w:sz w:val="22"/>
          <w:szCs w:val="22"/>
          <w:lang w:val="en-GB"/>
        </w:rPr>
        <w:t xml:space="preserve"> cooperation among loca</w:t>
      </w:r>
      <w:r>
        <w:rPr>
          <w:sz w:val="22"/>
          <w:szCs w:val="22"/>
          <w:lang w:val="en-GB"/>
        </w:rPr>
        <w:t xml:space="preserve">l and regional authorities, </w:t>
      </w:r>
      <w:r w:rsidR="00F16F0A" w:rsidRPr="00E457F0">
        <w:rPr>
          <w:sz w:val="22"/>
          <w:szCs w:val="22"/>
          <w:lang w:val="en-GB"/>
        </w:rPr>
        <w:t>promotion of local and regional good governance</w:t>
      </w:r>
      <w:r w:rsidR="00F16F0A">
        <w:rPr>
          <w:sz w:val="22"/>
          <w:szCs w:val="22"/>
          <w:lang w:val="en-GB"/>
        </w:rPr>
        <w:t xml:space="preserve"> and</w:t>
      </w:r>
      <w:r w:rsidR="00F16F0A" w:rsidRPr="00E457F0">
        <w:rPr>
          <w:sz w:val="22"/>
          <w:szCs w:val="22"/>
          <w:lang w:val="en-GB"/>
        </w:rPr>
        <w:t xml:space="preserve"> capacity-building components for local/re</w:t>
      </w:r>
      <w:r w:rsidR="00E73576">
        <w:rPr>
          <w:sz w:val="22"/>
          <w:szCs w:val="22"/>
          <w:lang w:val="en-GB"/>
        </w:rPr>
        <w:t>gional authorities and agencies</w:t>
      </w:r>
      <w:r>
        <w:rPr>
          <w:sz w:val="22"/>
          <w:szCs w:val="22"/>
          <w:lang w:val="en-GB"/>
        </w:rPr>
        <w:t xml:space="preserve"> will</w:t>
      </w:r>
      <w:r w:rsidR="00E73576">
        <w:rPr>
          <w:sz w:val="22"/>
          <w:szCs w:val="22"/>
          <w:lang w:val="en-GB"/>
        </w:rPr>
        <w:t xml:space="preserve"> </w:t>
      </w:r>
      <w:r>
        <w:rPr>
          <w:i/>
          <w:sz w:val="22"/>
          <w:szCs w:val="22"/>
          <w:lang w:val="en-GB"/>
        </w:rPr>
        <w:t xml:space="preserve">support </w:t>
      </w:r>
      <w:r w:rsidR="00E73576" w:rsidRPr="006B028A">
        <w:rPr>
          <w:i/>
          <w:sz w:val="22"/>
          <w:szCs w:val="22"/>
          <w:lang w:val="en-GB"/>
        </w:rPr>
        <w:t>public administration reform</w:t>
      </w:r>
      <w:r>
        <w:rPr>
          <w:sz w:val="22"/>
          <w:szCs w:val="22"/>
          <w:lang w:val="en-GB"/>
        </w:rPr>
        <w:t xml:space="preserve"> and </w:t>
      </w:r>
      <w:r w:rsidR="00E73576" w:rsidRPr="006B028A">
        <w:rPr>
          <w:i/>
          <w:sz w:val="22"/>
          <w:szCs w:val="22"/>
          <w:lang w:val="en-GB"/>
        </w:rPr>
        <w:t>decentralization and local government</w:t>
      </w:r>
      <w:r>
        <w:rPr>
          <w:sz w:val="22"/>
          <w:szCs w:val="22"/>
          <w:lang w:val="en-GB"/>
        </w:rPr>
        <w:t>;</w:t>
      </w:r>
    </w:p>
    <w:p w:rsidR="00F16F0A" w:rsidRDefault="006743D2" w:rsidP="00C34FA9">
      <w:pPr>
        <w:pStyle w:val="ListParagraph"/>
        <w:numPr>
          <w:ilvl w:val="0"/>
          <w:numId w:val="14"/>
        </w:numPr>
        <w:spacing w:after="60" w:line="264" w:lineRule="auto"/>
        <w:ind w:left="714" w:hanging="357"/>
        <w:contextualSpacing w:val="0"/>
        <w:jc w:val="both"/>
        <w:rPr>
          <w:sz w:val="22"/>
          <w:szCs w:val="22"/>
          <w:lang w:val="en-GB"/>
        </w:rPr>
      </w:pPr>
      <w:r>
        <w:rPr>
          <w:sz w:val="22"/>
          <w:szCs w:val="22"/>
          <w:lang w:val="en-GB"/>
        </w:rPr>
        <w:t>S</w:t>
      </w:r>
      <w:r w:rsidR="00F16F0A">
        <w:rPr>
          <w:sz w:val="22"/>
          <w:szCs w:val="22"/>
          <w:lang w:val="en-GB"/>
        </w:rPr>
        <w:t>upport for the use and development of information and communication technologies</w:t>
      </w:r>
      <w:r>
        <w:rPr>
          <w:sz w:val="22"/>
          <w:szCs w:val="22"/>
          <w:lang w:val="en-GB"/>
        </w:rPr>
        <w:t xml:space="preserve"> will </w:t>
      </w:r>
      <w:r w:rsidRPr="006743D2">
        <w:rPr>
          <w:i/>
          <w:sz w:val="22"/>
          <w:szCs w:val="22"/>
          <w:lang w:val="en-GB"/>
        </w:rPr>
        <w:t xml:space="preserve">enhance </w:t>
      </w:r>
      <w:r w:rsidRPr="00661552">
        <w:rPr>
          <w:i/>
          <w:sz w:val="22"/>
          <w:szCs w:val="22"/>
          <w:lang w:val="en-GB"/>
        </w:rPr>
        <w:t>access to information</w:t>
      </w:r>
      <w:r>
        <w:rPr>
          <w:sz w:val="22"/>
          <w:szCs w:val="22"/>
          <w:lang w:val="en-GB"/>
        </w:rPr>
        <w:t xml:space="preserve"> </w:t>
      </w:r>
      <w:r w:rsidRPr="006743D2">
        <w:rPr>
          <w:i/>
          <w:sz w:val="22"/>
          <w:szCs w:val="22"/>
          <w:lang w:val="en-GB"/>
        </w:rPr>
        <w:t>for citizens</w:t>
      </w:r>
      <w:r w:rsidR="00F16F0A">
        <w:rPr>
          <w:sz w:val="22"/>
          <w:szCs w:val="22"/>
          <w:lang w:val="en-GB"/>
        </w:rPr>
        <w:t>.</w:t>
      </w:r>
      <w:r w:rsidR="00F16F0A" w:rsidRPr="00E457F0">
        <w:rPr>
          <w:sz w:val="22"/>
          <w:szCs w:val="22"/>
          <w:lang w:val="en-GB"/>
        </w:rPr>
        <w:t xml:space="preserve"> </w:t>
      </w:r>
    </w:p>
    <w:p w:rsidR="00F16F0A" w:rsidRDefault="00F16F0A" w:rsidP="00C34FA9">
      <w:pPr>
        <w:spacing w:before="120" w:after="120" w:line="264" w:lineRule="auto"/>
        <w:jc w:val="both"/>
        <w:rPr>
          <w:sz w:val="22"/>
          <w:szCs w:val="22"/>
          <w:lang w:val="en-GB"/>
        </w:rPr>
      </w:pPr>
      <w:r>
        <w:rPr>
          <w:sz w:val="22"/>
          <w:szCs w:val="22"/>
          <w:lang w:val="en-GB"/>
        </w:rPr>
        <w:t>In addition, the programme thematic objectives and priorities are expected to positively contribute to the following aspects of human rights:</w:t>
      </w:r>
    </w:p>
    <w:p w:rsidR="00F16F0A" w:rsidRDefault="00F16F0A" w:rsidP="00C34FA9">
      <w:pPr>
        <w:pStyle w:val="ListParagraph"/>
        <w:numPr>
          <w:ilvl w:val="0"/>
          <w:numId w:val="14"/>
        </w:numPr>
        <w:spacing w:before="120" w:after="60" w:line="264" w:lineRule="auto"/>
        <w:ind w:left="714" w:hanging="357"/>
        <w:contextualSpacing w:val="0"/>
        <w:jc w:val="both"/>
        <w:rPr>
          <w:sz w:val="22"/>
          <w:szCs w:val="22"/>
          <w:lang w:val="en-GB"/>
        </w:rPr>
      </w:pPr>
      <w:r>
        <w:rPr>
          <w:i/>
          <w:sz w:val="22"/>
          <w:szCs w:val="22"/>
          <w:lang w:val="en-GB"/>
        </w:rPr>
        <w:t>The right of c</w:t>
      </w:r>
      <w:r w:rsidRPr="004C640C">
        <w:rPr>
          <w:i/>
          <w:sz w:val="22"/>
          <w:szCs w:val="22"/>
          <w:lang w:val="en-GB"/>
        </w:rPr>
        <w:t>itizens</w:t>
      </w:r>
      <w:r>
        <w:rPr>
          <w:i/>
          <w:sz w:val="22"/>
          <w:szCs w:val="22"/>
          <w:lang w:val="en-GB"/>
        </w:rPr>
        <w:t xml:space="preserve"> to</w:t>
      </w:r>
      <w:r w:rsidRPr="004C640C">
        <w:rPr>
          <w:i/>
          <w:sz w:val="22"/>
          <w:szCs w:val="22"/>
          <w:lang w:val="en-GB"/>
        </w:rPr>
        <w:t xml:space="preserve"> employment and</w:t>
      </w:r>
      <w:r>
        <w:rPr>
          <w:i/>
          <w:sz w:val="22"/>
          <w:szCs w:val="22"/>
          <w:lang w:val="en-GB"/>
        </w:rPr>
        <w:t xml:space="preserve"> to</w:t>
      </w:r>
      <w:r w:rsidRPr="004C640C">
        <w:rPr>
          <w:i/>
          <w:sz w:val="22"/>
          <w:szCs w:val="22"/>
          <w:lang w:val="en-GB"/>
        </w:rPr>
        <w:t xml:space="preserve"> economic initiati</w:t>
      </w:r>
      <w:r>
        <w:rPr>
          <w:i/>
          <w:sz w:val="22"/>
          <w:szCs w:val="22"/>
          <w:lang w:val="en-GB"/>
        </w:rPr>
        <w:t>ves</w:t>
      </w:r>
      <w:r w:rsidRPr="004C640C">
        <w:rPr>
          <w:sz w:val="22"/>
          <w:szCs w:val="22"/>
          <w:lang w:val="en-GB"/>
        </w:rPr>
        <w:t xml:space="preserve"> through promotion of business and entrepreneurship u</w:t>
      </w:r>
      <w:r>
        <w:rPr>
          <w:sz w:val="22"/>
          <w:szCs w:val="22"/>
          <w:lang w:val="en-GB"/>
        </w:rPr>
        <w:t>nder O</w:t>
      </w:r>
      <w:r w:rsidRPr="004C640C">
        <w:rPr>
          <w:sz w:val="22"/>
          <w:szCs w:val="22"/>
          <w:lang w:val="en-GB"/>
        </w:rPr>
        <w:t>bjective 1</w:t>
      </w:r>
      <w:r>
        <w:rPr>
          <w:sz w:val="22"/>
          <w:szCs w:val="22"/>
          <w:lang w:val="en-GB"/>
        </w:rPr>
        <w:t xml:space="preserve"> priorities;</w:t>
      </w:r>
    </w:p>
    <w:p w:rsidR="00F16F0A" w:rsidRPr="003B61C1" w:rsidRDefault="00F16F0A" w:rsidP="00C34FA9">
      <w:pPr>
        <w:pStyle w:val="ListParagraph"/>
        <w:numPr>
          <w:ilvl w:val="0"/>
          <w:numId w:val="14"/>
        </w:numPr>
        <w:spacing w:after="60" w:line="264" w:lineRule="auto"/>
        <w:contextualSpacing w:val="0"/>
        <w:jc w:val="both"/>
        <w:rPr>
          <w:rFonts w:ascii="Lucida Grande" w:hAnsi="Lucida Grande" w:cs="Lucida Grande"/>
          <w:color w:val="000000"/>
          <w:sz w:val="20"/>
          <w:szCs w:val="20"/>
          <w:lang w:val="en-GB"/>
        </w:rPr>
      </w:pPr>
      <w:r w:rsidRPr="00C152BD">
        <w:rPr>
          <w:i/>
          <w:sz w:val="22"/>
          <w:szCs w:val="22"/>
          <w:lang w:val="en-GB"/>
        </w:rPr>
        <w:t>Better access to education and improved opportunities for cultural exchange</w:t>
      </w:r>
      <w:r w:rsidRPr="003B61C1">
        <w:rPr>
          <w:rFonts w:ascii="Lucida Grande" w:hAnsi="Lucida Grande" w:cs="Lucida Grande"/>
          <w:color w:val="000000"/>
          <w:sz w:val="20"/>
          <w:szCs w:val="20"/>
          <w:lang w:val="en-GB"/>
        </w:rPr>
        <w:t xml:space="preserve"> </w:t>
      </w:r>
      <w:r w:rsidRPr="00BE21A9">
        <w:rPr>
          <w:sz w:val="22"/>
          <w:szCs w:val="22"/>
          <w:lang w:val="en-GB"/>
        </w:rPr>
        <w:t xml:space="preserve">through </w:t>
      </w:r>
      <w:r>
        <w:rPr>
          <w:sz w:val="22"/>
          <w:szCs w:val="22"/>
          <w:lang w:val="en-GB"/>
        </w:rPr>
        <w:t>upgrading</w:t>
      </w:r>
      <w:r w:rsidRPr="00BE21A9">
        <w:rPr>
          <w:sz w:val="22"/>
          <w:szCs w:val="22"/>
          <w:lang w:val="en-GB"/>
        </w:rPr>
        <w:t xml:space="preserve"> skills, training young people and </w:t>
      </w:r>
      <w:r>
        <w:rPr>
          <w:sz w:val="22"/>
          <w:szCs w:val="22"/>
          <w:lang w:val="en-GB"/>
        </w:rPr>
        <w:t xml:space="preserve">the </w:t>
      </w:r>
      <w:r w:rsidRPr="00BE21A9">
        <w:rPr>
          <w:sz w:val="22"/>
          <w:szCs w:val="22"/>
          <w:lang w:val="en-GB"/>
        </w:rPr>
        <w:t xml:space="preserve">promotion of cultural cooperation </w:t>
      </w:r>
      <w:r>
        <w:rPr>
          <w:sz w:val="22"/>
          <w:szCs w:val="22"/>
          <w:lang w:val="en-GB"/>
        </w:rPr>
        <w:t>(</w:t>
      </w:r>
      <w:r w:rsidRPr="00BE21A9">
        <w:rPr>
          <w:sz w:val="22"/>
          <w:szCs w:val="22"/>
          <w:lang w:val="en-GB"/>
        </w:rPr>
        <w:t>supported under</w:t>
      </w:r>
      <w:r>
        <w:rPr>
          <w:sz w:val="22"/>
          <w:szCs w:val="22"/>
          <w:lang w:val="en-GB"/>
        </w:rPr>
        <w:t xml:space="preserve"> O</w:t>
      </w:r>
      <w:r w:rsidRPr="00BE21A9">
        <w:rPr>
          <w:sz w:val="22"/>
          <w:szCs w:val="22"/>
          <w:lang w:val="en-GB"/>
        </w:rPr>
        <w:t>bjective 1 priorities</w:t>
      </w:r>
      <w:r>
        <w:rPr>
          <w:sz w:val="22"/>
          <w:szCs w:val="22"/>
          <w:lang w:val="en-GB"/>
        </w:rPr>
        <w:t xml:space="preserve"> and indicative activities)</w:t>
      </w:r>
      <w:r w:rsidRPr="003B61C1">
        <w:rPr>
          <w:rFonts w:ascii="Lucida Grande" w:hAnsi="Lucida Grande" w:cs="Lucida Grande"/>
          <w:color w:val="000000"/>
          <w:sz w:val="20"/>
          <w:szCs w:val="20"/>
          <w:lang w:val="en-GB"/>
        </w:rPr>
        <w:t>;</w:t>
      </w:r>
    </w:p>
    <w:p w:rsidR="00F16F0A" w:rsidRPr="00CE2BB7" w:rsidRDefault="00F16F0A" w:rsidP="00C34FA9">
      <w:pPr>
        <w:pStyle w:val="ListParagraph"/>
        <w:numPr>
          <w:ilvl w:val="0"/>
          <w:numId w:val="14"/>
        </w:numPr>
        <w:spacing w:before="120" w:after="60" w:line="264" w:lineRule="auto"/>
        <w:ind w:left="714" w:hanging="357"/>
        <w:contextualSpacing w:val="0"/>
        <w:jc w:val="both"/>
        <w:rPr>
          <w:sz w:val="22"/>
          <w:szCs w:val="22"/>
          <w:lang w:val="en-GB"/>
        </w:rPr>
      </w:pPr>
      <w:r w:rsidRPr="004C640C">
        <w:rPr>
          <w:i/>
          <w:sz w:val="22"/>
          <w:szCs w:val="22"/>
          <w:lang w:val="en-GB"/>
        </w:rPr>
        <w:t>Higher ecological standard of li</w:t>
      </w:r>
      <w:r>
        <w:rPr>
          <w:i/>
          <w:sz w:val="22"/>
          <w:szCs w:val="22"/>
          <w:lang w:val="en-GB"/>
        </w:rPr>
        <w:t>ving</w:t>
      </w:r>
      <w:r>
        <w:rPr>
          <w:sz w:val="22"/>
          <w:szCs w:val="22"/>
          <w:lang w:val="en-GB"/>
        </w:rPr>
        <w:t xml:space="preserve"> through promotion of </w:t>
      </w:r>
      <w:r w:rsidRPr="00127213">
        <w:rPr>
          <w:sz w:val="22"/>
          <w:szCs w:val="22"/>
          <w:lang w:val="en-GB"/>
        </w:rPr>
        <w:t xml:space="preserve">coordination of environmental protection and joint reduction of marine litter </w:t>
      </w:r>
      <w:r>
        <w:rPr>
          <w:sz w:val="22"/>
          <w:szCs w:val="22"/>
          <w:lang w:val="en-GB"/>
        </w:rPr>
        <w:t>under O</w:t>
      </w:r>
      <w:r w:rsidRPr="006D3392">
        <w:rPr>
          <w:sz w:val="22"/>
          <w:szCs w:val="22"/>
          <w:lang w:val="en-GB"/>
        </w:rPr>
        <w:t>bjective 2</w:t>
      </w:r>
      <w:r>
        <w:rPr>
          <w:sz w:val="22"/>
          <w:szCs w:val="22"/>
          <w:lang w:val="en-GB"/>
        </w:rPr>
        <w:t xml:space="preserve"> priorities.</w:t>
      </w:r>
    </w:p>
    <w:p w:rsidR="008D1A11" w:rsidRPr="00205784" w:rsidRDefault="00EB32B7" w:rsidP="00205784">
      <w:pPr>
        <w:spacing w:before="120" w:after="0" w:line="252" w:lineRule="auto"/>
        <w:jc w:val="both"/>
        <w:rPr>
          <w:sz w:val="22"/>
          <w:szCs w:val="22"/>
          <w:lang w:val="en-US"/>
        </w:rPr>
      </w:pPr>
      <w:r>
        <w:rPr>
          <w:sz w:val="22"/>
          <w:szCs w:val="22"/>
          <w:lang w:val="en-US"/>
        </w:rPr>
        <w:t xml:space="preserve">The </w:t>
      </w:r>
      <w:r w:rsidR="002153D6">
        <w:rPr>
          <w:sz w:val="22"/>
          <w:szCs w:val="22"/>
          <w:lang w:val="en-US"/>
        </w:rPr>
        <w:t>p</w:t>
      </w:r>
      <w:r w:rsidR="00BA15CD">
        <w:rPr>
          <w:sz w:val="22"/>
          <w:szCs w:val="22"/>
          <w:lang w:val="en-US"/>
        </w:rPr>
        <w:t xml:space="preserve">rojects </w:t>
      </w:r>
      <w:r>
        <w:rPr>
          <w:sz w:val="22"/>
          <w:szCs w:val="22"/>
          <w:lang w:val="en-US"/>
        </w:rPr>
        <w:t>shall seek to</w:t>
      </w:r>
      <w:r w:rsidR="00BA15CD">
        <w:rPr>
          <w:sz w:val="22"/>
          <w:szCs w:val="22"/>
          <w:lang w:val="en-US"/>
        </w:rPr>
        <w:t xml:space="preserve"> integrate</w:t>
      </w:r>
      <w:r w:rsidR="002B342F">
        <w:rPr>
          <w:sz w:val="22"/>
          <w:szCs w:val="22"/>
          <w:lang w:val="en-US"/>
        </w:rPr>
        <w:t xml:space="preserve"> considerations</w:t>
      </w:r>
      <w:r w:rsidR="00F16F0A">
        <w:rPr>
          <w:sz w:val="22"/>
          <w:szCs w:val="22"/>
          <w:lang w:val="en-US"/>
        </w:rPr>
        <w:t xml:space="preserve"> related to democracy, good governance </w:t>
      </w:r>
      <w:r w:rsidR="00BA15CD">
        <w:rPr>
          <w:sz w:val="22"/>
          <w:szCs w:val="22"/>
          <w:lang w:val="en-US"/>
        </w:rPr>
        <w:t>and human rights</w:t>
      </w:r>
      <w:r w:rsidR="00F16F0A">
        <w:rPr>
          <w:sz w:val="22"/>
          <w:szCs w:val="22"/>
          <w:lang w:val="en-US"/>
        </w:rPr>
        <w:t xml:space="preserve">. </w:t>
      </w:r>
      <w:r w:rsidR="002B342F">
        <w:rPr>
          <w:sz w:val="22"/>
          <w:szCs w:val="22"/>
          <w:lang w:val="en-US"/>
        </w:rPr>
        <w:t>This may</w:t>
      </w:r>
      <w:r w:rsidR="00FE42A2">
        <w:rPr>
          <w:sz w:val="22"/>
          <w:szCs w:val="22"/>
          <w:lang w:val="en-US"/>
        </w:rPr>
        <w:t xml:space="preserve"> also</w:t>
      </w:r>
      <w:r w:rsidR="002B342F">
        <w:rPr>
          <w:sz w:val="22"/>
          <w:szCs w:val="22"/>
          <w:lang w:val="en-US"/>
        </w:rPr>
        <w:t xml:space="preserve"> include exchange of good practices, as well as </w:t>
      </w:r>
      <w:r w:rsidR="00F16F0A">
        <w:rPr>
          <w:sz w:val="22"/>
          <w:szCs w:val="22"/>
          <w:lang w:val="en-US"/>
        </w:rPr>
        <w:t xml:space="preserve">regular and transparent project financial reporting, widely circulated and understandable project results, </w:t>
      </w:r>
      <w:r w:rsidR="00A0718A">
        <w:rPr>
          <w:sz w:val="22"/>
          <w:szCs w:val="22"/>
          <w:lang w:val="en-US"/>
        </w:rPr>
        <w:t xml:space="preserve">ensuring there is no </w:t>
      </w:r>
      <w:r w:rsidR="00F16F0A" w:rsidRPr="00AB2982">
        <w:rPr>
          <w:sz w:val="22"/>
          <w:szCs w:val="22"/>
          <w:lang w:val="en-US"/>
        </w:rPr>
        <w:t xml:space="preserve">discrimination </w:t>
      </w:r>
      <w:r w:rsidR="00F16F0A">
        <w:rPr>
          <w:sz w:val="22"/>
          <w:szCs w:val="22"/>
          <w:lang w:val="en-US"/>
        </w:rPr>
        <w:t>against</w:t>
      </w:r>
      <w:r w:rsidR="00F16F0A" w:rsidRPr="00AB2982">
        <w:rPr>
          <w:sz w:val="22"/>
          <w:szCs w:val="22"/>
          <w:lang w:val="en-US"/>
        </w:rPr>
        <w:t xml:space="preserve"> </w:t>
      </w:r>
      <w:r w:rsidR="00F16F0A">
        <w:rPr>
          <w:sz w:val="22"/>
          <w:szCs w:val="22"/>
          <w:lang w:val="en-US"/>
        </w:rPr>
        <w:t xml:space="preserve">particular </w:t>
      </w:r>
      <w:r w:rsidR="00F16F0A" w:rsidRPr="00AB2982">
        <w:rPr>
          <w:sz w:val="22"/>
          <w:szCs w:val="22"/>
          <w:lang w:val="en-US"/>
        </w:rPr>
        <w:t>target groups</w:t>
      </w:r>
      <w:r w:rsidR="00A0718A">
        <w:rPr>
          <w:sz w:val="22"/>
          <w:szCs w:val="22"/>
          <w:lang w:val="en-US"/>
        </w:rPr>
        <w:t xml:space="preserve"> (</w:t>
      </w:r>
      <w:r w:rsidR="00651AD3">
        <w:rPr>
          <w:sz w:val="22"/>
          <w:szCs w:val="22"/>
          <w:lang w:val="en-US"/>
        </w:rPr>
        <w:t>e.g. ethnic minorities)</w:t>
      </w:r>
      <w:r w:rsidR="00F16F0A" w:rsidRPr="00AB2982">
        <w:rPr>
          <w:sz w:val="22"/>
          <w:szCs w:val="22"/>
          <w:lang w:val="en-US"/>
        </w:rPr>
        <w:t>,</w:t>
      </w:r>
      <w:r w:rsidR="00F16F0A">
        <w:rPr>
          <w:sz w:val="22"/>
          <w:szCs w:val="22"/>
          <w:lang w:val="en-US"/>
        </w:rPr>
        <w:t xml:space="preserve"> whether the project helps to ensure respect for any relevant human rights, etc.     </w:t>
      </w:r>
      <w:bookmarkStart w:id="84" w:name="_Toc276156678"/>
    </w:p>
    <w:p w:rsidR="00F16F0A" w:rsidRPr="0025034F" w:rsidRDefault="00F16F0A" w:rsidP="0025034F">
      <w:pPr>
        <w:spacing w:before="240" w:after="120"/>
        <w:rPr>
          <w:b/>
          <w:lang w:val="en-GB"/>
        </w:rPr>
      </w:pPr>
      <w:r w:rsidRPr="0025034F">
        <w:rPr>
          <w:b/>
          <w:lang w:val="en-GB"/>
        </w:rPr>
        <w:t>Gender equality</w:t>
      </w:r>
      <w:bookmarkEnd w:id="84"/>
      <w:r w:rsidRPr="0025034F">
        <w:rPr>
          <w:b/>
          <w:lang w:val="en-GB"/>
        </w:rPr>
        <w:t xml:space="preserve"> </w:t>
      </w:r>
    </w:p>
    <w:p w:rsidR="00F16F0A" w:rsidRDefault="00F16F0A" w:rsidP="00F16F0A">
      <w:pPr>
        <w:spacing w:before="120" w:after="0" w:line="252" w:lineRule="auto"/>
        <w:jc w:val="both"/>
        <w:rPr>
          <w:sz w:val="22"/>
          <w:szCs w:val="22"/>
          <w:lang w:val="en-US"/>
        </w:rPr>
      </w:pPr>
      <w:r w:rsidRPr="00BC6224">
        <w:rPr>
          <w:sz w:val="22"/>
          <w:szCs w:val="22"/>
          <w:lang w:val="en-US"/>
        </w:rPr>
        <w:t>Promotion of gender equalit</w:t>
      </w:r>
      <w:r>
        <w:rPr>
          <w:sz w:val="22"/>
          <w:szCs w:val="22"/>
          <w:lang w:val="en-US"/>
        </w:rPr>
        <w:t xml:space="preserve">y is meanstreamed within BSB programme design as a horizontal issue </w:t>
      </w:r>
      <w:r w:rsidRPr="00BC6224">
        <w:rPr>
          <w:sz w:val="22"/>
          <w:szCs w:val="22"/>
          <w:lang w:val="en-US"/>
        </w:rPr>
        <w:t xml:space="preserve">to be deployed </w:t>
      </w:r>
      <w:r>
        <w:rPr>
          <w:sz w:val="22"/>
          <w:szCs w:val="22"/>
          <w:lang w:val="en-US"/>
        </w:rPr>
        <w:t xml:space="preserve">in projects </w:t>
      </w:r>
      <w:r w:rsidRPr="00BC6224">
        <w:rPr>
          <w:sz w:val="22"/>
          <w:szCs w:val="22"/>
          <w:lang w:val="en-US"/>
        </w:rPr>
        <w:t>across any of the priorities selected</w:t>
      </w:r>
      <w:r>
        <w:rPr>
          <w:sz w:val="22"/>
          <w:szCs w:val="22"/>
          <w:lang w:val="en-US"/>
        </w:rPr>
        <w:t>.</w:t>
      </w:r>
      <w:r w:rsidR="00231FCC">
        <w:rPr>
          <w:sz w:val="22"/>
          <w:szCs w:val="22"/>
          <w:lang w:val="en-US"/>
        </w:rPr>
        <w:t xml:space="preserve"> </w:t>
      </w:r>
      <w:r w:rsidR="001561E1">
        <w:rPr>
          <w:sz w:val="22"/>
          <w:szCs w:val="22"/>
          <w:lang w:val="en-US"/>
        </w:rPr>
        <w:t>B</w:t>
      </w:r>
      <w:r w:rsidR="00231FCC">
        <w:rPr>
          <w:sz w:val="22"/>
          <w:szCs w:val="22"/>
          <w:lang w:val="en-US"/>
        </w:rPr>
        <w:t xml:space="preserve">oth men and women </w:t>
      </w:r>
      <w:r w:rsidR="001561E1">
        <w:rPr>
          <w:sz w:val="22"/>
          <w:szCs w:val="22"/>
          <w:lang w:val="en-US"/>
        </w:rPr>
        <w:t xml:space="preserve">shall </w:t>
      </w:r>
      <w:r w:rsidR="00231FCC">
        <w:rPr>
          <w:sz w:val="22"/>
          <w:szCs w:val="22"/>
          <w:lang w:val="en-US"/>
        </w:rPr>
        <w:t>have equal access to the opportunities and benefits of the programme.</w:t>
      </w:r>
    </w:p>
    <w:p w:rsidR="002E13F6" w:rsidRPr="002E13F6" w:rsidRDefault="002721E7" w:rsidP="002E13F6">
      <w:pPr>
        <w:spacing w:before="120" w:after="0" w:line="252" w:lineRule="auto"/>
        <w:jc w:val="both"/>
        <w:rPr>
          <w:sz w:val="22"/>
          <w:szCs w:val="22"/>
          <w:lang w:val="en-US"/>
        </w:rPr>
      </w:pPr>
      <w:r>
        <w:rPr>
          <w:sz w:val="22"/>
          <w:szCs w:val="22"/>
          <w:lang w:val="en-US"/>
        </w:rPr>
        <w:t>All projects will have</w:t>
      </w:r>
      <w:r w:rsidR="00F16F0A">
        <w:rPr>
          <w:sz w:val="22"/>
          <w:szCs w:val="22"/>
          <w:lang w:val="en-US"/>
        </w:rPr>
        <w:t xml:space="preserve"> to adequately consider gender related issues – such as equality of opportunity, rights, distribution of benefits, respo</w:t>
      </w:r>
      <w:r w:rsidR="00231FCC">
        <w:rPr>
          <w:sz w:val="22"/>
          <w:szCs w:val="22"/>
          <w:lang w:val="en-US"/>
        </w:rPr>
        <w:t xml:space="preserve">nsabilities for men and women. </w:t>
      </w:r>
      <w:r w:rsidR="000A1A06">
        <w:rPr>
          <w:sz w:val="22"/>
          <w:szCs w:val="22"/>
          <w:lang w:val="en-US"/>
        </w:rPr>
        <w:t xml:space="preserve">This may </w:t>
      </w:r>
      <w:r w:rsidR="00331229">
        <w:rPr>
          <w:sz w:val="22"/>
          <w:szCs w:val="22"/>
          <w:lang w:val="en-US"/>
        </w:rPr>
        <w:t>include the integration of a</w:t>
      </w:r>
      <w:r w:rsidR="000A1A06">
        <w:rPr>
          <w:sz w:val="22"/>
          <w:szCs w:val="22"/>
          <w:lang w:val="en-US"/>
        </w:rPr>
        <w:t xml:space="preserve"> gender perspective when planning</w:t>
      </w:r>
      <w:r w:rsidR="00016C3B">
        <w:rPr>
          <w:sz w:val="22"/>
          <w:szCs w:val="22"/>
          <w:lang w:val="en-US"/>
        </w:rPr>
        <w:t xml:space="preserve"> e.g.</w:t>
      </w:r>
      <w:r w:rsidR="000A1A06">
        <w:rPr>
          <w:sz w:val="22"/>
          <w:szCs w:val="22"/>
          <w:lang w:val="en-US"/>
        </w:rPr>
        <w:t xml:space="preserve"> training activities, </w:t>
      </w:r>
      <w:r w:rsidR="00D33967">
        <w:rPr>
          <w:sz w:val="22"/>
          <w:szCs w:val="22"/>
          <w:lang w:val="en-US"/>
        </w:rPr>
        <w:t xml:space="preserve">considering </w:t>
      </w:r>
      <w:r w:rsidR="00F16F0A">
        <w:rPr>
          <w:sz w:val="22"/>
          <w:szCs w:val="22"/>
          <w:lang w:val="en-US"/>
        </w:rPr>
        <w:t>the likeliness of increased gender equality beyond the project ends, etc.</w:t>
      </w:r>
    </w:p>
    <w:p w:rsidR="00F16F0A" w:rsidRPr="001E0FDF" w:rsidRDefault="00F16F0A" w:rsidP="00046FFB">
      <w:pPr>
        <w:pStyle w:val="Heading3"/>
        <w:spacing w:before="480" w:after="240" w:line="264" w:lineRule="auto"/>
        <w:rPr>
          <w:b/>
          <w:sz w:val="28"/>
          <w:szCs w:val="28"/>
          <w:lang w:val="en-GB"/>
        </w:rPr>
      </w:pPr>
      <w:bookmarkStart w:id="85" w:name="_Toc276156680"/>
      <w:bookmarkStart w:id="86" w:name="_Toc288133454"/>
      <w:r w:rsidRPr="001E0FDF">
        <w:rPr>
          <w:b/>
          <w:sz w:val="28"/>
          <w:szCs w:val="28"/>
          <w:lang w:val="en-GB"/>
        </w:rPr>
        <w:t>Complementarities and synergies</w:t>
      </w:r>
      <w:bookmarkEnd w:id="85"/>
      <w:bookmarkEnd w:id="86"/>
      <w:r w:rsidRPr="001E0FDF">
        <w:rPr>
          <w:b/>
          <w:sz w:val="28"/>
          <w:szCs w:val="28"/>
          <w:lang w:val="en-GB"/>
        </w:rPr>
        <w:t xml:space="preserve"> </w:t>
      </w:r>
    </w:p>
    <w:p w:rsidR="007E1B84" w:rsidRDefault="00F16F0A" w:rsidP="00F16F0A">
      <w:pPr>
        <w:spacing w:before="120" w:after="0" w:line="264" w:lineRule="auto"/>
        <w:jc w:val="both"/>
        <w:rPr>
          <w:rFonts w:eastAsia="Times New Roman"/>
          <w:sz w:val="22"/>
          <w:szCs w:val="22"/>
          <w:lang w:val="en-GB"/>
        </w:rPr>
      </w:pPr>
      <w:r w:rsidRPr="007620DA">
        <w:rPr>
          <w:rFonts w:eastAsia="Times New Roman"/>
          <w:sz w:val="22"/>
          <w:szCs w:val="22"/>
          <w:lang w:val="en-GB"/>
        </w:rPr>
        <w:t xml:space="preserve">The </w:t>
      </w:r>
      <w:r w:rsidR="00A2601A">
        <w:rPr>
          <w:rFonts w:eastAsia="Times New Roman"/>
          <w:sz w:val="22"/>
          <w:szCs w:val="22"/>
          <w:lang w:val="en-GB"/>
        </w:rPr>
        <w:t xml:space="preserve">BSB </w:t>
      </w:r>
      <w:r w:rsidRPr="007620DA">
        <w:rPr>
          <w:rFonts w:eastAsia="Times New Roman"/>
          <w:sz w:val="22"/>
          <w:szCs w:val="22"/>
          <w:lang w:val="en-GB"/>
        </w:rPr>
        <w:t>pro</w:t>
      </w:r>
      <w:r>
        <w:rPr>
          <w:rFonts w:eastAsia="Times New Roman"/>
          <w:sz w:val="22"/>
          <w:szCs w:val="22"/>
          <w:lang w:val="en-GB"/>
        </w:rPr>
        <w:t xml:space="preserve">gramme strategy </w:t>
      </w:r>
      <w:r w:rsidR="00A2601A">
        <w:rPr>
          <w:rFonts w:eastAsia="Times New Roman"/>
          <w:sz w:val="22"/>
          <w:szCs w:val="22"/>
          <w:lang w:val="en-GB"/>
        </w:rPr>
        <w:t xml:space="preserve">has been </w:t>
      </w:r>
      <w:r w:rsidR="00762364">
        <w:rPr>
          <w:rFonts w:eastAsia="Times New Roman"/>
          <w:sz w:val="22"/>
          <w:szCs w:val="22"/>
          <w:lang w:val="en-GB"/>
        </w:rPr>
        <w:t xml:space="preserve">designed </w:t>
      </w:r>
      <w:r w:rsidR="0031702E">
        <w:rPr>
          <w:rFonts w:eastAsia="Times New Roman"/>
          <w:sz w:val="22"/>
          <w:szCs w:val="22"/>
          <w:lang w:val="en-GB"/>
        </w:rPr>
        <w:t>further to</w:t>
      </w:r>
      <w:r w:rsidR="00A2601A">
        <w:rPr>
          <w:rFonts w:eastAsia="Times New Roman"/>
          <w:sz w:val="22"/>
          <w:szCs w:val="22"/>
          <w:lang w:val="en-GB"/>
        </w:rPr>
        <w:t xml:space="preserve"> </w:t>
      </w:r>
      <w:r w:rsidR="008D201D">
        <w:rPr>
          <w:rFonts w:eastAsia="Times New Roman"/>
          <w:sz w:val="22"/>
          <w:szCs w:val="22"/>
          <w:lang w:val="en-GB"/>
        </w:rPr>
        <w:t xml:space="preserve">a </w:t>
      </w:r>
      <w:r w:rsidR="00A2601A">
        <w:rPr>
          <w:rFonts w:eastAsia="Times New Roman"/>
          <w:sz w:val="22"/>
          <w:szCs w:val="22"/>
          <w:lang w:val="en-GB"/>
        </w:rPr>
        <w:t>review of EU relevant strategies</w:t>
      </w:r>
      <w:r w:rsidR="00762364">
        <w:rPr>
          <w:rFonts w:eastAsia="Times New Roman"/>
          <w:sz w:val="22"/>
          <w:szCs w:val="22"/>
          <w:lang w:val="en-GB"/>
        </w:rPr>
        <w:t xml:space="preserve"> and policies</w:t>
      </w:r>
      <w:r w:rsidR="00A0315B">
        <w:rPr>
          <w:rFonts w:eastAsia="Times New Roman"/>
          <w:sz w:val="22"/>
          <w:szCs w:val="22"/>
          <w:lang w:val="en-GB"/>
        </w:rPr>
        <w:t xml:space="preserve"> (including </w:t>
      </w:r>
      <w:r w:rsidR="008269F0">
        <w:rPr>
          <w:rFonts w:eastAsia="Times New Roman"/>
          <w:sz w:val="22"/>
          <w:szCs w:val="22"/>
          <w:lang w:val="en-GB"/>
        </w:rPr>
        <w:t>Blue Growth strateg</w:t>
      </w:r>
      <w:r w:rsidR="00A0315B">
        <w:rPr>
          <w:rFonts w:eastAsia="Times New Roman"/>
          <w:sz w:val="22"/>
          <w:szCs w:val="22"/>
          <w:lang w:val="en-GB"/>
        </w:rPr>
        <w:t>y, etc.</w:t>
      </w:r>
      <w:r w:rsidR="008269F0">
        <w:rPr>
          <w:rFonts w:eastAsia="Times New Roman"/>
          <w:sz w:val="22"/>
          <w:szCs w:val="22"/>
          <w:lang w:val="en-GB"/>
        </w:rPr>
        <w:t>)</w:t>
      </w:r>
      <w:r w:rsidR="008D201D">
        <w:rPr>
          <w:rFonts w:eastAsia="Times New Roman"/>
          <w:sz w:val="22"/>
          <w:szCs w:val="22"/>
          <w:lang w:val="en-GB"/>
        </w:rPr>
        <w:t xml:space="preserve"> </w:t>
      </w:r>
      <w:r w:rsidR="00762364">
        <w:rPr>
          <w:rFonts w:eastAsia="Times New Roman"/>
          <w:sz w:val="22"/>
          <w:szCs w:val="22"/>
          <w:lang w:val="en-GB"/>
        </w:rPr>
        <w:t>to ens</w:t>
      </w:r>
      <w:r w:rsidR="00F73FED">
        <w:rPr>
          <w:rFonts w:eastAsia="Times New Roman"/>
          <w:sz w:val="22"/>
          <w:szCs w:val="22"/>
          <w:lang w:val="en-GB"/>
        </w:rPr>
        <w:t>ure coherence</w:t>
      </w:r>
      <w:r w:rsidR="0031702E">
        <w:rPr>
          <w:rFonts w:eastAsia="Times New Roman"/>
          <w:sz w:val="22"/>
          <w:szCs w:val="22"/>
          <w:lang w:val="en-GB"/>
        </w:rPr>
        <w:t xml:space="preserve"> of the programme </w:t>
      </w:r>
      <w:r w:rsidR="00326277">
        <w:rPr>
          <w:rFonts w:eastAsia="Times New Roman"/>
          <w:sz w:val="22"/>
          <w:szCs w:val="22"/>
          <w:lang w:val="en-GB"/>
        </w:rPr>
        <w:t xml:space="preserve">support </w:t>
      </w:r>
      <w:r w:rsidR="0031702E">
        <w:rPr>
          <w:rFonts w:eastAsia="Times New Roman"/>
          <w:sz w:val="22"/>
          <w:szCs w:val="22"/>
          <w:lang w:val="en-GB"/>
        </w:rPr>
        <w:t>with</w:t>
      </w:r>
      <w:r w:rsidR="00326277">
        <w:rPr>
          <w:rFonts w:eastAsia="Times New Roman"/>
          <w:sz w:val="22"/>
          <w:szCs w:val="22"/>
          <w:lang w:val="en-GB"/>
        </w:rPr>
        <w:t xml:space="preserve"> existing</w:t>
      </w:r>
      <w:r w:rsidR="0031702E">
        <w:rPr>
          <w:rFonts w:eastAsia="Times New Roman"/>
          <w:sz w:val="22"/>
          <w:szCs w:val="22"/>
          <w:lang w:val="en-GB"/>
        </w:rPr>
        <w:t xml:space="preserve"> EU strategic framework</w:t>
      </w:r>
      <w:r w:rsidR="007E1B84">
        <w:rPr>
          <w:rFonts w:eastAsia="Times New Roman"/>
          <w:sz w:val="22"/>
          <w:szCs w:val="22"/>
          <w:lang w:val="en-GB"/>
        </w:rPr>
        <w:t>s</w:t>
      </w:r>
      <w:r w:rsidR="003B26DF">
        <w:rPr>
          <w:rStyle w:val="FootnoteReference"/>
          <w:rFonts w:eastAsia="Times New Roman"/>
          <w:sz w:val="22"/>
          <w:szCs w:val="22"/>
          <w:lang w:val="en-GB"/>
        </w:rPr>
        <w:footnoteReference w:id="82"/>
      </w:r>
      <w:r w:rsidR="0031702E">
        <w:rPr>
          <w:rFonts w:eastAsia="Times New Roman"/>
          <w:sz w:val="22"/>
          <w:szCs w:val="22"/>
          <w:lang w:val="en-GB"/>
        </w:rPr>
        <w:t xml:space="preserve">. </w:t>
      </w:r>
      <w:r w:rsidR="007E1B84">
        <w:rPr>
          <w:rFonts w:eastAsia="Times New Roman"/>
          <w:sz w:val="22"/>
          <w:szCs w:val="22"/>
          <w:lang w:val="en-GB"/>
        </w:rPr>
        <w:t xml:space="preserve">A consistency analysis with relevant EU programmes has been carried </w:t>
      </w:r>
      <w:r w:rsidR="003408DB">
        <w:rPr>
          <w:rFonts w:eastAsia="Times New Roman"/>
          <w:sz w:val="22"/>
          <w:szCs w:val="22"/>
          <w:lang w:val="en-GB"/>
        </w:rPr>
        <w:t xml:space="preserve">out </w:t>
      </w:r>
      <w:r w:rsidR="007E1B84">
        <w:rPr>
          <w:rFonts w:eastAsia="Times New Roman"/>
          <w:sz w:val="22"/>
          <w:szCs w:val="22"/>
          <w:lang w:val="en-GB"/>
        </w:rPr>
        <w:t xml:space="preserve">so that </w:t>
      </w:r>
      <w:r w:rsidR="005E1CE6">
        <w:rPr>
          <w:rFonts w:eastAsia="Times New Roman"/>
          <w:sz w:val="22"/>
          <w:szCs w:val="22"/>
          <w:lang w:val="en-GB"/>
        </w:rPr>
        <w:t xml:space="preserve">the defined </w:t>
      </w:r>
      <w:r w:rsidR="007E1B84">
        <w:rPr>
          <w:rFonts w:eastAsia="Times New Roman"/>
          <w:sz w:val="22"/>
          <w:szCs w:val="22"/>
          <w:lang w:val="en-GB"/>
        </w:rPr>
        <w:t xml:space="preserve">BSB objectives and priorities deliver </w:t>
      </w:r>
      <w:r w:rsidR="007E1B84" w:rsidRPr="007620DA">
        <w:rPr>
          <w:rFonts w:eastAsia="Times New Roman"/>
          <w:sz w:val="22"/>
          <w:szCs w:val="22"/>
          <w:lang w:val="en-GB"/>
        </w:rPr>
        <w:t>real cross-border added va</w:t>
      </w:r>
      <w:r w:rsidR="007E1B84">
        <w:rPr>
          <w:rFonts w:eastAsia="Times New Roman"/>
          <w:sz w:val="22"/>
          <w:szCs w:val="22"/>
          <w:lang w:val="en-GB"/>
        </w:rPr>
        <w:t>lue and do not cover elements that</w:t>
      </w:r>
      <w:r w:rsidR="007E1B84" w:rsidRPr="007620DA">
        <w:rPr>
          <w:rFonts w:eastAsia="Times New Roman"/>
          <w:sz w:val="22"/>
          <w:szCs w:val="22"/>
          <w:lang w:val="en-GB"/>
        </w:rPr>
        <w:t xml:space="preserve"> are already funded or could more suitably be funded from other ENI or EU programmes</w:t>
      </w:r>
      <w:r w:rsidR="007E1B84">
        <w:rPr>
          <w:rStyle w:val="FootnoteReference"/>
          <w:rFonts w:eastAsia="Times New Roman"/>
          <w:sz w:val="22"/>
          <w:szCs w:val="22"/>
          <w:lang w:val="en-GB"/>
        </w:rPr>
        <w:footnoteReference w:id="83"/>
      </w:r>
      <w:r w:rsidR="007E1B84">
        <w:rPr>
          <w:rFonts w:eastAsia="Times New Roman"/>
          <w:sz w:val="22"/>
          <w:szCs w:val="22"/>
          <w:lang w:val="en-GB"/>
        </w:rPr>
        <w:t xml:space="preserve">. </w:t>
      </w:r>
    </w:p>
    <w:p w:rsidR="00762364" w:rsidRDefault="00776D3A" w:rsidP="00F16F0A">
      <w:pPr>
        <w:spacing w:before="120" w:after="0" w:line="264" w:lineRule="auto"/>
        <w:jc w:val="both"/>
        <w:rPr>
          <w:rFonts w:eastAsia="Times New Roman"/>
          <w:sz w:val="22"/>
          <w:szCs w:val="22"/>
          <w:lang w:val="en-GB"/>
        </w:rPr>
      </w:pPr>
      <w:r>
        <w:rPr>
          <w:rFonts w:eastAsia="Times New Roman"/>
          <w:sz w:val="22"/>
          <w:szCs w:val="22"/>
          <w:lang w:val="en-GB"/>
        </w:rPr>
        <w:t>C</w:t>
      </w:r>
      <w:r w:rsidR="00762364">
        <w:rPr>
          <w:rFonts w:eastAsia="Times New Roman"/>
          <w:sz w:val="22"/>
          <w:szCs w:val="22"/>
          <w:lang w:val="en-GB"/>
        </w:rPr>
        <w:t xml:space="preserve">oherence </w:t>
      </w:r>
      <w:r>
        <w:rPr>
          <w:rFonts w:eastAsia="Times New Roman"/>
          <w:sz w:val="22"/>
          <w:szCs w:val="22"/>
          <w:lang w:val="en-GB"/>
        </w:rPr>
        <w:t xml:space="preserve">of the programme strategy </w:t>
      </w:r>
      <w:r w:rsidR="00762364">
        <w:rPr>
          <w:rFonts w:eastAsia="Times New Roman"/>
          <w:sz w:val="22"/>
          <w:szCs w:val="22"/>
          <w:lang w:val="en-GB"/>
        </w:rPr>
        <w:t>with national and regional strategies</w:t>
      </w:r>
      <w:r>
        <w:rPr>
          <w:rFonts w:eastAsia="Times New Roman"/>
          <w:sz w:val="22"/>
          <w:szCs w:val="22"/>
          <w:lang w:val="en-GB"/>
        </w:rPr>
        <w:t xml:space="preserve"> has been ensured</w:t>
      </w:r>
      <w:r w:rsidR="00762364">
        <w:rPr>
          <w:rFonts w:eastAsia="Times New Roman"/>
          <w:sz w:val="22"/>
          <w:szCs w:val="22"/>
          <w:lang w:val="en-GB"/>
        </w:rPr>
        <w:t xml:space="preserve"> through extensive stakeholders consultations</w:t>
      </w:r>
      <w:r>
        <w:rPr>
          <w:rFonts w:eastAsia="Times New Roman"/>
          <w:sz w:val="22"/>
          <w:szCs w:val="22"/>
          <w:lang w:val="en-GB"/>
        </w:rPr>
        <w:t xml:space="preserve"> at national and regional levels</w:t>
      </w:r>
      <w:r w:rsidR="00C17C75">
        <w:rPr>
          <w:rStyle w:val="FootnoteReference"/>
          <w:rFonts w:eastAsia="Times New Roman"/>
          <w:sz w:val="22"/>
          <w:szCs w:val="22"/>
          <w:lang w:val="en-GB"/>
        </w:rPr>
        <w:footnoteReference w:id="84"/>
      </w:r>
      <w:r w:rsidR="00762364">
        <w:rPr>
          <w:rFonts w:eastAsia="Times New Roman"/>
          <w:sz w:val="22"/>
          <w:szCs w:val="22"/>
          <w:lang w:val="en-GB"/>
        </w:rPr>
        <w:t>.</w:t>
      </w:r>
      <w:r w:rsidR="0017746F">
        <w:rPr>
          <w:rFonts w:eastAsia="Times New Roman"/>
          <w:sz w:val="22"/>
          <w:szCs w:val="22"/>
          <w:lang w:val="en-GB"/>
        </w:rPr>
        <w:t xml:space="preserve"> </w:t>
      </w:r>
      <w:r w:rsidR="00762364">
        <w:rPr>
          <w:rFonts w:eastAsia="Times New Roman"/>
          <w:sz w:val="22"/>
          <w:szCs w:val="22"/>
          <w:lang w:val="en-GB"/>
        </w:rPr>
        <w:t xml:space="preserve">The </w:t>
      </w:r>
      <w:r w:rsidR="00A2601A">
        <w:rPr>
          <w:rFonts w:eastAsia="Times New Roman"/>
          <w:sz w:val="22"/>
          <w:szCs w:val="22"/>
          <w:lang w:val="en-GB"/>
        </w:rPr>
        <w:t>socio-eon</w:t>
      </w:r>
      <w:r w:rsidR="00D521BE">
        <w:rPr>
          <w:rFonts w:eastAsia="Times New Roman"/>
          <w:sz w:val="22"/>
          <w:szCs w:val="22"/>
          <w:lang w:val="en-GB"/>
        </w:rPr>
        <w:t xml:space="preserve">omic analysis </w:t>
      </w:r>
      <w:r w:rsidR="0017746F">
        <w:rPr>
          <w:rFonts w:eastAsia="Times New Roman"/>
          <w:sz w:val="22"/>
          <w:szCs w:val="22"/>
          <w:lang w:val="en-GB"/>
        </w:rPr>
        <w:t>has</w:t>
      </w:r>
      <w:r w:rsidR="00383BF5">
        <w:rPr>
          <w:rFonts w:eastAsia="Times New Roman"/>
          <w:sz w:val="22"/>
          <w:szCs w:val="22"/>
          <w:lang w:val="en-GB"/>
        </w:rPr>
        <w:t xml:space="preserve"> </w:t>
      </w:r>
      <w:r w:rsidR="00341A70">
        <w:rPr>
          <w:rFonts w:eastAsia="Times New Roman"/>
          <w:sz w:val="22"/>
          <w:szCs w:val="22"/>
          <w:lang w:val="en-GB"/>
        </w:rPr>
        <w:t>pointed out for key</w:t>
      </w:r>
      <w:r w:rsidR="00DE4B28">
        <w:rPr>
          <w:rFonts w:eastAsia="Times New Roman"/>
          <w:sz w:val="22"/>
          <w:szCs w:val="22"/>
          <w:lang w:val="en-GB"/>
        </w:rPr>
        <w:t xml:space="preserve"> sectors </w:t>
      </w:r>
      <w:r w:rsidR="00CB54C8">
        <w:rPr>
          <w:rFonts w:eastAsia="Times New Roman"/>
          <w:sz w:val="22"/>
          <w:szCs w:val="22"/>
          <w:lang w:val="en-GB"/>
        </w:rPr>
        <w:t xml:space="preserve">the </w:t>
      </w:r>
      <w:r w:rsidR="00DE4B28">
        <w:rPr>
          <w:rFonts w:eastAsia="Times New Roman"/>
          <w:sz w:val="22"/>
          <w:szCs w:val="22"/>
          <w:lang w:val="en-GB"/>
        </w:rPr>
        <w:t xml:space="preserve">existing regional cooperation </w:t>
      </w:r>
      <w:r w:rsidR="00F430F5">
        <w:rPr>
          <w:rFonts w:eastAsia="Times New Roman"/>
          <w:sz w:val="22"/>
          <w:szCs w:val="22"/>
          <w:lang w:val="en-GB"/>
        </w:rPr>
        <w:t>frameworks</w:t>
      </w:r>
      <w:r w:rsidR="00341A70">
        <w:rPr>
          <w:rFonts w:eastAsia="Times New Roman"/>
          <w:sz w:val="22"/>
          <w:szCs w:val="22"/>
          <w:lang w:val="en-GB"/>
        </w:rPr>
        <w:t>,</w:t>
      </w:r>
      <w:r w:rsidR="00F430F5">
        <w:rPr>
          <w:rFonts w:eastAsia="Times New Roman"/>
          <w:sz w:val="22"/>
          <w:szCs w:val="22"/>
          <w:lang w:val="en-GB"/>
        </w:rPr>
        <w:t xml:space="preserve"> where</w:t>
      </w:r>
      <w:r w:rsidR="00DE4B28">
        <w:rPr>
          <w:rFonts w:eastAsia="Times New Roman"/>
          <w:sz w:val="22"/>
          <w:szCs w:val="22"/>
          <w:lang w:val="en-GB"/>
        </w:rPr>
        <w:t xml:space="preserve"> relevant</w:t>
      </w:r>
      <w:r w:rsidR="00777C5A">
        <w:rPr>
          <w:rStyle w:val="FootnoteReference"/>
          <w:rFonts w:eastAsia="Times New Roman"/>
          <w:sz w:val="22"/>
          <w:szCs w:val="22"/>
          <w:lang w:val="en-GB"/>
        </w:rPr>
        <w:footnoteReference w:id="85"/>
      </w:r>
      <w:r w:rsidR="00DE4B28">
        <w:rPr>
          <w:rFonts w:eastAsia="Times New Roman"/>
          <w:sz w:val="22"/>
          <w:szCs w:val="22"/>
          <w:lang w:val="en-GB"/>
        </w:rPr>
        <w:t>.</w:t>
      </w:r>
    </w:p>
    <w:p w:rsidR="00F16F0A" w:rsidRPr="00FB2C75" w:rsidRDefault="00F16F0A" w:rsidP="00F16F0A">
      <w:pPr>
        <w:spacing w:before="120" w:after="0" w:line="264" w:lineRule="auto"/>
        <w:jc w:val="both"/>
        <w:rPr>
          <w:rFonts w:eastAsia="Times New Roman"/>
          <w:sz w:val="22"/>
          <w:szCs w:val="22"/>
          <w:lang w:val="en-GB"/>
        </w:rPr>
      </w:pPr>
      <w:r w:rsidRPr="00FB2C75">
        <w:rPr>
          <w:rFonts w:eastAsia="Times New Roman"/>
          <w:b/>
          <w:sz w:val="22"/>
          <w:szCs w:val="22"/>
          <w:lang w:val="en-GB"/>
        </w:rPr>
        <w:t>Complementarity of support</w:t>
      </w:r>
      <w:r w:rsidRPr="00F12F35">
        <w:rPr>
          <w:rFonts w:eastAsia="Times New Roman"/>
          <w:sz w:val="22"/>
          <w:szCs w:val="22"/>
          <w:lang w:val="en-GB"/>
        </w:rPr>
        <w:t xml:space="preserve"> is essential to ensure the best </w:t>
      </w:r>
      <w:r w:rsidR="00C114D1">
        <w:rPr>
          <w:rFonts w:eastAsia="Times New Roman"/>
          <w:sz w:val="22"/>
          <w:szCs w:val="22"/>
          <w:lang w:val="en-GB"/>
        </w:rPr>
        <w:t>use of resources and the greatest</w:t>
      </w:r>
      <w:r w:rsidRPr="00F12F35">
        <w:rPr>
          <w:rFonts w:eastAsia="Times New Roman"/>
          <w:sz w:val="22"/>
          <w:szCs w:val="22"/>
          <w:lang w:val="en-GB"/>
        </w:rPr>
        <w:t xml:space="preserve"> results for the eligible regions and stakeholders. </w:t>
      </w:r>
      <w:r>
        <w:rPr>
          <w:rFonts w:eastAsia="Times New Roman"/>
          <w:sz w:val="22"/>
          <w:szCs w:val="22"/>
          <w:lang w:val="en-GB"/>
        </w:rPr>
        <w:t xml:space="preserve">Beyond </w:t>
      </w:r>
      <w:r w:rsidR="00E619B9">
        <w:rPr>
          <w:rFonts w:eastAsia="Times New Roman"/>
          <w:sz w:val="22"/>
          <w:szCs w:val="22"/>
          <w:lang w:val="en-GB"/>
        </w:rPr>
        <w:t>ensuring</w:t>
      </w:r>
      <w:r w:rsidR="00987F80">
        <w:rPr>
          <w:rFonts w:eastAsia="Times New Roman"/>
          <w:sz w:val="22"/>
          <w:szCs w:val="22"/>
          <w:lang w:val="en-GB"/>
        </w:rPr>
        <w:t xml:space="preserve"> further</w:t>
      </w:r>
      <w:r w:rsidR="00E619B9">
        <w:rPr>
          <w:rFonts w:eastAsia="Times New Roman"/>
          <w:sz w:val="22"/>
          <w:szCs w:val="22"/>
          <w:lang w:val="en-GB"/>
        </w:rPr>
        <w:t xml:space="preserve"> consistency </w:t>
      </w:r>
      <w:r>
        <w:rPr>
          <w:rFonts w:eastAsia="Times New Roman"/>
          <w:sz w:val="22"/>
          <w:szCs w:val="22"/>
          <w:lang w:val="en-GB"/>
        </w:rPr>
        <w:t>with other initiatives supported by the EU or at regional/national level</w:t>
      </w:r>
      <w:r w:rsidR="00B40CE8">
        <w:rPr>
          <w:rFonts w:eastAsia="Times New Roman"/>
          <w:sz w:val="22"/>
          <w:szCs w:val="22"/>
          <w:lang w:val="en-GB"/>
        </w:rPr>
        <w:t xml:space="preserve"> during programme implementation</w:t>
      </w:r>
      <w:r>
        <w:rPr>
          <w:rFonts w:eastAsia="Times New Roman"/>
          <w:sz w:val="22"/>
          <w:szCs w:val="22"/>
          <w:lang w:val="en-GB"/>
        </w:rPr>
        <w:t xml:space="preserve">, the BSB programme will also look for complementarities </w:t>
      </w:r>
      <w:r w:rsidRPr="00FB2C75">
        <w:rPr>
          <w:rFonts w:eastAsia="Times New Roman"/>
          <w:sz w:val="22"/>
          <w:szCs w:val="22"/>
          <w:lang w:val="en-GB"/>
        </w:rPr>
        <w:t xml:space="preserve">with other </w:t>
      </w:r>
      <w:r>
        <w:rPr>
          <w:rFonts w:eastAsia="Times New Roman"/>
          <w:sz w:val="22"/>
          <w:szCs w:val="22"/>
          <w:lang w:val="en-GB"/>
        </w:rPr>
        <w:t>key</w:t>
      </w:r>
      <w:r w:rsidRPr="00FB2C75">
        <w:rPr>
          <w:rFonts w:eastAsia="Times New Roman"/>
          <w:sz w:val="22"/>
          <w:szCs w:val="22"/>
          <w:lang w:val="en-GB"/>
        </w:rPr>
        <w:t xml:space="preserve"> cooperat</w:t>
      </w:r>
      <w:r>
        <w:rPr>
          <w:rFonts w:eastAsia="Times New Roman"/>
          <w:sz w:val="22"/>
          <w:szCs w:val="22"/>
          <w:lang w:val="en-GB"/>
        </w:rPr>
        <w:t>ion frameworks within</w:t>
      </w:r>
      <w:r w:rsidR="00E619B9">
        <w:rPr>
          <w:rFonts w:eastAsia="Times New Roman"/>
          <w:sz w:val="22"/>
          <w:szCs w:val="22"/>
          <w:lang w:val="en-GB"/>
        </w:rPr>
        <w:t xml:space="preserve"> the</w:t>
      </w:r>
      <w:r w:rsidRPr="00FB2C75">
        <w:rPr>
          <w:rFonts w:eastAsia="Times New Roman"/>
          <w:sz w:val="22"/>
          <w:szCs w:val="22"/>
          <w:lang w:val="en-GB"/>
        </w:rPr>
        <w:t xml:space="preserve"> BSB</w:t>
      </w:r>
      <w:r w:rsidR="00E619B9">
        <w:rPr>
          <w:rFonts w:eastAsia="Times New Roman"/>
          <w:sz w:val="22"/>
          <w:szCs w:val="22"/>
          <w:lang w:val="en-GB"/>
        </w:rPr>
        <w:t xml:space="preserve"> region</w:t>
      </w:r>
      <w:r>
        <w:rPr>
          <w:rFonts w:eastAsia="Times New Roman"/>
          <w:sz w:val="22"/>
          <w:szCs w:val="22"/>
          <w:lang w:val="en-GB"/>
        </w:rPr>
        <w:t xml:space="preserve"> and </w:t>
      </w:r>
      <w:r w:rsidR="00053A18">
        <w:rPr>
          <w:rFonts w:eastAsia="Times New Roman"/>
          <w:sz w:val="22"/>
          <w:szCs w:val="22"/>
          <w:lang w:val="en-GB"/>
        </w:rPr>
        <w:t xml:space="preserve">by </w:t>
      </w:r>
      <w:r>
        <w:rPr>
          <w:rFonts w:eastAsia="Times New Roman"/>
          <w:sz w:val="22"/>
          <w:szCs w:val="22"/>
          <w:lang w:val="en-GB"/>
        </w:rPr>
        <w:t>other donors</w:t>
      </w:r>
      <w:r w:rsidRPr="00FB2C75">
        <w:rPr>
          <w:rFonts w:eastAsia="Times New Roman"/>
          <w:sz w:val="22"/>
          <w:szCs w:val="22"/>
          <w:lang w:val="en-GB"/>
        </w:rPr>
        <w:t>, most notably:</w:t>
      </w:r>
    </w:p>
    <w:p w:rsidR="00F16F0A" w:rsidRPr="004919D2" w:rsidRDefault="00F16F0A" w:rsidP="0057521E">
      <w:pPr>
        <w:pStyle w:val="ListParagraph"/>
        <w:widowControl w:val="0"/>
        <w:numPr>
          <w:ilvl w:val="0"/>
          <w:numId w:val="16"/>
        </w:numPr>
        <w:autoSpaceDE w:val="0"/>
        <w:autoSpaceDN w:val="0"/>
        <w:adjustRightInd w:val="0"/>
        <w:spacing w:before="120" w:after="120" w:line="264" w:lineRule="auto"/>
        <w:ind w:left="714" w:hanging="357"/>
        <w:contextualSpacing w:val="0"/>
        <w:jc w:val="both"/>
        <w:rPr>
          <w:sz w:val="22"/>
          <w:szCs w:val="22"/>
          <w:lang w:val="en-GB"/>
        </w:rPr>
      </w:pPr>
      <w:r w:rsidRPr="00327AD1">
        <w:rPr>
          <w:sz w:val="22"/>
          <w:szCs w:val="22"/>
          <w:lang w:val="en-GB"/>
        </w:rPr>
        <w:t xml:space="preserve">The </w:t>
      </w:r>
      <w:r w:rsidRPr="00607B39">
        <w:rPr>
          <w:b/>
          <w:sz w:val="22"/>
          <w:szCs w:val="22"/>
          <w:lang w:val="en-GB"/>
        </w:rPr>
        <w:t>Organization of the Black Sea Economic Cooperation (BSEC)</w:t>
      </w:r>
      <w:r w:rsidRPr="00607B39">
        <w:rPr>
          <w:sz w:val="22"/>
          <w:szCs w:val="22"/>
          <w:lang w:val="en-GB"/>
        </w:rPr>
        <w:t>,</w:t>
      </w:r>
      <w:r>
        <w:rPr>
          <w:sz w:val="22"/>
          <w:szCs w:val="22"/>
          <w:lang w:val="en-GB"/>
        </w:rPr>
        <w:t xml:space="preserve"> created in 1992, which has a</w:t>
      </w:r>
      <w:r w:rsidRPr="00327AD1">
        <w:rPr>
          <w:sz w:val="22"/>
          <w:szCs w:val="22"/>
          <w:lang w:val="en-GB"/>
        </w:rPr>
        <w:t xml:space="preserve"> larger regional scope than </w:t>
      </w:r>
      <w:r>
        <w:rPr>
          <w:sz w:val="22"/>
          <w:szCs w:val="22"/>
          <w:lang w:val="en-GB"/>
        </w:rPr>
        <w:t>the BSB</w:t>
      </w:r>
      <w:r w:rsidR="00E86E9A">
        <w:rPr>
          <w:sz w:val="22"/>
          <w:szCs w:val="22"/>
          <w:lang w:val="en-GB"/>
        </w:rPr>
        <w:t xml:space="preserve"> programme</w:t>
      </w:r>
      <w:r w:rsidRPr="00327AD1">
        <w:rPr>
          <w:sz w:val="22"/>
          <w:szCs w:val="22"/>
          <w:lang w:val="en-GB"/>
        </w:rPr>
        <w:t xml:space="preserve"> as it brings together</w:t>
      </w:r>
      <w:r>
        <w:rPr>
          <w:sz w:val="22"/>
          <w:szCs w:val="22"/>
          <w:lang w:val="en-GB"/>
        </w:rPr>
        <w:t xml:space="preserve"> the BSB programme participating countries, as well as Albania and Serbia. </w:t>
      </w:r>
      <w:r w:rsidRPr="004919D2">
        <w:rPr>
          <w:sz w:val="22"/>
          <w:szCs w:val="22"/>
          <w:lang w:val="en-GB"/>
        </w:rPr>
        <w:t>BSEC has a permanent Secretariat in Istanbul, a Parliamentary Assembly adopting recommendations, and a Business Council. The main financial pillar of BSEC is the Black Sea Trade and Development</w:t>
      </w:r>
      <w:r w:rsidR="00E86E9A">
        <w:rPr>
          <w:sz w:val="22"/>
          <w:szCs w:val="22"/>
          <w:lang w:val="en-GB"/>
        </w:rPr>
        <w:t xml:space="preserve"> Bank based in Thessaloniki</w:t>
      </w:r>
      <w:r w:rsidR="00CA22F0">
        <w:rPr>
          <w:sz w:val="22"/>
          <w:szCs w:val="22"/>
          <w:lang w:val="en-GB"/>
        </w:rPr>
        <w:t>,</w:t>
      </w:r>
      <w:r w:rsidR="00E86E9A">
        <w:rPr>
          <w:sz w:val="22"/>
          <w:szCs w:val="22"/>
          <w:lang w:val="en-GB"/>
        </w:rPr>
        <w:t xml:space="preserve"> which</w:t>
      </w:r>
      <w:r w:rsidRPr="004919D2">
        <w:rPr>
          <w:sz w:val="22"/>
          <w:szCs w:val="22"/>
          <w:lang w:val="en-GB"/>
        </w:rPr>
        <w:t xml:space="preserve"> supports economic development and regional cooperation. The International Centre for Black Sea Studies (ICBSS), based in Athens, is a regional think-tank associated with BSEC, which has notably developed a B</w:t>
      </w:r>
      <w:r w:rsidR="009E4185">
        <w:rPr>
          <w:sz w:val="22"/>
          <w:szCs w:val="22"/>
          <w:lang w:val="en-GB"/>
        </w:rPr>
        <w:t>lack Sea Research Network that aims</w:t>
      </w:r>
      <w:r w:rsidRPr="004919D2">
        <w:rPr>
          <w:sz w:val="22"/>
          <w:szCs w:val="22"/>
          <w:lang w:val="en-GB"/>
        </w:rPr>
        <w:t xml:space="preserve"> to exchange views and practices among research institutes. </w:t>
      </w:r>
      <w:r>
        <w:rPr>
          <w:sz w:val="22"/>
          <w:szCs w:val="22"/>
          <w:lang w:val="en-GB"/>
        </w:rPr>
        <w:t>Co</w:t>
      </w:r>
      <w:r w:rsidR="00CA22F0">
        <w:rPr>
          <w:sz w:val="22"/>
          <w:szCs w:val="22"/>
          <w:lang w:val="en-GB"/>
        </w:rPr>
        <w:t>untries cooperate within BSEC in various fields</w:t>
      </w:r>
      <w:r>
        <w:rPr>
          <w:sz w:val="22"/>
          <w:szCs w:val="22"/>
          <w:lang w:val="en-GB"/>
        </w:rPr>
        <w:t xml:space="preserve"> including</w:t>
      </w:r>
      <w:r w:rsidR="00CA22F0">
        <w:rPr>
          <w:sz w:val="22"/>
          <w:szCs w:val="22"/>
          <w:lang w:val="en-GB"/>
        </w:rPr>
        <w:t>,</w:t>
      </w:r>
      <w:r>
        <w:rPr>
          <w:sz w:val="22"/>
          <w:szCs w:val="22"/>
          <w:lang w:val="en-GB"/>
        </w:rPr>
        <w:t xml:space="preserve"> most relevant for complementarities and synergies with BSB programme</w:t>
      </w:r>
      <w:r w:rsidR="007A6999">
        <w:rPr>
          <w:sz w:val="22"/>
          <w:szCs w:val="22"/>
          <w:lang w:val="en-GB"/>
        </w:rPr>
        <w:t>,</w:t>
      </w:r>
      <w:r>
        <w:rPr>
          <w:sz w:val="22"/>
          <w:szCs w:val="22"/>
          <w:lang w:val="en-GB"/>
        </w:rPr>
        <w:t xml:space="preserve"> the areas of tourism, agriculture and environmental protection.</w:t>
      </w:r>
    </w:p>
    <w:p w:rsidR="00F16F0A" w:rsidRDefault="00F16F0A" w:rsidP="00EE745F">
      <w:pPr>
        <w:pStyle w:val="ListParagraph"/>
        <w:widowControl w:val="0"/>
        <w:numPr>
          <w:ilvl w:val="0"/>
          <w:numId w:val="16"/>
        </w:numPr>
        <w:autoSpaceDE w:val="0"/>
        <w:autoSpaceDN w:val="0"/>
        <w:adjustRightInd w:val="0"/>
        <w:spacing w:line="264" w:lineRule="auto"/>
        <w:jc w:val="both"/>
        <w:rPr>
          <w:sz w:val="22"/>
          <w:szCs w:val="22"/>
          <w:lang w:val="en-GB"/>
        </w:rPr>
      </w:pPr>
      <w:r w:rsidRPr="00186618">
        <w:rPr>
          <w:sz w:val="22"/>
          <w:szCs w:val="22"/>
          <w:lang w:val="en-GB"/>
        </w:rPr>
        <w:t xml:space="preserve">The </w:t>
      </w:r>
      <w:r w:rsidRPr="00186618">
        <w:rPr>
          <w:b/>
          <w:sz w:val="22"/>
          <w:szCs w:val="22"/>
          <w:lang w:val="en-GB"/>
        </w:rPr>
        <w:t>Commission for the Protection of the Black Sea</w:t>
      </w:r>
      <w:r w:rsidRPr="00186618">
        <w:rPr>
          <w:sz w:val="22"/>
          <w:szCs w:val="22"/>
          <w:lang w:val="en-GB"/>
        </w:rPr>
        <w:t xml:space="preserve"> </w:t>
      </w:r>
      <w:r w:rsidR="00B42BEA">
        <w:rPr>
          <w:b/>
          <w:sz w:val="22"/>
          <w:szCs w:val="22"/>
          <w:lang w:val="en-GB"/>
        </w:rPr>
        <w:t>a</w:t>
      </w:r>
      <w:r w:rsidRPr="00186618">
        <w:rPr>
          <w:b/>
          <w:sz w:val="22"/>
          <w:szCs w:val="22"/>
          <w:lang w:val="en-GB"/>
        </w:rPr>
        <w:t>gainst Pollution (BSC),</w:t>
      </w:r>
      <w:r w:rsidRPr="00186618">
        <w:rPr>
          <w:sz w:val="22"/>
          <w:szCs w:val="22"/>
          <w:lang w:val="en-GB"/>
        </w:rPr>
        <w:t xml:space="preserve"> with a permanent Secretariat in Istanbul, acts as the coordinating mechanism for the implementation of the Convention on the Protection of </w:t>
      </w:r>
      <w:r w:rsidR="00B42BEA">
        <w:rPr>
          <w:sz w:val="22"/>
          <w:szCs w:val="22"/>
          <w:lang w:val="en-GB"/>
        </w:rPr>
        <w:t>the Black Sea against pollution and was</w:t>
      </w:r>
      <w:r w:rsidRPr="00186618">
        <w:rPr>
          <w:sz w:val="22"/>
          <w:szCs w:val="22"/>
          <w:lang w:val="en-GB"/>
        </w:rPr>
        <w:t xml:space="preserve"> adopted in 1992 by six countries</w:t>
      </w:r>
      <w:r>
        <w:rPr>
          <w:sz w:val="22"/>
          <w:szCs w:val="22"/>
          <w:lang w:val="en-GB"/>
        </w:rPr>
        <w:t>:</w:t>
      </w:r>
      <w:r w:rsidRPr="00186618">
        <w:rPr>
          <w:sz w:val="22"/>
          <w:szCs w:val="22"/>
          <w:lang w:val="en-GB"/>
        </w:rPr>
        <w:t xml:space="preserve"> </w:t>
      </w:r>
      <w:r w:rsidRPr="002002EA">
        <w:rPr>
          <w:rFonts w:eastAsia="Times New Roman"/>
          <w:sz w:val="22"/>
          <w:szCs w:val="22"/>
          <w:lang w:val="en-GB"/>
        </w:rPr>
        <w:t>Bulgaria, Georgia, Romania, Russian Federation, Turkey and Ukraine. BSC implements the</w:t>
      </w:r>
      <w:r w:rsidRPr="00186618">
        <w:rPr>
          <w:sz w:val="22"/>
          <w:szCs w:val="22"/>
          <w:lang w:val="en-GB"/>
        </w:rPr>
        <w:t xml:space="preserve"> Black Sea Strategic Action Plan for the environmental protection and rehabilitation of the Black Sea (updated in 2009). The BSB programme will build upon the experience accumulated</w:t>
      </w:r>
      <w:r>
        <w:rPr>
          <w:sz w:val="22"/>
          <w:szCs w:val="22"/>
          <w:lang w:val="en-GB"/>
        </w:rPr>
        <w:t xml:space="preserve"> within BSC and look for synergies with its</w:t>
      </w:r>
      <w:r w:rsidRPr="00186618">
        <w:rPr>
          <w:sz w:val="22"/>
          <w:szCs w:val="22"/>
          <w:lang w:val="en-GB"/>
        </w:rPr>
        <w:t xml:space="preserve"> ong</w:t>
      </w:r>
      <w:r>
        <w:rPr>
          <w:sz w:val="22"/>
          <w:szCs w:val="22"/>
          <w:lang w:val="en-GB"/>
        </w:rPr>
        <w:t>oing activities, in particular</w:t>
      </w:r>
      <w:r w:rsidRPr="00186618">
        <w:rPr>
          <w:sz w:val="22"/>
          <w:szCs w:val="22"/>
          <w:lang w:val="en-GB"/>
        </w:rPr>
        <w:t xml:space="preserve"> under Priority 2.1 </w:t>
      </w:r>
      <w:r w:rsidRPr="00186618">
        <w:rPr>
          <w:i/>
          <w:sz w:val="22"/>
          <w:szCs w:val="22"/>
          <w:lang w:val="en-GB"/>
        </w:rPr>
        <w:t>Improve joint environmental monitoring</w:t>
      </w:r>
      <w:r>
        <w:rPr>
          <w:sz w:val="22"/>
          <w:szCs w:val="22"/>
          <w:lang w:val="en-GB"/>
        </w:rPr>
        <w:t xml:space="preserve">, but also </w:t>
      </w:r>
      <w:r w:rsidRPr="00186618">
        <w:rPr>
          <w:sz w:val="22"/>
          <w:szCs w:val="22"/>
          <w:lang w:val="en-GB"/>
        </w:rPr>
        <w:t xml:space="preserve">under Priority 2.2 </w:t>
      </w:r>
      <w:r w:rsidRPr="00186618">
        <w:rPr>
          <w:i/>
          <w:sz w:val="22"/>
          <w:szCs w:val="22"/>
          <w:lang w:val="en-GB"/>
        </w:rPr>
        <w:t>Promote common awareness-raising and joint actions to reduce river and marine litter</w:t>
      </w:r>
      <w:r w:rsidRPr="00186618">
        <w:rPr>
          <w:sz w:val="22"/>
          <w:szCs w:val="22"/>
          <w:lang w:val="en-GB"/>
        </w:rPr>
        <w:t>.</w:t>
      </w:r>
    </w:p>
    <w:p w:rsidR="00F16F0A" w:rsidRDefault="00F16F0A" w:rsidP="0057521E">
      <w:pPr>
        <w:pStyle w:val="ListParagraph"/>
        <w:widowControl w:val="0"/>
        <w:numPr>
          <w:ilvl w:val="0"/>
          <w:numId w:val="16"/>
        </w:numPr>
        <w:autoSpaceDE w:val="0"/>
        <w:autoSpaceDN w:val="0"/>
        <w:adjustRightInd w:val="0"/>
        <w:spacing w:before="120" w:line="264" w:lineRule="auto"/>
        <w:ind w:left="714" w:hanging="357"/>
        <w:contextualSpacing w:val="0"/>
        <w:jc w:val="both"/>
        <w:rPr>
          <w:sz w:val="22"/>
          <w:szCs w:val="22"/>
          <w:lang w:val="en-GB"/>
        </w:rPr>
      </w:pPr>
      <w:r w:rsidRPr="00F843EF">
        <w:rPr>
          <w:b/>
          <w:sz w:val="22"/>
          <w:szCs w:val="22"/>
          <w:lang w:val="en-GB"/>
        </w:rPr>
        <w:t>Other international donors</w:t>
      </w:r>
      <w:r w:rsidR="0009688E" w:rsidRPr="00F843EF">
        <w:rPr>
          <w:sz w:val="22"/>
          <w:szCs w:val="22"/>
          <w:lang w:val="en-GB"/>
        </w:rPr>
        <w:t>,</w:t>
      </w:r>
      <w:r w:rsidR="00867260" w:rsidRPr="00F843EF">
        <w:rPr>
          <w:sz w:val="22"/>
          <w:szCs w:val="22"/>
          <w:lang w:val="en-GB"/>
        </w:rPr>
        <w:t xml:space="preserve"> </w:t>
      </w:r>
      <w:r w:rsidRPr="00F843EF">
        <w:rPr>
          <w:sz w:val="22"/>
          <w:szCs w:val="22"/>
          <w:lang w:val="en-GB"/>
        </w:rPr>
        <w:t>active motsly in partne</w:t>
      </w:r>
      <w:r w:rsidR="00867260" w:rsidRPr="00F843EF">
        <w:rPr>
          <w:sz w:val="22"/>
          <w:szCs w:val="22"/>
          <w:lang w:val="en-GB"/>
        </w:rPr>
        <w:t>r countries and supporting issues</w:t>
      </w:r>
      <w:r w:rsidRPr="00F843EF">
        <w:rPr>
          <w:sz w:val="22"/>
          <w:szCs w:val="22"/>
          <w:lang w:val="en-GB"/>
        </w:rPr>
        <w:t xml:space="preserve"> included und</w:t>
      </w:r>
      <w:r w:rsidR="00867260" w:rsidRPr="00F843EF">
        <w:rPr>
          <w:sz w:val="22"/>
          <w:szCs w:val="22"/>
          <w:lang w:val="en-GB"/>
        </w:rPr>
        <w:t>er O</w:t>
      </w:r>
      <w:r w:rsidRPr="00F843EF">
        <w:rPr>
          <w:sz w:val="22"/>
          <w:szCs w:val="22"/>
          <w:lang w:val="en-GB"/>
        </w:rPr>
        <w:t>bjective</w:t>
      </w:r>
      <w:r w:rsidR="00867260" w:rsidRPr="00F843EF">
        <w:rPr>
          <w:sz w:val="22"/>
          <w:szCs w:val="22"/>
          <w:lang w:val="en-GB"/>
        </w:rPr>
        <w:t>s</w:t>
      </w:r>
      <w:r w:rsidRPr="00F843EF">
        <w:rPr>
          <w:sz w:val="22"/>
          <w:szCs w:val="22"/>
          <w:lang w:val="en-GB"/>
        </w:rPr>
        <w:t xml:space="preserve"> 1 and 2 of t</w:t>
      </w:r>
      <w:r w:rsidR="00715854" w:rsidRPr="00F843EF">
        <w:rPr>
          <w:sz w:val="22"/>
          <w:szCs w:val="22"/>
          <w:lang w:val="en-GB"/>
        </w:rPr>
        <w:t xml:space="preserve">he BSB programme, notably </w:t>
      </w:r>
      <w:r w:rsidRPr="00F843EF">
        <w:rPr>
          <w:sz w:val="22"/>
          <w:szCs w:val="22"/>
          <w:lang w:val="en-GB"/>
        </w:rPr>
        <w:t>United Nations Development Programme</w:t>
      </w:r>
      <w:r w:rsidR="00715854" w:rsidRPr="00F843EF">
        <w:rPr>
          <w:sz w:val="22"/>
          <w:szCs w:val="22"/>
          <w:lang w:val="en-GB"/>
        </w:rPr>
        <w:t xml:space="preserve"> (UNDP), </w:t>
      </w:r>
      <w:r w:rsidRPr="00F843EF">
        <w:rPr>
          <w:sz w:val="22"/>
          <w:szCs w:val="22"/>
          <w:lang w:val="en-GB"/>
        </w:rPr>
        <w:t xml:space="preserve">German </w:t>
      </w:r>
      <w:r w:rsidRPr="00F843EF">
        <w:rPr>
          <w:rStyle w:val="st"/>
          <w:rFonts w:eastAsia="Times New Roman"/>
          <w:sz w:val="22"/>
          <w:szCs w:val="22"/>
          <w:lang w:val="en-GB"/>
        </w:rPr>
        <w:t>Federal Enterprise for International Cooperation</w:t>
      </w:r>
      <w:r w:rsidR="00715854" w:rsidRPr="00F843EF">
        <w:rPr>
          <w:rStyle w:val="st"/>
          <w:rFonts w:eastAsia="Times New Roman"/>
          <w:sz w:val="22"/>
          <w:szCs w:val="22"/>
          <w:lang w:val="en-GB"/>
        </w:rPr>
        <w:t xml:space="preserve"> (GIZ</w:t>
      </w:r>
      <w:r w:rsidRPr="00F843EF">
        <w:rPr>
          <w:rStyle w:val="st"/>
          <w:rFonts w:eastAsia="Times New Roman"/>
          <w:sz w:val="22"/>
          <w:szCs w:val="22"/>
          <w:lang w:val="en-GB"/>
        </w:rPr>
        <w:t>)</w:t>
      </w:r>
      <w:r w:rsidRPr="00F843EF">
        <w:rPr>
          <w:sz w:val="22"/>
          <w:szCs w:val="22"/>
          <w:lang w:val="en-GB"/>
        </w:rPr>
        <w:t xml:space="preserve">, </w:t>
      </w:r>
      <w:r w:rsidRPr="00F843EF">
        <w:rPr>
          <w:iCs/>
          <w:sz w:val="22"/>
          <w:szCs w:val="22"/>
          <w:lang w:val="en-GB"/>
        </w:rPr>
        <w:t>United States Agency for International</w:t>
      </w:r>
      <w:r w:rsidRPr="007112C8">
        <w:rPr>
          <w:iCs/>
          <w:sz w:val="22"/>
          <w:szCs w:val="22"/>
          <w:lang w:val="en-GB"/>
        </w:rPr>
        <w:t xml:space="preserve"> Development</w:t>
      </w:r>
      <w:r w:rsidR="003C351D">
        <w:rPr>
          <w:iCs/>
          <w:sz w:val="22"/>
          <w:szCs w:val="22"/>
          <w:lang w:val="en-GB"/>
        </w:rPr>
        <w:t xml:space="preserve"> (USAID</w:t>
      </w:r>
      <w:r w:rsidRPr="007112C8">
        <w:rPr>
          <w:iCs/>
          <w:sz w:val="22"/>
          <w:szCs w:val="22"/>
          <w:lang w:val="en-GB"/>
        </w:rPr>
        <w:t>)</w:t>
      </w:r>
      <w:r>
        <w:rPr>
          <w:i/>
          <w:iCs/>
          <w:sz w:val="22"/>
          <w:szCs w:val="22"/>
          <w:lang w:val="en-GB"/>
        </w:rPr>
        <w:t xml:space="preserve"> </w:t>
      </w:r>
      <w:r>
        <w:rPr>
          <w:sz w:val="22"/>
          <w:szCs w:val="22"/>
          <w:lang w:val="en-GB"/>
        </w:rPr>
        <w:t>and the Global Environment Facility (GEF).</w:t>
      </w:r>
    </w:p>
    <w:p w:rsidR="00F16F0A" w:rsidRPr="009E563E" w:rsidRDefault="00F16F0A" w:rsidP="00F16F0A">
      <w:pPr>
        <w:spacing w:before="120" w:after="0" w:line="264" w:lineRule="auto"/>
        <w:jc w:val="both"/>
        <w:rPr>
          <w:rFonts w:eastAsia="Times New Roman"/>
          <w:sz w:val="22"/>
          <w:szCs w:val="22"/>
          <w:lang w:val="en-GB"/>
        </w:rPr>
      </w:pPr>
      <w:r w:rsidRPr="009E563E">
        <w:rPr>
          <w:rFonts w:eastAsia="Times New Roman"/>
          <w:sz w:val="22"/>
          <w:szCs w:val="22"/>
          <w:lang w:val="en-GB"/>
        </w:rPr>
        <w:t>The BSB programme</w:t>
      </w:r>
      <w:r w:rsidR="00BB5D4F">
        <w:rPr>
          <w:rFonts w:eastAsia="Times New Roman"/>
          <w:sz w:val="22"/>
          <w:szCs w:val="22"/>
          <w:lang w:val="en-GB"/>
        </w:rPr>
        <w:t xml:space="preserve"> has a specific scope and focus</w:t>
      </w:r>
      <w:r w:rsidRPr="009E563E">
        <w:rPr>
          <w:rFonts w:eastAsia="Times New Roman"/>
          <w:sz w:val="22"/>
          <w:szCs w:val="22"/>
          <w:lang w:val="en-GB"/>
        </w:rPr>
        <w:t xml:space="preserve"> which</w:t>
      </w:r>
      <w:r w:rsidRPr="00F2608A">
        <w:rPr>
          <w:rFonts w:eastAsia="Times New Roman"/>
          <w:b/>
          <w:sz w:val="22"/>
          <w:szCs w:val="22"/>
          <w:lang w:val="en-GB"/>
        </w:rPr>
        <w:t xml:space="preserve"> adds value to existing cooperation frameworks and initiatives</w:t>
      </w:r>
      <w:r w:rsidR="004D408D">
        <w:rPr>
          <w:rFonts w:eastAsia="Times New Roman"/>
          <w:sz w:val="22"/>
          <w:szCs w:val="22"/>
          <w:lang w:val="en-GB"/>
        </w:rPr>
        <w:t>, due to the following</w:t>
      </w:r>
      <w:r w:rsidRPr="00374631">
        <w:rPr>
          <w:rFonts w:eastAsia="Times New Roman"/>
          <w:sz w:val="22"/>
          <w:szCs w:val="22"/>
          <w:lang w:val="en-GB"/>
        </w:rPr>
        <w:t>:</w:t>
      </w:r>
    </w:p>
    <w:p w:rsidR="00F16F0A" w:rsidRPr="00F2608A" w:rsidRDefault="00F16F0A" w:rsidP="00CE7CC9">
      <w:pPr>
        <w:pStyle w:val="ListParagraph"/>
        <w:widowControl w:val="0"/>
        <w:numPr>
          <w:ilvl w:val="0"/>
          <w:numId w:val="16"/>
        </w:numPr>
        <w:autoSpaceDE w:val="0"/>
        <w:autoSpaceDN w:val="0"/>
        <w:adjustRightInd w:val="0"/>
        <w:spacing w:before="60" w:after="60" w:line="264" w:lineRule="auto"/>
        <w:ind w:left="714" w:hanging="357"/>
        <w:contextualSpacing w:val="0"/>
        <w:jc w:val="both"/>
        <w:rPr>
          <w:sz w:val="22"/>
          <w:szCs w:val="22"/>
          <w:lang w:val="en-GB"/>
        </w:rPr>
      </w:pPr>
      <w:r w:rsidRPr="00F2608A">
        <w:rPr>
          <w:sz w:val="22"/>
          <w:szCs w:val="22"/>
          <w:lang w:val="en-GB"/>
        </w:rPr>
        <w:t>Eligibility of project partners is based on the ENI regulation, but priority will be given to local and regional authorities, civil society, chambers of commerce, and the academic and educational community</w:t>
      </w:r>
      <w:r w:rsidRPr="009F38D1">
        <w:rPr>
          <w:vertAlign w:val="superscript"/>
        </w:rPr>
        <w:footnoteReference w:id="86"/>
      </w:r>
      <w:r w:rsidRPr="00F2608A">
        <w:rPr>
          <w:sz w:val="22"/>
          <w:szCs w:val="22"/>
          <w:lang w:val="en-GB"/>
        </w:rPr>
        <w:t>;</w:t>
      </w:r>
    </w:p>
    <w:p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sz w:val="22"/>
          <w:szCs w:val="22"/>
          <w:lang w:val="en-GB"/>
        </w:rPr>
      </w:pPr>
      <w:r w:rsidRPr="00F2608A">
        <w:rPr>
          <w:sz w:val="22"/>
          <w:szCs w:val="22"/>
          <w:lang w:val="en-GB"/>
        </w:rPr>
        <w:t xml:space="preserve">Project definition is in the hands of these local and regional actors on the basis of the programme priorities; </w:t>
      </w:r>
    </w:p>
    <w:p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sz w:val="22"/>
          <w:szCs w:val="22"/>
          <w:lang w:val="en-GB"/>
        </w:rPr>
      </w:pPr>
      <w:r w:rsidRPr="00F2608A">
        <w:rPr>
          <w:sz w:val="22"/>
          <w:szCs w:val="22"/>
          <w:lang w:val="en-GB"/>
        </w:rPr>
        <w:t>Projects are prepared and implemented in a partnership spirit, with similar organisations sharing experience with their partners across the borders, working together to address common challenges or to develop a joint potential;</w:t>
      </w:r>
    </w:p>
    <w:p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sz w:val="22"/>
          <w:szCs w:val="22"/>
          <w:lang w:val="en-GB"/>
        </w:rPr>
      </w:pPr>
      <w:r w:rsidRPr="00F2608A">
        <w:rPr>
          <w:sz w:val="22"/>
          <w:szCs w:val="22"/>
          <w:lang w:val="en-GB"/>
        </w:rPr>
        <w:t>Projects will have a cross-border impact;</w:t>
      </w:r>
    </w:p>
    <w:p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sz w:val="22"/>
          <w:szCs w:val="22"/>
          <w:lang w:val="en-GB"/>
        </w:rPr>
      </w:pPr>
      <w:r w:rsidRPr="00F2608A">
        <w:rPr>
          <w:sz w:val="22"/>
          <w:szCs w:val="22"/>
          <w:lang w:val="en-GB"/>
        </w:rPr>
        <w:t>The programme priorities concentrate on the common needs of the eligible regions, and were jointly identified by 9 participating countries</w:t>
      </w:r>
      <w:r w:rsidRPr="00374631">
        <w:rPr>
          <w:vertAlign w:val="superscript"/>
        </w:rPr>
        <w:footnoteReference w:id="87"/>
      </w:r>
      <w:r w:rsidRPr="00F2608A">
        <w:rPr>
          <w:sz w:val="22"/>
          <w:szCs w:val="22"/>
          <w:lang w:val="en-GB"/>
        </w:rPr>
        <w:t>;</w:t>
      </w:r>
    </w:p>
    <w:p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sz w:val="22"/>
          <w:szCs w:val="22"/>
          <w:lang w:val="en-GB"/>
        </w:rPr>
      </w:pPr>
      <w:r w:rsidRPr="00F2608A">
        <w:rPr>
          <w:sz w:val="22"/>
          <w:szCs w:val="22"/>
          <w:lang w:val="en-GB"/>
        </w:rPr>
        <w:t>The area of cooperation defined by the programme for the Black Sea Basin is broad, regionally coherent and unique.</w:t>
      </w:r>
    </w:p>
    <w:p w:rsidR="00F16F0A" w:rsidRDefault="00F16F0A" w:rsidP="00D70F63">
      <w:pPr>
        <w:spacing w:before="240" w:after="0" w:line="264" w:lineRule="auto"/>
        <w:jc w:val="both"/>
        <w:rPr>
          <w:rFonts w:eastAsia="Times New Roman"/>
          <w:sz w:val="22"/>
          <w:szCs w:val="22"/>
          <w:lang w:val="en-GB"/>
        </w:rPr>
      </w:pPr>
      <w:r>
        <w:rPr>
          <w:rFonts w:eastAsia="Times New Roman"/>
          <w:sz w:val="22"/>
          <w:szCs w:val="22"/>
          <w:lang w:val="en-GB"/>
        </w:rPr>
        <w:t xml:space="preserve">The ENI </w:t>
      </w:r>
      <w:r w:rsidRPr="009814A5">
        <w:rPr>
          <w:rFonts w:eastAsia="Times New Roman"/>
          <w:sz w:val="22"/>
          <w:szCs w:val="22"/>
          <w:lang w:val="en-GB"/>
        </w:rPr>
        <w:t>C</w:t>
      </w:r>
      <w:r>
        <w:rPr>
          <w:rFonts w:eastAsia="Times New Roman"/>
          <w:sz w:val="22"/>
          <w:szCs w:val="22"/>
          <w:lang w:val="en-GB"/>
        </w:rPr>
        <w:t xml:space="preserve">BC programme will </w:t>
      </w:r>
      <w:r w:rsidR="00D0786C">
        <w:rPr>
          <w:rFonts w:eastAsia="Times New Roman"/>
          <w:sz w:val="22"/>
          <w:szCs w:val="22"/>
          <w:lang w:val="en-GB"/>
        </w:rPr>
        <w:t xml:space="preserve">seek to </w:t>
      </w:r>
      <w:r w:rsidRPr="00584698">
        <w:rPr>
          <w:rFonts w:eastAsia="Times New Roman"/>
          <w:b/>
          <w:sz w:val="22"/>
          <w:szCs w:val="22"/>
          <w:lang w:val="en-GB"/>
        </w:rPr>
        <w:t>b</w:t>
      </w:r>
      <w:r w:rsidR="00BC0954">
        <w:rPr>
          <w:rFonts w:eastAsia="Times New Roman"/>
          <w:b/>
          <w:sz w:val="22"/>
          <w:szCs w:val="22"/>
          <w:lang w:val="en-GB"/>
        </w:rPr>
        <w:t xml:space="preserve">uild upon, complement and </w:t>
      </w:r>
      <w:r w:rsidRPr="00584698">
        <w:rPr>
          <w:rFonts w:eastAsia="Times New Roman"/>
          <w:b/>
          <w:sz w:val="22"/>
          <w:szCs w:val="22"/>
          <w:lang w:val="en-GB"/>
        </w:rPr>
        <w:t>achieve synergies</w:t>
      </w:r>
      <w:r>
        <w:rPr>
          <w:rFonts w:eastAsia="Times New Roman"/>
          <w:sz w:val="22"/>
          <w:szCs w:val="22"/>
          <w:lang w:val="en-GB"/>
        </w:rPr>
        <w:t xml:space="preserve"> with the </w:t>
      </w:r>
      <w:r w:rsidRPr="009814A5">
        <w:rPr>
          <w:rFonts w:eastAsia="Times New Roman"/>
          <w:sz w:val="22"/>
          <w:szCs w:val="22"/>
          <w:lang w:val="en-GB"/>
        </w:rPr>
        <w:t xml:space="preserve">various initiatives </w:t>
      </w:r>
      <w:r>
        <w:rPr>
          <w:rFonts w:eastAsia="Times New Roman"/>
          <w:sz w:val="22"/>
          <w:szCs w:val="22"/>
          <w:lang w:val="en-GB"/>
        </w:rPr>
        <w:t>(</w:t>
      </w:r>
      <w:r w:rsidRPr="009814A5">
        <w:rPr>
          <w:rFonts w:eastAsia="Times New Roman"/>
          <w:sz w:val="22"/>
          <w:szCs w:val="22"/>
          <w:lang w:val="en-GB"/>
        </w:rPr>
        <w:t>at regional, national, cross-bo</w:t>
      </w:r>
      <w:r>
        <w:rPr>
          <w:rFonts w:eastAsia="Times New Roman"/>
          <w:sz w:val="22"/>
          <w:szCs w:val="22"/>
          <w:lang w:val="en-GB"/>
        </w:rPr>
        <w:t>rder and international levels) that support projects with similar objectives in part or the whole of the eligible area. It shall in any case</w:t>
      </w:r>
      <w:r w:rsidR="00531F4B">
        <w:rPr>
          <w:rFonts w:eastAsia="Times New Roman"/>
          <w:sz w:val="22"/>
          <w:szCs w:val="22"/>
          <w:lang w:val="en-GB"/>
        </w:rPr>
        <w:t xml:space="preserve"> seek to</w:t>
      </w:r>
      <w:r w:rsidR="00133913">
        <w:rPr>
          <w:rFonts w:eastAsia="Times New Roman"/>
          <w:sz w:val="22"/>
          <w:szCs w:val="22"/>
          <w:lang w:val="en-GB"/>
        </w:rPr>
        <w:t xml:space="preserve"> avoid double funding and over</w:t>
      </w:r>
      <w:r>
        <w:rPr>
          <w:rFonts w:eastAsia="Times New Roman"/>
          <w:sz w:val="22"/>
          <w:szCs w:val="22"/>
          <w:lang w:val="en-GB"/>
        </w:rPr>
        <w:t xml:space="preserve">lapping of activities, for which the main risk lies within the other CBC and transnational/interregional programmes supported by the EU. During </w:t>
      </w:r>
      <w:r w:rsidR="008543D7">
        <w:rPr>
          <w:rFonts w:eastAsia="Times New Roman"/>
          <w:sz w:val="22"/>
          <w:szCs w:val="22"/>
          <w:lang w:val="en-GB"/>
        </w:rPr>
        <w:t>the implementation of the BSB programme,</w:t>
      </w:r>
      <w:r>
        <w:rPr>
          <w:rFonts w:eastAsia="Times New Roman"/>
          <w:sz w:val="22"/>
          <w:szCs w:val="22"/>
          <w:lang w:val="en-GB"/>
        </w:rPr>
        <w:t xml:space="preserve"> coherence of </w:t>
      </w:r>
      <w:r w:rsidRPr="0098406B">
        <w:rPr>
          <w:rFonts w:eastAsia="Times New Roman"/>
          <w:sz w:val="22"/>
          <w:szCs w:val="22"/>
          <w:lang w:val="en-GB"/>
        </w:rPr>
        <w:t>support with other initiatives and projects</w:t>
      </w:r>
      <w:r w:rsidR="00ED1776">
        <w:rPr>
          <w:rFonts w:eastAsia="Times New Roman"/>
          <w:sz w:val="22"/>
          <w:szCs w:val="22"/>
          <w:lang w:val="en-GB"/>
        </w:rPr>
        <w:t xml:space="preserve"> </w:t>
      </w:r>
      <w:r w:rsidR="00D0786C">
        <w:rPr>
          <w:rFonts w:eastAsia="Times New Roman"/>
          <w:sz w:val="22"/>
          <w:szCs w:val="22"/>
          <w:lang w:val="en-GB"/>
        </w:rPr>
        <w:t xml:space="preserve">may </w:t>
      </w:r>
      <w:r>
        <w:rPr>
          <w:rFonts w:eastAsia="Times New Roman"/>
          <w:sz w:val="22"/>
          <w:szCs w:val="22"/>
          <w:lang w:val="en-GB"/>
        </w:rPr>
        <w:t>be ensured in the following way</w:t>
      </w:r>
      <w:r w:rsidRPr="0098406B">
        <w:rPr>
          <w:rFonts w:eastAsia="Times New Roman"/>
          <w:sz w:val="22"/>
          <w:szCs w:val="22"/>
          <w:lang w:val="en-GB"/>
        </w:rPr>
        <w:t xml:space="preserve">: </w:t>
      </w:r>
    </w:p>
    <w:p w:rsidR="00F16F0A" w:rsidRDefault="00F16F0A" w:rsidP="00D70F63">
      <w:pPr>
        <w:pStyle w:val="ListParagraph"/>
        <w:widowControl w:val="0"/>
        <w:numPr>
          <w:ilvl w:val="0"/>
          <w:numId w:val="16"/>
        </w:numPr>
        <w:autoSpaceDE w:val="0"/>
        <w:autoSpaceDN w:val="0"/>
        <w:adjustRightInd w:val="0"/>
        <w:spacing w:before="120" w:after="0" w:line="264" w:lineRule="auto"/>
        <w:ind w:left="714" w:hanging="357"/>
        <w:contextualSpacing w:val="0"/>
        <w:jc w:val="both"/>
        <w:rPr>
          <w:sz w:val="22"/>
          <w:szCs w:val="22"/>
          <w:lang w:val="en-GB"/>
        </w:rPr>
      </w:pPr>
      <w:r w:rsidRPr="00075FEF">
        <w:rPr>
          <w:sz w:val="22"/>
          <w:szCs w:val="22"/>
          <w:lang w:val="en-GB"/>
        </w:rPr>
        <w:t xml:space="preserve">The </w:t>
      </w:r>
      <w:r w:rsidR="00F41A77">
        <w:rPr>
          <w:sz w:val="22"/>
          <w:szCs w:val="22"/>
          <w:lang w:val="en-GB"/>
        </w:rPr>
        <w:t xml:space="preserve">BSB </w:t>
      </w:r>
      <w:r w:rsidRPr="00075FEF">
        <w:rPr>
          <w:sz w:val="22"/>
          <w:szCs w:val="22"/>
          <w:lang w:val="en-GB"/>
        </w:rPr>
        <w:t xml:space="preserve">programme MA/JTS </w:t>
      </w:r>
      <w:r w:rsidR="00D0786C">
        <w:rPr>
          <w:sz w:val="22"/>
          <w:szCs w:val="22"/>
          <w:lang w:val="en-GB"/>
        </w:rPr>
        <w:t>may</w:t>
      </w:r>
      <w:r w:rsidRPr="00F36236">
        <w:rPr>
          <w:sz w:val="22"/>
          <w:szCs w:val="22"/>
          <w:lang w:val="en-GB"/>
        </w:rPr>
        <w:t xml:space="preserve"> exchange</w:t>
      </w:r>
      <w:r w:rsidRPr="00075FEF">
        <w:rPr>
          <w:sz w:val="22"/>
          <w:szCs w:val="22"/>
          <w:lang w:val="en-GB"/>
        </w:rPr>
        <w:t xml:space="preserve"> information</w:t>
      </w:r>
      <w:r>
        <w:rPr>
          <w:sz w:val="22"/>
          <w:szCs w:val="22"/>
          <w:lang w:val="en-GB"/>
        </w:rPr>
        <w:t xml:space="preserve"> </w:t>
      </w:r>
      <w:r w:rsidRPr="00075FEF">
        <w:rPr>
          <w:sz w:val="22"/>
          <w:szCs w:val="22"/>
          <w:lang w:val="en-GB"/>
        </w:rPr>
        <w:t>with</w:t>
      </w:r>
      <w:r w:rsidRPr="0072778A">
        <w:rPr>
          <w:vertAlign w:val="superscript"/>
        </w:rPr>
        <w:footnoteReference w:id="88"/>
      </w:r>
      <w:r>
        <w:rPr>
          <w:sz w:val="22"/>
          <w:szCs w:val="22"/>
          <w:lang w:val="en-GB"/>
        </w:rPr>
        <w:t>:</w:t>
      </w:r>
    </w:p>
    <w:p w:rsidR="00F16F0A" w:rsidRDefault="00F16F0A" w:rsidP="00EE745F">
      <w:pPr>
        <w:pStyle w:val="ListParagraph"/>
        <w:widowControl w:val="0"/>
        <w:numPr>
          <w:ilvl w:val="1"/>
          <w:numId w:val="16"/>
        </w:numPr>
        <w:autoSpaceDE w:val="0"/>
        <w:autoSpaceDN w:val="0"/>
        <w:adjustRightInd w:val="0"/>
        <w:spacing w:line="264" w:lineRule="auto"/>
        <w:jc w:val="both"/>
        <w:rPr>
          <w:sz w:val="22"/>
          <w:szCs w:val="22"/>
          <w:lang w:val="en-GB"/>
        </w:rPr>
      </w:pPr>
      <w:r>
        <w:rPr>
          <w:sz w:val="22"/>
          <w:szCs w:val="22"/>
          <w:lang w:val="en-GB"/>
        </w:rPr>
        <w:t>The</w:t>
      </w:r>
      <w:r w:rsidRPr="00075FEF">
        <w:rPr>
          <w:sz w:val="22"/>
          <w:szCs w:val="22"/>
          <w:lang w:val="en-GB"/>
        </w:rPr>
        <w:t xml:space="preserve"> MAs of </w:t>
      </w:r>
      <w:r>
        <w:rPr>
          <w:sz w:val="22"/>
          <w:szCs w:val="22"/>
          <w:lang w:val="en-GB"/>
        </w:rPr>
        <w:t xml:space="preserve">the </w:t>
      </w:r>
      <w:r w:rsidRPr="00075FEF">
        <w:rPr>
          <w:sz w:val="22"/>
          <w:szCs w:val="22"/>
          <w:lang w:val="en-GB"/>
        </w:rPr>
        <w:t>other CBC and transnational/interregional programmes supported by the EU</w:t>
      </w:r>
      <w:r>
        <w:rPr>
          <w:sz w:val="22"/>
          <w:szCs w:val="22"/>
          <w:lang w:val="en-GB"/>
        </w:rPr>
        <w:t xml:space="preserve"> within parts of the BSB</w:t>
      </w:r>
      <w:r w:rsidRPr="00D5321D">
        <w:rPr>
          <w:vertAlign w:val="superscript"/>
        </w:rPr>
        <w:footnoteReference w:id="89"/>
      </w:r>
      <w:r>
        <w:rPr>
          <w:sz w:val="22"/>
          <w:szCs w:val="22"/>
          <w:lang w:val="en-GB"/>
        </w:rPr>
        <w:t xml:space="preserve"> to ensure a good complementarity of support,</w:t>
      </w:r>
      <w:r w:rsidRPr="00075FEF">
        <w:rPr>
          <w:sz w:val="22"/>
          <w:szCs w:val="22"/>
          <w:lang w:val="en-GB"/>
        </w:rPr>
        <w:t xml:space="preserve"> </w:t>
      </w:r>
    </w:p>
    <w:p w:rsidR="00F16F0A" w:rsidRDefault="00F16F0A" w:rsidP="00EE745F">
      <w:pPr>
        <w:pStyle w:val="ListParagraph"/>
        <w:widowControl w:val="0"/>
        <w:numPr>
          <w:ilvl w:val="1"/>
          <w:numId w:val="16"/>
        </w:numPr>
        <w:autoSpaceDE w:val="0"/>
        <w:autoSpaceDN w:val="0"/>
        <w:adjustRightInd w:val="0"/>
        <w:spacing w:line="264" w:lineRule="auto"/>
        <w:jc w:val="both"/>
        <w:rPr>
          <w:sz w:val="22"/>
          <w:szCs w:val="22"/>
          <w:lang w:val="en-GB"/>
        </w:rPr>
      </w:pPr>
      <w:r>
        <w:rPr>
          <w:sz w:val="22"/>
          <w:szCs w:val="22"/>
          <w:lang w:val="en-GB"/>
        </w:rPr>
        <w:t>T</w:t>
      </w:r>
      <w:r w:rsidRPr="00075FEF">
        <w:rPr>
          <w:sz w:val="22"/>
          <w:szCs w:val="22"/>
          <w:lang w:val="en-GB"/>
        </w:rPr>
        <w:t>he EU Delegations</w:t>
      </w:r>
      <w:r>
        <w:rPr>
          <w:sz w:val="22"/>
          <w:szCs w:val="22"/>
          <w:lang w:val="en-GB"/>
        </w:rPr>
        <w:t xml:space="preserve"> in partner countries and in Turkey to ensure a good overview and synergies within EU support at country level,</w:t>
      </w:r>
    </w:p>
    <w:p w:rsidR="00F16F0A" w:rsidRPr="00075FEF" w:rsidRDefault="00F16F0A" w:rsidP="00D70F63">
      <w:pPr>
        <w:pStyle w:val="ListParagraph"/>
        <w:widowControl w:val="0"/>
        <w:numPr>
          <w:ilvl w:val="1"/>
          <w:numId w:val="16"/>
        </w:numPr>
        <w:autoSpaceDE w:val="0"/>
        <w:autoSpaceDN w:val="0"/>
        <w:adjustRightInd w:val="0"/>
        <w:spacing w:after="120" w:line="264" w:lineRule="auto"/>
        <w:ind w:left="1434" w:hanging="357"/>
        <w:contextualSpacing w:val="0"/>
        <w:jc w:val="both"/>
        <w:rPr>
          <w:sz w:val="22"/>
          <w:szCs w:val="22"/>
          <w:lang w:val="en-GB"/>
        </w:rPr>
      </w:pPr>
      <w:r>
        <w:rPr>
          <w:sz w:val="22"/>
          <w:szCs w:val="22"/>
          <w:lang w:val="en-GB"/>
        </w:rPr>
        <w:t>T</w:t>
      </w:r>
      <w:r w:rsidRPr="00075FEF">
        <w:rPr>
          <w:sz w:val="22"/>
          <w:szCs w:val="22"/>
          <w:lang w:val="en-GB"/>
        </w:rPr>
        <w:t xml:space="preserve">he relevant international organizations and key cooperation frameworks </w:t>
      </w:r>
      <w:r>
        <w:rPr>
          <w:sz w:val="22"/>
          <w:szCs w:val="22"/>
          <w:lang w:val="en-GB"/>
        </w:rPr>
        <w:t>active in the eligible area.</w:t>
      </w:r>
    </w:p>
    <w:p w:rsidR="00F16F0A" w:rsidRDefault="00F16F0A" w:rsidP="00D70F63">
      <w:pPr>
        <w:pStyle w:val="ListParagraph"/>
        <w:widowControl w:val="0"/>
        <w:numPr>
          <w:ilvl w:val="0"/>
          <w:numId w:val="16"/>
        </w:numPr>
        <w:autoSpaceDE w:val="0"/>
        <w:autoSpaceDN w:val="0"/>
        <w:adjustRightInd w:val="0"/>
        <w:spacing w:before="120" w:after="0" w:line="264" w:lineRule="auto"/>
        <w:ind w:left="714" w:hanging="357"/>
        <w:contextualSpacing w:val="0"/>
        <w:jc w:val="both"/>
        <w:rPr>
          <w:sz w:val="22"/>
          <w:szCs w:val="22"/>
          <w:lang w:val="en-GB"/>
        </w:rPr>
      </w:pPr>
      <w:r w:rsidRPr="00D57ABF">
        <w:rPr>
          <w:sz w:val="22"/>
          <w:szCs w:val="22"/>
          <w:lang w:val="en-GB"/>
        </w:rPr>
        <w:t>In their project proposals, the applicants will</w:t>
      </w:r>
      <w:r>
        <w:rPr>
          <w:sz w:val="22"/>
          <w:szCs w:val="22"/>
          <w:lang w:val="en-GB"/>
        </w:rPr>
        <w:t xml:space="preserve"> be requested to:</w:t>
      </w:r>
    </w:p>
    <w:p w:rsidR="00F16F0A" w:rsidRDefault="00F16F0A" w:rsidP="00EE745F">
      <w:pPr>
        <w:pStyle w:val="ListParagraph"/>
        <w:widowControl w:val="0"/>
        <w:numPr>
          <w:ilvl w:val="1"/>
          <w:numId w:val="16"/>
        </w:numPr>
        <w:autoSpaceDE w:val="0"/>
        <w:autoSpaceDN w:val="0"/>
        <w:adjustRightInd w:val="0"/>
        <w:spacing w:line="264" w:lineRule="auto"/>
        <w:jc w:val="both"/>
        <w:rPr>
          <w:sz w:val="22"/>
          <w:szCs w:val="22"/>
          <w:lang w:val="en-GB"/>
        </w:rPr>
      </w:pPr>
      <w:r>
        <w:rPr>
          <w:sz w:val="22"/>
          <w:szCs w:val="22"/>
          <w:lang w:val="en-GB"/>
        </w:rPr>
        <w:t>D</w:t>
      </w:r>
      <w:r w:rsidR="00754741">
        <w:rPr>
          <w:sz w:val="22"/>
          <w:szCs w:val="22"/>
          <w:lang w:val="en-GB"/>
        </w:rPr>
        <w:t xml:space="preserve">escribe how their </w:t>
      </w:r>
      <w:r w:rsidRPr="00D57ABF">
        <w:rPr>
          <w:sz w:val="22"/>
          <w:szCs w:val="22"/>
          <w:lang w:val="en-GB"/>
        </w:rPr>
        <w:t>cooperation</w:t>
      </w:r>
      <w:r w:rsidR="00754741">
        <w:rPr>
          <w:sz w:val="22"/>
          <w:szCs w:val="22"/>
          <w:lang w:val="en-GB"/>
        </w:rPr>
        <w:t xml:space="preserve"> project</w:t>
      </w:r>
      <w:r w:rsidRPr="00D57ABF">
        <w:rPr>
          <w:sz w:val="22"/>
          <w:szCs w:val="22"/>
          <w:lang w:val="en-GB"/>
        </w:rPr>
        <w:t xml:space="preserve"> builds upon or complements other projects and initiatives, implemented by them</w:t>
      </w:r>
      <w:r w:rsidR="000E74B8">
        <w:rPr>
          <w:sz w:val="22"/>
          <w:szCs w:val="22"/>
          <w:lang w:val="en-GB"/>
        </w:rPr>
        <w:t>selves</w:t>
      </w:r>
      <w:r w:rsidRPr="00D57ABF">
        <w:rPr>
          <w:sz w:val="22"/>
          <w:szCs w:val="22"/>
          <w:lang w:val="en-GB"/>
        </w:rPr>
        <w:t xml:space="preserve"> or by other partners</w:t>
      </w:r>
      <w:r>
        <w:rPr>
          <w:sz w:val="22"/>
          <w:szCs w:val="22"/>
          <w:lang w:val="en-GB"/>
        </w:rPr>
        <w:t>, and how they are consistent with</w:t>
      </w:r>
      <w:r w:rsidR="004D1704">
        <w:rPr>
          <w:sz w:val="22"/>
          <w:szCs w:val="22"/>
          <w:lang w:val="en-GB"/>
        </w:rPr>
        <w:t xml:space="preserve"> relevant</w:t>
      </w:r>
      <w:r>
        <w:rPr>
          <w:sz w:val="22"/>
          <w:szCs w:val="22"/>
          <w:lang w:val="en-GB"/>
        </w:rPr>
        <w:t xml:space="preserve"> regional/national strategies</w:t>
      </w:r>
      <w:r w:rsidR="00D0786C">
        <w:rPr>
          <w:sz w:val="22"/>
          <w:szCs w:val="22"/>
          <w:lang w:val="en-GB"/>
        </w:rPr>
        <w:t>, if relevant</w:t>
      </w:r>
      <w:r w:rsidRPr="00D57ABF">
        <w:rPr>
          <w:sz w:val="22"/>
          <w:szCs w:val="22"/>
          <w:lang w:val="en-GB"/>
        </w:rPr>
        <w:t>.</w:t>
      </w:r>
      <w:r w:rsidRPr="002D2FD6">
        <w:rPr>
          <w:sz w:val="22"/>
          <w:szCs w:val="22"/>
          <w:lang w:val="en-GB"/>
        </w:rPr>
        <w:t xml:space="preserve"> </w:t>
      </w:r>
    </w:p>
    <w:p w:rsidR="00F16F0A" w:rsidRPr="002D2FD6" w:rsidRDefault="00F16F0A" w:rsidP="00EE745F">
      <w:pPr>
        <w:pStyle w:val="ListParagraph"/>
        <w:widowControl w:val="0"/>
        <w:numPr>
          <w:ilvl w:val="1"/>
          <w:numId w:val="16"/>
        </w:numPr>
        <w:autoSpaceDE w:val="0"/>
        <w:autoSpaceDN w:val="0"/>
        <w:adjustRightInd w:val="0"/>
        <w:spacing w:line="264" w:lineRule="auto"/>
        <w:jc w:val="both"/>
        <w:rPr>
          <w:sz w:val="22"/>
          <w:szCs w:val="22"/>
          <w:lang w:val="en-GB"/>
        </w:rPr>
      </w:pPr>
      <w:r>
        <w:rPr>
          <w:sz w:val="22"/>
          <w:szCs w:val="22"/>
          <w:lang w:val="en-GB"/>
        </w:rPr>
        <w:t>S</w:t>
      </w:r>
      <w:r w:rsidRPr="002D2FD6">
        <w:rPr>
          <w:sz w:val="22"/>
          <w:szCs w:val="22"/>
          <w:lang w:val="en-GB"/>
        </w:rPr>
        <w:t>tipu</w:t>
      </w:r>
      <w:r>
        <w:rPr>
          <w:sz w:val="22"/>
          <w:szCs w:val="22"/>
          <w:lang w:val="en-GB"/>
        </w:rPr>
        <w:t xml:space="preserve">late </w:t>
      </w:r>
      <w:r w:rsidRPr="002D2FD6">
        <w:rPr>
          <w:sz w:val="22"/>
          <w:szCs w:val="22"/>
          <w:lang w:val="en-GB"/>
        </w:rPr>
        <w:t>whether they are applyi</w:t>
      </w:r>
      <w:r w:rsidR="00DE5EC6">
        <w:rPr>
          <w:sz w:val="22"/>
          <w:szCs w:val="22"/>
          <w:lang w:val="en-GB"/>
        </w:rPr>
        <w:t>ng to other funds for support for</w:t>
      </w:r>
      <w:r w:rsidRPr="002D2FD6">
        <w:rPr>
          <w:sz w:val="22"/>
          <w:szCs w:val="22"/>
          <w:lang w:val="en-GB"/>
        </w:rPr>
        <w:t xml:space="preserve"> all or some of the activities proposed. This should not have the effect of discri</w:t>
      </w:r>
      <w:r>
        <w:rPr>
          <w:sz w:val="22"/>
          <w:szCs w:val="22"/>
          <w:lang w:val="en-GB"/>
        </w:rPr>
        <w:t>minating against their proposal</w:t>
      </w:r>
      <w:r w:rsidR="00DE5EC6">
        <w:rPr>
          <w:sz w:val="22"/>
          <w:szCs w:val="22"/>
          <w:lang w:val="en-GB"/>
        </w:rPr>
        <w:t xml:space="preserve"> during</w:t>
      </w:r>
      <w:r w:rsidRPr="002D2FD6">
        <w:rPr>
          <w:sz w:val="22"/>
          <w:szCs w:val="22"/>
          <w:lang w:val="en-GB"/>
        </w:rPr>
        <w:t xml:space="preserve"> evaluation stage, </w:t>
      </w:r>
      <w:r w:rsidRPr="00630A48">
        <w:rPr>
          <w:sz w:val="22"/>
          <w:szCs w:val="22"/>
          <w:lang w:val="en-GB"/>
        </w:rPr>
        <w:t>but it will</w:t>
      </w:r>
      <w:r w:rsidR="00DE5EC6" w:rsidRPr="00630A48">
        <w:rPr>
          <w:sz w:val="22"/>
          <w:szCs w:val="22"/>
          <w:lang w:val="en-GB"/>
        </w:rPr>
        <w:t xml:space="preserve"> still be taken into account during</w:t>
      </w:r>
      <w:r w:rsidRPr="00630A48">
        <w:rPr>
          <w:sz w:val="22"/>
          <w:szCs w:val="22"/>
          <w:lang w:val="en-GB"/>
        </w:rPr>
        <w:t xml:space="preserve"> the </w:t>
      </w:r>
      <w:r w:rsidR="00630A48">
        <w:rPr>
          <w:sz w:val="22"/>
          <w:szCs w:val="22"/>
          <w:lang w:val="en-GB"/>
        </w:rPr>
        <w:t>contracting stage</w:t>
      </w:r>
      <w:r w:rsidRPr="002D2FD6">
        <w:rPr>
          <w:sz w:val="22"/>
          <w:szCs w:val="22"/>
          <w:lang w:val="en-GB"/>
        </w:rPr>
        <w:t xml:space="preserve">. It will </w:t>
      </w:r>
      <w:r w:rsidR="0061007A">
        <w:rPr>
          <w:sz w:val="22"/>
          <w:szCs w:val="22"/>
          <w:lang w:val="en-GB"/>
        </w:rPr>
        <w:t xml:space="preserve">draw the attention of </w:t>
      </w:r>
      <w:r>
        <w:rPr>
          <w:sz w:val="22"/>
          <w:szCs w:val="22"/>
          <w:lang w:val="en-GB"/>
        </w:rPr>
        <w:t xml:space="preserve">JMC and </w:t>
      </w:r>
      <w:r w:rsidRPr="002D2FD6">
        <w:rPr>
          <w:sz w:val="22"/>
          <w:szCs w:val="22"/>
          <w:lang w:val="en-GB"/>
        </w:rPr>
        <w:t xml:space="preserve">MA, ensuring appropriate consultation with other donors and programmes </w:t>
      </w:r>
      <w:r w:rsidR="002D61B9">
        <w:rPr>
          <w:sz w:val="22"/>
          <w:szCs w:val="22"/>
          <w:lang w:val="en-GB"/>
        </w:rPr>
        <w:t>before the grant contract is</w:t>
      </w:r>
      <w:r w:rsidRPr="002D2FD6">
        <w:rPr>
          <w:sz w:val="22"/>
          <w:szCs w:val="22"/>
          <w:lang w:val="en-GB"/>
        </w:rPr>
        <w:t xml:space="preserve"> signed, in order to avoid double funding of activities should the project be supported.</w:t>
      </w:r>
    </w:p>
    <w:p w:rsidR="00F16F0A" w:rsidRPr="003C6F8E" w:rsidRDefault="00F16F0A" w:rsidP="00D70F63">
      <w:pPr>
        <w:spacing w:before="120" w:after="120" w:line="264" w:lineRule="auto"/>
        <w:jc w:val="both"/>
        <w:rPr>
          <w:rFonts w:eastAsia="Times New Roman"/>
          <w:sz w:val="22"/>
          <w:szCs w:val="22"/>
          <w:lang w:val="en-GB"/>
        </w:rPr>
      </w:pPr>
      <w:r w:rsidRPr="003C6F8E">
        <w:rPr>
          <w:rFonts w:eastAsia="Times New Roman"/>
          <w:sz w:val="22"/>
          <w:szCs w:val="22"/>
          <w:lang w:val="en-GB"/>
        </w:rPr>
        <w:t>Given th</w:t>
      </w:r>
      <w:r w:rsidR="005F3FF0">
        <w:rPr>
          <w:rFonts w:eastAsia="Times New Roman"/>
          <w:sz w:val="22"/>
          <w:szCs w:val="22"/>
          <w:lang w:val="en-GB"/>
        </w:rPr>
        <w:t>e limited budget of the BSB</w:t>
      </w:r>
      <w:r w:rsidR="00BD4AEB">
        <w:rPr>
          <w:rFonts w:eastAsia="Times New Roman"/>
          <w:sz w:val="22"/>
          <w:szCs w:val="22"/>
          <w:lang w:val="en-GB"/>
        </w:rPr>
        <w:t xml:space="preserve"> programme, </w:t>
      </w:r>
      <w:r w:rsidRPr="003C6F8E">
        <w:rPr>
          <w:rFonts w:eastAsia="Times New Roman"/>
          <w:sz w:val="22"/>
          <w:szCs w:val="22"/>
          <w:lang w:val="en-GB"/>
        </w:rPr>
        <w:t>in order to achieve an impact in the eligible regions,</w:t>
      </w:r>
      <w:r w:rsidR="00BD4AEB">
        <w:rPr>
          <w:rFonts w:eastAsia="Times New Roman"/>
          <w:sz w:val="22"/>
          <w:szCs w:val="22"/>
          <w:lang w:val="en-GB"/>
        </w:rPr>
        <w:t xml:space="preserve"> it is important</w:t>
      </w:r>
      <w:r w:rsidRPr="003C6F8E">
        <w:rPr>
          <w:rFonts w:eastAsia="Times New Roman"/>
          <w:sz w:val="22"/>
          <w:szCs w:val="22"/>
          <w:lang w:val="en-GB"/>
        </w:rPr>
        <w:t xml:space="preserve"> that the programme also promotes </w:t>
      </w:r>
      <w:r w:rsidRPr="00D20FEF">
        <w:rPr>
          <w:rFonts w:eastAsia="Times New Roman"/>
          <w:b/>
          <w:sz w:val="22"/>
          <w:szCs w:val="22"/>
          <w:lang w:val="en-GB"/>
        </w:rPr>
        <w:t>springboard or multiplier effects</w:t>
      </w:r>
      <w:r w:rsidRPr="003C6F8E">
        <w:rPr>
          <w:rFonts w:eastAsia="Times New Roman"/>
          <w:sz w:val="22"/>
          <w:szCs w:val="22"/>
          <w:lang w:val="en-GB"/>
        </w:rPr>
        <w:t>. In their application, project partners will be invited to describe</w:t>
      </w:r>
      <w:r w:rsidR="00630A48">
        <w:rPr>
          <w:rFonts w:eastAsia="Times New Roman"/>
          <w:sz w:val="22"/>
          <w:szCs w:val="22"/>
          <w:lang w:val="en-GB"/>
        </w:rPr>
        <w:t xml:space="preserve">, </w:t>
      </w:r>
      <w:r w:rsidR="00D0786C">
        <w:rPr>
          <w:rFonts w:eastAsia="Times New Roman"/>
          <w:sz w:val="22"/>
          <w:szCs w:val="22"/>
          <w:lang w:val="en-GB"/>
        </w:rPr>
        <w:t xml:space="preserve">if </w:t>
      </w:r>
      <w:r w:rsidR="00FC42CE">
        <w:rPr>
          <w:rFonts w:eastAsia="Times New Roman"/>
          <w:sz w:val="22"/>
          <w:szCs w:val="22"/>
          <w:lang w:val="en-GB"/>
        </w:rPr>
        <w:t>relevant</w:t>
      </w:r>
      <w:r w:rsidR="00630A48">
        <w:rPr>
          <w:rFonts w:eastAsia="Times New Roman"/>
          <w:sz w:val="22"/>
          <w:szCs w:val="22"/>
          <w:lang w:val="en-GB"/>
        </w:rPr>
        <w:t>,</w:t>
      </w:r>
      <w:r w:rsidRPr="003C6F8E">
        <w:rPr>
          <w:rFonts w:eastAsia="Times New Roman"/>
          <w:sz w:val="22"/>
          <w:szCs w:val="22"/>
          <w:lang w:val="en-GB"/>
        </w:rPr>
        <w:t xml:space="preserve"> how their proposal may have such springboard or multiplier effects, for instance by the dissemination or replication of</w:t>
      </w:r>
      <w:r w:rsidR="00BD4AEB">
        <w:rPr>
          <w:rFonts w:eastAsia="Times New Roman"/>
          <w:sz w:val="22"/>
          <w:szCs w:val="22"/>
          <w:lang w:val="en-GB"/>
        </w:rPr>
        <w:t xml:space="preserve"> results in other regions, or because the project can be considered as a pilot that may be</w:t>
      </w:r>
      <w:r w:rsidRPr="003C6F8E">
        <w:rPr>
          <w:rFonts w:eastAsia="Times New Roman"/>
          <w:sz w:val="22"/>
          <w:szCs w:val="22"/>
          <w:lang w:val="en-GB"/>
        </w:rPr>
        <w:t xml:space="preserve"> replicated on a larger scale under other</w:t>
      </w:r>
      <w:r w:rsidR="00BD4AEB">
        <w:rPr>
          <w:rFonts w:eastAsia="Times New Roman"/>
          <w:sz w:val="22"/>
          <w:szCs w:val="22"/>
          <w:lang w:val="en-GB"/>
        </w:rPr>
        <w:t xml:space="preserve"> funding</w:t>
      </w:r>
      <w:r w:rsidRPr="003C6F8E">
        <w:rPr>
          <w:rFonts w:eastAsia="Times New Roman"/>
          <w:sz w:val="22"/>
          <w:szCs w:val="22"/>
          <w:lang w:val="en-GB"/>
        </w:rPr>
        <w:t xml:space="preserve"> initiatives. </w:t>
      </w:r>
    </w:p>
    <w:p w:rsidR="00F16F0A" w:rsidRPr="003C6F8E" w:rsidRDefault="00F16F0A" w:rsidP="00D70F63">
      <w:pPr>
        <w:spacing w:before="120" w:after="120" w:line="264" w:lineRule="auto"/>
        <w:jc w:val="both"/>
        <w:rPr>
          <w:rFonts w:eastAsia="Times New Roman"/>
          <w:sz w:val="22"/>
          <w:szCs w:val="22"/>
          <w:lang w:val="en-GB"/>
        </w:rPr>
      </w:pPr>
      <w:r w:rsidRPr="003C6F8E">
        <w:rPr>
          <w:rFonts w:eastAsia="Times New Roman"/>
          <w:sz w:val="22"/>
          <w:szCs w:val="22"/>
          <w:lang w:val="en-GB"/>
        </w:rPr>
        <w:t>Throughout the programme implementation period, the MA/JTS and the programme partners will promote initiatives for the coordination and exchange of information on th</w:t>
      </w:r>
      <w:r w:rsidR="003B1B35">
        <w:rPr>
          <w:rFonts w:eastAsia="Times New Roman"/>
          <w:sz w:val="22"/>
          <w:szCs w:val="22"/>
          <w:lang w:val="en-GB"/>
        </w:rPr>
        <w:t xml:space="preserve">e BSB </w:t>
      </w:r>
      <w:r w:rsidRPr="003C6F8E">
        <w:rPr>
          <w:rFonts w:eastAsia="Times New Roman"/>
          <w:sz w:val="22"/>
          <w:szCs w:val="22"/>
          <w:lang w:val="en-GB"/>
        </w:rPr>
        <w:t>programme strategy with the organisations active in the area. This should allow the programme to use</w:t>
      </w:r>
      <w:r w:rsidR="003B1B35">
        <w:rPr>
          <w:rFonts w:eastAsia="Times New Roman"/>
          <w:sz w:val="22"/>
          <w:szCs w:val="22"/>
          <w:lang w:val="en-GB"/>
        </w:rPr>
        <w:t>, and build on,</w:t>
      </w:r>
      <w:r w:rsidR="004A3C9B">
        <w:rPr>
          <w:rFonts w:eastAsia="Times New Roman"/>
          <w:sz w:val="22"/>
          <w:szCs w:val="22"/>
          <w:lang w:val="en-GB"/>
        </w:rPr>
        <w:t xml:space="preserve"> the experience and</w:t>
      </w:r>
      <w:r w:rsidRPr="003C6F8E">
        <w:rPr>
          <w:rFonts w:eastAsia="Times New Roman"/>
          <w:sz w:val="22"/>
          <w:szCs w:val="22"/>
          <w:lang w:val="en-GB"/>
        </w:rPr>
        <w:t xml:space="preserve"> the results o</w:t>
      </w:r>
      <w:r w:rsidR="003B1B35">
        <w:rPr>
          <w:rFonts w:eastAsia="Times New Roman"/>
          <w:sz w:val="22"/>
          <w:szCs w:val="22"/>
          <w:lang w:val="en-GB"/>
        </w:rPr>
        <w:t>f other programmes working toward</w:t>
      </w:r>
      <w:r w:rsidRPr="003C6F8E">
        <w:rPr>
          <w:rFonts w:eastAsia="Times New Roman"/>
          <w:sz w:val="22"/>
          <w:szCs w:val="22"/>
          <w:lang w:val="en-GB"/>
        </w:rPr>
        <w:t xml:space="preserve"> similar priorities in the eligible</w:t>
      </w:r>
      <w:r w:rsidR="003B1B35">
        <w:rPr>
          <w:rFonts w:eastAsia="Times New Roman"/>
          <w:sz w:val="22"/>
          <w:szCs w:val="22"/>
          <w:lang w:val="en-GB"/>
        </w:rPr>
        <w:t xml:space="preserve"> regions</w:t>
      </w:r>
      <w:r w:rsidRPr="003C6F8E">
        <w:rPr>
          <w:rFonts w:eastAsia="Times New Roman"/>
          <w:sz w:val="22"/>
          <w:szCs w:val="22"/>
          <w:lang w:val="en-GB"/>
        </w:rPr>
        <w:t xml:space="preserve">. </w:t>
      </w:r>
    </w:p>
    <w:p w:rsidR="00F16F0A" w:rsidRPr="003C6F8E" w:rsidRDefault="00F16F0A" w:rsidP="00D70F63">
      <w:pPr>
        <w:spacing w:before="120" w:after="120" w:line="264" w:lineRule="auto"/>
        <w:jc w:val="both"/>
        <w:rPr>
          <w:rFonts w:eastAsia="Times New Roman"/>
          <w:sz w:val="22"/>
          <w:szCs w:val="22"/>
          <w:lang w:val="en-GB"/>
        </w:rPr>
      </w:pPr>
      <w:r w:rsidRPr="003C6F8E">
        <w:rPr>
          <w:rFonts w:eastAsia="Times New Roman"/>
          <w:sz w:val="22"/>
          <w:szCs w:val="22"/>
          <w:lang w:val="en-GB"/>
        </w:rPr>
        <w:t>Through an active policy of information and dissemination</w:t>
      </w:r>
      <w:r w:rsidRPr="00F16F0A">
        <w:rPr>
          <w:rFonts w:eastAsia="Times New Roman"/>
          <w:vertAlign w:val="superscript"/>
          <w:lang w:val="en-GB"/>
        </w:rPr>
        <w:footnoteReference w:id="90"/>
      </w:r>
      <w:r w:rsidRPr="003C6F8E">
        <w:rPr>
          <w:rFonts w:eastAsia="Times New Roman"/>
          <w:sz w:val="22"/>
          <w:szCs w:val="22"/>
          <w:lang w:val="en-GB"/>
        </w:rPr>
        <w:t>, the MA/JTS will ensure that the pro</w:t>
      </w:r>
      <w:r w:rsidR="00847606">
        <w:rPr>
          <w:rFonts w:eastAsia="Times New Roman"/>
          <w:sz w:val="22"/>
          <w:szCs w:val="22"/>
          <w:lang w:val="en-GB"/>
        </w:rPr>
        <w:t>jects results and lessons learned</w:t>
      </w:r>
      <w:r w:rsidRPr="003C6F8E">
        <w:rPr>
          <w:rFonts w:eastAsia="Times New Roman"/>
          <w:sz w:val="22"/>
          <w:szCs w:val="22"/>
          <w:lang w:val="en-GB"/>
        </w:rPr>
        <w:t xml:space="preserve"> are made widely available to other programmes and initiatives.</w:t>
      </w:r>
    </w:p>
    <w:p w:rsidR="00F16F0A" w:rsidRPr="003C6F8E" w:rsidRDefault="00F16F0A" w:rsidP="00D70F63">
      <w:pPr>
        <w:spacing w:before="120" w:after="120" w:line="264" w:lineRule="auto"/>
        <w:jc w:val="both"/>
        <w:rPr>
          <w:rFonts w:eastAsia="Times New Roman"/>
          <w:sz w:val="22"/>
          <w:szCs w:val="22"/>
          <w:lang w:val="en-GB"/>
        </w:rPr>
      </w:pPr>
    </w:p>
    <w:p w:rsidR="002E04C8" w:rsidRPr="00DD025B" w:rsidRDefault="005C61C3" w:rsidP="002E04C8">
      <w:pPr>
        <w:pStyle w:val="Heading2"/>
        <w:spacing w:after="0" w:line="252" w:lineRule="auto"/>
        <w:jc w:val="left"/>
        <w:rPr>
          <w:sz w:val="10"/>
          <w:szCs w:val="10"/>
          <w:lang w:val="en-GB"/>
        </w:rPr>
      </w:pPr>
      <w:r>
        <w:rPr>
          <w:sz w:val="22"/>
          <w:szCs w:val="22"/>
          <w:lang w:val="en-GB"/>
        </w:rPr>
        <w:br w:type="column"/>
      </w:r>
      <w:bookmarkStart w:id="87" w:name="_Toc402864385"/>
    </w:p>
    <w:p w:rsidR="00BF239E" w:rsidRDefault="00BF239E" w:rsidP="00EE745F">
      <w:pPr>
        <w:pStyle w:val="Heading1"/>
        <w:numPr>
          <w:ilvl w:val="1"/>
          <w:numId w:val="3"/>
        </w:numPr>
        <w:spacing w:before="120" w:after="0" w:line="264" w:lineRule="auto"/>
        <w:jc w:val="left"/>
        <w:rPr>
          <w:sz w:val="40"/>
          <w:szCs w:val="40"/>
          <w:lang w:val="en-GB"/>
        </w:rPr>
      </w:pPr>
      <w:bookmarkStart w:id="88" w:name="_Toc288133455"/>
      <w:r>
        <w:rPr>
          <w:sz w:val="40"/>
          <w:szCs w:val="40"/>
          <w:lang w:val="en-GB"/>
        </w:rPr>
        <w:t>Programme structures</w:t>
      </w:r>
      <w:r w:rsidR="00A34E74">
        <w:rPr>
          <w:sz w:val="40"/>
          <w:szCs w:val="40"/>
          <w:lang w:val="en-GB"/>
        </w:rPr>
        <w:t xml:space="preserve"> and national bodies</w:t>
      </w:r>
      <w:bookmarkEnd w:id="88"/>
    </w:p>
    <w:p w:rsidR="0028075A" w:rsidRPr="001368E0" w:rsidRDefault="0028075A" w:rsidP="00BF239E">
      <w:pPr>
        <w:pStyle w:val="Heading1"/>
        <w:spacing w:before="120" w:after="0" w:line="264" w:lineRule="auto"/>
        <w:ind w:left="1440"/>
        <w:jc w:val="left"/>
        <w:rPr>
          <w:sz w:val="22"/>
          <w:szCs w:val="22"/>
          <w:lang w:val="en-GB"/>
        </w:rPr>
      </w:pPr>
    </w:p>
    <w:p w:rsidR="0028075A" w:rsidRPr="00682784" w:rsidRDefault="0028075A" w:rsidP="003574FD">
      <w:pPr>
        <w:spacing w:before="120" w:line="252" w:lineRule="auto"/>
        <w:contextualSpacing/>
        <w:jc w:val="both"/>
        <w:rPr>
          <w:rFonts w:cs="ArialMT"/>
          <w:bCs/>
          <w:sz w:val="22"/>
          <w:szCs w:val="22"/>
          <w:lang w:val="en-GB"/>
        </w:rPr>
      </w:pPr>
      <w:r w:rsidRPr="00682784">
        <w:rPr>
          <w:rFonts w:cs="ArialMT"/>
          <w:bCs/>
          <w:sz w:val="22"/>
          <w:szCs w:val="22"/>
          <w:lang w:val="en-GB"/>
        </w:rPr>
        <w:t xml:space="preserve">The Black Sea Basin </w:t>
      </w:r>
      <w:r w:rsidR="006860AD" w:rsidRPr="00682784">
        <w:rPr>
          <w:rFonts w:cs="ArialMT"/>
          <w:bCs/>
          <w:sz w:val="22"/>
          <w:szCs w:val="22"/>
          <w:lang w:val="en-GB"/>
        </w:rPr>
        <w:t xml:space="preserve">ENI-CBC </w:t>
      </w:r>
      <w:r w:rsidRPr="00682784">
        <w:rPr>
          <w:rFonts w:cs="ArialMT"/>
          <w:bCs/>
          <w:sz w:val="22"/>
          <w:szCs w:val="22"/>
          <w:lang w:val="en-GB"/>
        </w:rPr>
        <w:t>Programme management and control system will be organised with the following authorities, structures and bodies:</w:t>
      </w:r>
    </w:p>
    <w:p w:rsidR="0028075A" w:rsidRPr="00682784" w:rsidRDefault="0028075A" w:rsidP="003574FD">
      <w:pPr>
        <w:numPr>
          <w:ilvl w:val="0"/>
          <w:numId w:val="44"/>
        </w:numPr>
        <w:spacing w:before="200" w:after="0" w:line="252" w:lineRule="auto"/>
        <w:ind w:left="714" w:hanging="357"/>
        <w:jc w:val="both"/>
        <w:rPr>
          <w:rFonts w:cs="ArialMT"/>
          <w:bCs/>
          <w:sz w:val="22"/>
          <w:szCs w:val="22"/>
          <w:lang w:val="en-GB"/>
        </w:rPr>
      </w:pPr>
      <w:r w:rsidRPr="00682784">
        <w:rPr>
          <w:rFonts w:cs="ArialMT"/>
          <w:b/>
          <w:sz w:val="22"/>
          <w:szCs w:val="22"/>
          <w:lang w:val="en-GB"/>
        </w:rPr>
        <w:t>Joint Monitoring Committee (JMC)</w:t>
      </w:r>
      <w:r w:rsidRPr="00682784">
        <w:rPr>
          <w:rFonts w:cs="ArialMT"/>
          <w:bCs/>
          <w:sz w:val="22"/>
          <w:szCs w:val="22"/>
          <w:lang w:val="en-GB"/>
        </w:rPr>
        <w:t>: supervises and monitors programme implementation and is responsible for the approval of project proposals;</w:t>
      </w:r>
    </w:p>
    <w:p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Managing Authority (MA)</w:t>
      </w:r>
      <w:r w:rsidRPr="00682784">
        <w:rPr>
          <w:rFonts w:cs="ArialMT"/>
          <w:bCs/>
          <w:sz w:val="22"/>
          <w:szCs w:val="22"/>
          <w:lang w:val="en-GB"/>
        </w:rPr>
        <w:t xml:space="preserve">: responsible for the management and implementation of the programme; </w:t>
      </w:r>
    </w:p>
    <w:p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Audit Authority (AA)</w:t>
      </w:r>
      <w:r w:rsidRPr="00682784">
        <w:rPr>
          <w:rFonts w:cs="ArialMT"/>
          <w:bCs/>
          <w:sz w:val="22"/>
          <w:szCs w:val="22"/>
          <w:lang w:val="en-GB"/>
        </w:rPr>
        <w:t>: carries out audits on the programme management and control systems, on an appropriate sample of projects and on the annual accounts of the programme;</w:t>
      </w:r>
    </w:p>
    <w:p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National Authorities (NAs)</w:t>
      </w:r>
      <w:r w:rsidRPr="00682784">
        <w:rPr>
          <w:rFonts w:cs="ArialMT"/>
          <w:bCs/>
          <w:sz w:val="22"/>
          <w:szCs w:val="22"/>
          <w:lang w:val="en-GB"/>
        </w:rPr>
        <w:t>: national counterpart institution to the Managing Authority in each participating country and overall responsible for supporting the MA in the implementation of the programme in their own countries;</w:t>
      </w:r>
    </w:p>
    <w:p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Group of Auditors (GoA)</w:t>
      </w:r>
      <w:r w:rsidRPr="00682784">
        <w:rPr>
          <w:rFonts w:cs="ArialMT"/>
          <w:bCs/>
          <w:sz w:val="22"/>
          <w:szCs w:val="22"/>
          <w:lang w:val="en-GB"/>
        </w:rPr>
        <w:t>: assists the Audit Authority in carrying out its tasks;</w:t>
      </w:r>
    </w:p>
    <w:p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Control Contact Points (CCPs)</w:t>
      </w:r>
      <w:r w:rsidRPr="00682784">
        <w:rPr>
          <w:rFonts w:cs="ArialMT"/>
          <w:bCs/>
          <w:sz w:val="22"/>
          <w:szCs w:val="22"/>
          <w:lang w:val="en-GB"/>
        </w:rPr>
        <w:t>: support the Managing Authority in its control functions;</w:t>
      </w:r>
    </w:p>
    <w:p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Joint Technical Secretariat (JTS)</w:t>
      </w:r>
      <w:r w:rsidRPr="00682784">
        <w:rPr>
          <w:rFonts w:cs="ArialMT"/>
          <w:bCs/>
          <w:sz w:val="22"/>
          <w:szCs w:val="22"/>
          <w:lang w:val="en-GB"/>
        </w:rPr>
        <w:t>: assists the MA, JMC, AA and the SC in carrying out their respective duties;</w:t>
      </w:r>
    </w:p>
    <w:p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Selection Committee (SC)</w:t>
      </w:r>
      <w:r w:rsidRPr="00682784">
        <w:rPr>
          <w:rFonts w:cs="ArialMT"/>
          <w:bCs/>
          <w:sz w:val="22"/>
          <w:szCs w:val="22"/>
          <w:lang w:val="en-GB"/>
        </w:rPr>
        <w:t>: supervises the evaluation and selection</w:t>
      </w:r>
      <w:r w:rsidRPr="00682784">
        <w:rPr>
          <w:lang w:val="en-GB"/>
        </w:rPr>
        <w:t xml:space="preserve"> </w:t>
      </w:r>
      <w:r w:rsidRPr="00682784">
        <w:rPr>
          <w:rFonts w:cs="ArialMT"/>
          <w:bCs/>
          <w:sz w:val="22"/>
          <w:szCs w:val="22"/>
          <w:lang w:val="en-GB"/>
        </w:rPr>
        <w:t>of the project proposals received during calls and issues recommendations for award decisions to JMC</w:t>
      </w:r>
      <w:r w:rsidRPr="002B2C50">
        <w:rPr>
          <w:rStyle w:val="FootnoteReference"/>
          <w:rFonts w:cs="ArialMT"/>
          <w:bCs/>
          <w:sz w:val="22"/>
          <w:szCs w:val="22"/>
        </w:rPr>
        <w:footnoteReference w:id="91"/>
      </w:r>
      <w:r w:rsidRPr="00682784">
        <w:rPr>
          <w:rFonts w:cs="ArialMT"/>
          <w:bCs/>
          <w:sz w:val="22"/>
          <w:szCs w:val="22"/>
          <w:lang w:val="en-GB"/>
        </w:rPr>
        <w:t>.</w:t>
      </w:r>
    </w:p>
    <w:p w:rsidR="0028075A" w:rsidRPr="00682784" w:rsidRDefault="0028075A" w:rsidP="006259DB">
      <w:pPr>
        <w:tabs>
          <w:tab w:val="left" w:pos="284"/>
        </w:tabs>
        <w:jc w:val="both"/>
        <w:rPr>
          <w:rFonts w:cs="Arial"/>
          <w:b/>
          <w:bCs/>
          <w:iCs/>
          <w:color w:val="8DB3E2"/>
          <w:sz w:val="12"/>
          <w:szCs w:val="12"/>
          <w:lang w:val="en-GB"/>
        </w:rPr>
      </w:pPr>
    </w:p>
    <w:p w:rsidR="0028075A" w:rsidRPr="002B2A70" w:rsidRDefault="0028075A" w:rsidP="006259DB">
      <w:pPr>
        <w:pStyle w:val="Heading3"/>
        <w:spacing w:before="240" w:after="240" w:line="264" w:lineRule="auto"/>
        <w:jc w:val="both"/>
        <w:rPr>
          <w:b/>
          <w:sz w:val="28"/>
          <w:szCs w:val="28"/>
          <w:lang w:val="en-GB"/>
        </w:rPr>
      </w:pPr>
      <w:bookmarkStart w:id="89" w:name="_Toc288133456"/>
      <w:r w:rsidRPr="002B2A70">
        <w:rPr>
          <w:b/>
          <w:sz w:val="28"/>
          <w:szCs w:val="28"/>
          <w:lang w:val="en-GB"/>
        </w:rPr>
        <w:t>Joint Monitoring Committee (JMC)</w:t>
      </w:r>
      <w:bookmarkEnd w:id="89"/>
    </w:p>
    <w:p w:rsidR="0028075A" w:rsidRPr="00682784" w:rsidRDefault="0028075A" w:rsidP="003574FD">
      <w:pPr>
        <w:tabs>
          <w:tab w:val="left" w:pos="284"/>
        </w:tabs>
        <w:spacing w:line="252" w:lineRule="auto"/>
        <w:jc w:val="both"/>
        <w:rPr>
          <w:rFonts w:cs="ArialMT"/>
          <w:bCs/>
          <w:sz w:val="22"/>
          <w:szCs w:val="22"/>
          <w:lang w:val="en-GB"/>
        </w:rPr>
      </w:pPr>
      <w:r w:rsidRPr="00682784">
        <w:rPr>
          <w:rFonts w:cs="ArialMT"/>
          <w:bCs/>
          <w:sz w:val="22"/>
          <w:szCs w:val="22"/>
          <w:lang w:val="en-GB"/>
        </w:rPr>
        <w:t xml:space="preserve">The countries participating in the programme will establish a Joint Monitoring Committee (JMC) within three months of the date of the adoption of the programme by the European Commission. The JMC will be the joint decision-making structure for the programme. </w:t>
      </w:r>
    </w:p>
    <w:p w:rsidR="0028075A" w:rsidRPr="00A409E3" w:rsidRDefault="0028075A" w:rsidP="006259DB">
      <w:pPr>
        <w:spacing w:before="240" w:after="120"/>
        <w:jc w:val="both"/>
        <w:rPr>
          <w:b/>
          <w:lang w:val="en-GB"/>
        </w:rPr>
      </w:pPr>
      <w:r w:rsidRPr="00A409E3">
        <w:rPr>
          <w:b/>
          <w:lang w:val="en-GB"/>
        </w:rPr>
        <w:t>Composition</w:t>
      </w:r>
    </w:p>
    <w:p w:rsidR="0028075A" w:rsidRPr="00682784" w:rsidRDefault="0028075A" w:rsidP="00F0771E">
      <w:pPr>
        <w:spacing w:after="120" w:line="252" w:lineRule="auto"/>
        <w:jc w:val="both"/>
        <w:rPr>
          <w:rFonts w:cs="ArialMT"/>
          <w:bCs/>
          <w:sz w:val="22"/>
          <w:szCs w:val="22"/>
          <w:lang w:val="en-GB"/>
        </w:rPr>
      </w:pPr>
      <w:r w:rsidRPr="00682784">
        <w:rPr>
          <w:rFonts w:cs="ArialMT"/>
          <w:bCs/>
          <w:sz w:val="22"/>
          <w:szCs w:val="22"/>
          <w:lang w:val="en-GB"/>
        </w:rPr>
        <w:t>Each participating country shall appoint its representatives to the JMC before it is set up. The appointment is functional and not personal.</w:t>
      </w:r>
      <w:r w:rsidRPr="00682784">
        <w:rPr>
          <w:lang w:val="en-GB"/>
        </w:rPr>
        <w:t xml:space="preserve"> </w:t>
      </w:r>
      <w:r w:rsidRPr="00682784">
        <w:rPr>
          <w:rFonts w:cs="ArialMT"/>
          <w:bCs/>
          <w:sz w:val="22"/>
          <w:szCs w:val="22"/>
          <w:lang w:val="en-GB"/>
        </w:rPr>
        <w:t>The JMC will include:</w:t>
      </w:r>
    </w:p>
    <w:p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delegation from each country participating in the programme, with one voting right per delegation</w:t>
      </w:r>
    </w:p>
    <w:p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Chairperson, the role will be fulfilled by the Head of the MA or any other person appointed to replace him/her, without voting rights;</w:t>
      </w:r>
    </w:p>
    <w:p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Secretary appointed by the MA, without voting rights;</w:t>
      </w:r>
    </w:p>
    <w:p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representative/representatives of the European Commission as observer/s;</w:t>
      </w:r>
    </w:p>
    <w:p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Other observers, at the proposal of any delegation, the MA or the EC.</w:t>
      </w:r>
    </w:p>
    <w:p w:rsidR="0028075A" w:rsidRPr="00682784" w:rsidRDefault="0028075A" w:rsidP="003574FD">
      <w:pPr>
        <w:spacing w:line="252" w:lineRule="auto"/>
        <w:jc w:val="both"/>
        <w:rPr>
          <w:rFonts w:cs="ArialMT"/>
          <w:bCs/>
          <w:sz w:val="22"/>
          <w:szCs w:val="22"/>
          <w:lang w:val="en-GB"/>
        </w:rPr>
      </w:pPr>
      <w:r w:rsidRPr="00682784">
        <w:rPr>
          <w:rFonts w:cs="ArialMT"/>
          <w:bCs/>
          <w:sz w:val="22"/>
          <w:szCs w:val="22"/>
          <w:lang w:val="en-GB"/>
        </w:rPr>
        <w:t>Participating countries shall ensure, whenever possible and appropriate, the adequate participation of all actors concerned and, in particular, local stakeholders including civil society organisations and local authorities in order to ensure their participation in the implementation of the programme.</w:t>
      </w:r>
    </w:p>
    <w:p w:rsidR="0028075A" w:rsidRPr="00A409E3" w:rsidRDefault="0028075A" w:rsidP="006259DB">
      <w:pPr>
        <w:spacing w:before="240" w:after="120"/>
        <w:jc w:val="both"/>
        <w:rPr>
          <w:b/>
          <w:lang w:val="en-GB"/>
        </w:rPr>
      </w:pPr>
      <w:r w:rsidRPr="00A409E3">
        <w:rPr>
          <w:b/>
          <w:lang w:val="en-GB"/>
        </w:rPr>
        <w:t>Functions</w:t>
      </w:r>
    </w:p>
    <w:p w:rsidR="0028075A" w:rsidRPr="00682784" w:rsidRDefault="0028075A" w:rsidP="00F0771E">
      <w:pPr>
        <w:spacing w:after="120" w:line="21" w:lineRule="atLeast"/>
        <w:jc w:val="both"/>
        <w:rPr>
          <w:rFonts w:cs="ArialMT"/>
          <w:bCs/>
          <w:sz w:val="22"/>
          <w:szCs w:val="22"/>
          <w:lang w:val="en-GB"/>
        </w:rPr>
      </w:pPr>
      <w:r w:rsidRPr="00682784">
        <w:rPr>
          <w:rFonts w:cs="ArialMT"/>
          <w:bCs/>
          <w:sz w:val="22"/>
          <w:szCs w:val="22"/>
          <w:lang w:val="en-GB"/>
        </w:rPr>
        <w:t>The main functions of the JMC will be:</w:t>
      </w:r>
    </w:p>
    <w:p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Approve the MA work programme and financial plan, including the use of technical assistance;</w:t>
      </w:r>
    </w:p>
    <w:p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Monitor the implementation by the MA of the work programme and financial plan;</w:t>
      </w:r>
    </w:p>
    <w:p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Approve the criteria for selecting projects to be financed; </w:t>
      </w:r>
    </w:p>
    <w:p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Be responsible for the evaluation and selection procedure of projects to be financed; </w:t>
      </w:r>
    </w:p>
    <w:p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Approve any proposal to revise the programme or the description of management and control systems;</w:t>
      </w:r>
    </w:p>
    <w:p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Examine all reports submitted by MA and, if necessary, take appropriate measures; </w:t>
      </w:r>
    </w:p>
    <w:p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Examine all contentious cases brought to its attention by MA, including the recovery of funds;</w:t>
      </w:r>
    </w:p>
    <w:p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Examine and approve annual reports;</w:t>
      </w:r>
    </w:p>
    <w:p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Examine and approve the annual monitoring and evaluation plan;</w:t>
      </w:r>
    </w:p>
    <w:p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Examine and approve the annual information and communication plan.</w:t>
      </w:r>
    </w:p>
    <w:p w:rsidR="0028075A" w:rsidRPr="00682784" w:rsidRDefault="0028075A" w:rsidP="00F0771E">
      <w:pPr>
        <w:spacing w:before="120" w:line="21" w:lineRule="atLeast"/>
        <w:jc w:val="both"/>
        <w:rPr>
          <w:rFonts w:cs="ArialMT"/>
          <w:bCs/>
          <w:sz w:val="22"/>
          <w:szCs w:val="22"/>
          <w:lang w:val="en-GB"/>
        </w:rPr>
      </w:pPr>
      <w:r w:rsidRPr="00682784">
        <w:rPr>
          <w:rFonts w:cs="ArialMT"/>
          <w:bCs/>
          <w:sz w:val="22"/>
          <w:szCs w:val="22"/>
          <w:lang w:val="en-GB"/>
        </w:rPr>
        <w:t>Notwithstanding point 4, JMC may set up a Selection Committee acting under its responsibility.</w:t>
      </w:r>
    </w:p>
    <w:p w:rsidR="0028075A" w:rsidRPr="00A409E3" w:rsidRDefault="0028075A" w:rsidP="003574FD">
      <w:pPr>
        <w:spacing w:before="240" w:after="120" w:line="21" w:lineRule="atLeast"/>
        <w:jc w:val="both"/>
        <w:rPr>
          <w:b/>
          <w:lang w:val="en-GB"/>
        </w:rPr>
      </w:pPr>
      <w:r w:rsidRPr="00A409E3">
        <w:rPr>
          <w:b/>
          <w:lang w:val="en-GB"/>
        </w:rPr>
        <w:t>Functioning</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The procedures of the JMC will be defined in the Rules of Procedure (RoP), including the following items:</w:t>
      </w:r>
    </w:p>
    <w:p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 xml:space="preserve">The JMC shall seek to take decisions by consensus. However, a voting procedure may be followed, particularly when making decisions on the selection of projects and on the grant amounts allocated to them. The decisions to be voted upon will be adopted by a qualified majority which will be defined in the Rules of Procedure of the JMC. </w:t>
      </w:r>
    </w:p>
    <w:p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JMC may make decisions using a written procedure at the initiative of its chairperson, the Managing Authority or any participating country in conformity with its Rules of Procedure. Each country will have a single vote, which will be cast by the Head of each National Delegation in accordance with internal agreements within each delegation.</w:t>
      </w:r>
    </w:p>
    <w:p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The JMC is convened by its chairperson or following a duly justified request from one Head of Delegation or from the European Commission. The JMC will meet as often as necessary but at least once per year.</w:t>
      </w:r>
    </w:p>
    <w:p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 xml:space="preserve">The MA is assisted by the JTS which acts as the secretariat and organises the JMC meetings. </w:t>
      </w:r>
    </w:p>
    <w:p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The Chairperson shall act as the moderator and lead the discussions.</w:t>
      </w:r>
    </w:p>
    <w:p w:rsidR="0028075A" w:rsidRPr="00682784" w:rsidRDefault="0028075A" w:rsidP="003574FD">
      <w:pPr>
        <w:numPr>
          <w:ilvl w:val="0"/>
          <w:numId w:val="47"/>
        </w:numPr>
        <w:spacing w:before="200" w:after="0" w:line="21" w:lineRule="atLeast"/>
        <w:contextualSpacing/>
        <w:jc w:val="both"/>
        <w:rPr>
          <w:szCs w:val="21"/>
          <w:lang w:val="en-GB" w:eastAsia="ca-ES"/>
        </w:rPr>
      </w:pPr>
      <w:r w:rsidRPr="00682784">
        <w:rPr>
          <w:rFonts w:cs="ArialMT"/>
          <w:bCs/>
          <w:sz w:val="22"/>
          <w:szCs w:val="22"/>
          <w:lang w:val="en-GB"/>
        </w:rPr>
        <w:t xml:space="preserve">Minutes shall be drawn up after each meeting of the JMC for signature by the Chairperson and the Secretary. A copy of these minutes shall be shared with the representatives of participating countries, the Commission and any other observer. The minutes of each meeting will have to be approved by the JMC itself either through a written decision or at its next meeting at the latest. </w:t>
      </w:r>
    </w:p>
    <w:p w:rsidR="0028075A" w:rsidRPr="00682784" w:rsidRDefault="0028075A" w:rsidP="003574FD">
      <w:pPr>
        <w:tabs>
          <w:tab w:val="left" w:pos="284"/>
        </w:tabs>
        <w:spacing w:line="21" w:lineRule="atLeast"/>
        <w:ind w:left="284" w:hanging="284"/>
        <w:rPr>
          <w:rFonts w:cs="Arial"/>
          <w:b/>
          <w:bCs/>
          <w:iCs/>
          <w:color w:val="8DB3E2"/>
          <w:sz w:val="12"/>
          <w:szCs w:val="12"/>
          <w:lang w:val="en-GB"/>
        </w:rPr>
      </w:pPr>
    </w:p>
    <w:p w:rsidR="0028075A" w:rsidRPr="002B2A70" w:rsidRDefault="0028075A" w:rsidP="003574FD">
      <w:pPr>
        <w:pStyle w:val="Heading3"/>
        <w:spacing w:before="240" w:after="240" w:line="21" w:lineRule="atLeast"/>
        <w:rPr>
          <w:b/>
          <w:sz w:val="28"/>
          <w:szCs w:val="28"/>
          <w:lang w:val="en-GB"/>
        </w:rPr>
      </w:pPr>
      <w:bookmarkStart w:id="90" w:name="_Toc288133457"/>
      <w:r w:rsidRPr="002B2A70">
        <w:rPr>
          <w:b/>
          <w:sz w:val="28"/>
          <w:szCs w:val="28"/>
          <w:lang w:val="en-GB"/>
        </w:rPr>
        <w:t>Managing Authority (MA)</w:t>
      </w:r>
      <w:bookmarkEnd w:id="90"/>
    </w:p>
    <w:p w:rsidR="0028075A" w:rsidRPr="00682784" w:rsidRDefault="0028075A" w:rsidP="00D067C0">
      <w:pPr>
        <w:spacing w:after="120" w:line="21" w:lineRule="atLeast"/>
        <w:jc w:val="both"/>
        <w:rPr>
          <w:rFonts w:cs="ArialMT"/>
          <w:bCs/>
          <w:sz w:val="22"/>
          <w:szCs w:val="22"/>
          <w:lang w:val="en-GB"/>
        </w:rPr>
      </w:pPr>
      <w:r w:rsidRPr="00682784">
        <w:rPr>
          <w:rFonts w:cs="ArialMT"/>
          <w:bCs/>
          <w:sz w:val="22"/>
          <w:szCs w:val="22"/>
          <w:lang w:val="en-GB"/>
        </w:rPr>
        <w:t xml:space="preserve">The Managing Authority (MA) is responsible for managing the implementation of the programme, in accordance with the principle of sound financial management </w:t>
      </w:r>
      <w:r w:rsidRPr="00682784">
        <w:rPr>
          <w:sz w:val="22"/>
          <w:szCs w:val="22"/>
          <w:lang w:val="en-GB"/>
        </w:rPr>
        <w:t>and for ensuring that the decisions of the Joint Monitoring Committee comply with the applicable laws and requirements</w:t>
      </w:r>
      <w:r w:rsidRPr="00682784">
        <w:rPr>
          <w:rFonts w:cs="ArialMT"/>
          <w:bCs/>
          <w:sz w:val="22"/>
          <w:szCs w:val="22"/>
          <w:lang w:val="en-GB"/>
        </w:rPr>
        <w:t>.</w:t>
      </w:r>
    </w:p>
    <w:p w:rsidR="0028075A" w:rsidRPr="00682784" w:rsidRDefault="0028075A" w:rsidP="00D067C0">
      <w:pPr>
        <w:spacing w:line="21" w:lineRule="atLeast"/>
        <w:jc w:val="both"/>
        <w:rPr>
          <w:rFonts w:cs="ArialMT"/>
          <w:bCs/>
          <w:sz w:val="22"/>
          <w:szCs w:val="22"/>
          <w:lang w:val="en-GB"/>
        </w:rPr>
      </w:pPr>
      <w:r w:rsidRPr="00682784">
        <w:rPr>
          <w:rFonts w:cs="ArialMT"/>
          <w:bCs/>
          <w:sz w:val="22"/>
          <w:szCs w:val="22"/>
          <w:lang w:val="en-GB"/>
        </w:rPr>
        <w:t xml:space="preserve">By agreement of the countries participating in the programme, the appointed Managing Authority is the Ministry of Regional Development and Public Administration and it will have its operational base in Bucharest (Romania). Its functions will be fulfilled mainly by the Directorate of MAs for European Territorial Cooperation Programmes, the Monitoring Directorate, the Directorate for Programme Authorisation and the Directorate for Payments and Accounting, assisted by support departments within the Ministry. </w:t>
      </w:r>
    </w:p>
    <w:p w:rsidR="0028075A" w:rsidRPr="00A409E3" w:rsidRDefault="0028075A" w:rsidP="003574FD">
      <w:pPr>
        <w:spacing w:before="240" w:after="120" w:line="21" w:lineRule="atLeast"/>
        <w:jc w:val="both"/>
        <w:rPr>
          <w:b/>
          <w:lang w:val="en-GB"/>
        </w:rPr>
      </w:pPr>
      <w:r w:rsidRPr="00A409E3">
        <w:rPr>
          <w:b/>
          <w:lang w:val="en-GB"/>
        </w:rPr>
        <w:t>Designation process</w:t>
      </w:r>
    </w:p>
    <w:p w:rsidR="0028075A" w:rsidRPr="00682784" w:rsidRDefault="0028075A" w:rsidP="00D067C0">
      <w:pPr>
        <w:spacing w:before="120" w:after="0" w:line="21" w:lineRule="atLeast"/>
        <w:jc w:val="both"/>
        <w:rPr>
          <w:rFonts w:cs="ArialMT"/>
          <w:bCs/>
          <w:sz w:val="22"/>
          <w:szCs w:val="22"/>
          <w:lang w:val="en-GB"/>
        </w:rPr>
      </w:pPr>
      <w:r w:rsidRPr="00682784">
        <w:rPr>
          <w:rFonts w:cs="ArialMT"/>
          <w:bCs/>
          <w:sz w:val="22"/>
          <w:szCs w:val="22"/>
          <w:lang w:val="en-GB"/>
        </w:rPr>
        <w:t>The Romanian government will proceed with the designation of the Managing Authority after the Joint Operational Programme (JOP) is adopted by the European Commission, in accordance with article 25 of the ENI CBC Implementing Rules (IR).</w:t>
      </w:r>
    </w:p>
    <w:p w:rsidR="0028075A" w:rsidRPr="00682784" w:rsidRDefault="0028075A" w:rsidP="00D067C0">
      <w:pPr>
        <w:spacing w:before="120" w:after="0" w:line="21" w:lineRule="atLeast"/>
        <w:jc w:val="both"/>
        <w:rPr>
          <w:rFonts w:cs="ArialMT"/>
          <w:bCs/>
          <w:sz w:val="22"/>
          <w:szCs w:val="22"/>
          <w:lang w:val="en-GB"/>
        </w:rPr>
      </w:pPr>
      <w:r w:rsidRPr="00682784">
        <w:rPr>
          <w:rFonts w:cs="ArialMT"/>
          <w:bCs/>
          <w:sz w:val="22"/>
          <w:szCs w:val="22"/>
          <w:lang w:val="en-GB"/>
        </w:rPr>
        <w:t xml:space="preserve">The designation body will be </w:t>
      </w:r>
      <w:r w:rsidR="00E463F6" w:rsidRPr="00682784">
        <w:rPr>
          <w:rFonts w:cs="ArialMT"/>
          <w:bCs/>
          <w:sz w:val="22"/>
          <w:szCs w:val="22"/>
          <w:lang w:val="en-GB"/>
        </w:rPr>
        <w:t>the M</w:t>
      </w:r>
      <w:r w:rsidR="00EF16E1" w:rsidRPr="00682784">
        <w:rPr>
          <w:rFonts w:cs="ArialMT"/>
          <w:bCs/>
          <w:sz w:val="22"/>
          <w:szCs w:val="22"/>
          <w:lang w:val="en-GB"/>
        </w:rPr>
        <w:t>inistry of European Funds of Romania</w:t>
      </w:r>
      <w:r w:rsidRPr="00682784">
        <w:rPr>
          <w:rFonts w:cs="ArialMT"/>
          <w:bCs/>
          <w:sz w:val="22"/>
          <w:szCs w:val="22"/>
          <w:lang w:val="en-GB"/>
        </w:rPr>
        <w:t>.</w:t>
      </w:r>
    </w:p>
    <w:p w:rsidR="00902227" w:rsidRDefault="00902227" w:rsidP="00D067C0">
      <w:pPr>
        <w:spacing w:before="120" w:after="0" w:line="21" w:lineRule="atLeast"/>
        <w:jc w:val="both"/>
        <w:rPr>
          <w:rFonts w:cs="ArialMT"/>
          <w:bCs/>
          <w:sz w:val="22"/>
          <w:szCs w:val="22"/>
          <w:lang w:val="en-GB"/>
        </w:rPr>
      </w:pPr>
      <w:r>
        <w:rPr>
          <w:rFonts w:cs="ArialMT"/>
          <w:bCs/>
          <w:sz w:val="22"/>
          <w:szCs w:val="22"/>
          <w:lang w:val="en-GB"/>
        </w:rPr>
        <w:t xml:space="preserve">The </w:t>
      </w:r>
      <w:r w:rsidRPr="00902227">
        <w:rPr>
          <w:rFonts w:cs="ArialMT"/>
          <w:bCs/>
          <w:sz w:val="22"/>
          <w:szCs w:val="22"/>
          <w:lang w:val="en-GB"/>
        </w:rPr>
        <w:t>assess</w:t>
      </w:r>
      <w:r>
        <w:rPr>
          <w:rFonts w:cs="ArialMT"/>
          <w:bCs/>
          <w:sz w:val="22"/>
          <w:szCs w:val="22"/>
          <w:lang w:val="en-GB"/>
        </w:rPr>
        <w:t xml:space="preserve">ment of </w:t>
      </w:r>
      <w:r w:rsidRPr="00902227">
        <w:rPr>
          <w:rFonts w:cs="ArialMT"/>
          <w:bCs/>
          <w:sz w:val="22"/>
          <w:szCs w:val="22"/>
          <w:lang w:val="en-GB"/>
        </w:rPr>
        <w:t>the compliance of the management and control systems</w:t>
      </w:r>
      <w:r>
        <w:rPr>
          <w:rFonts w:cs="ArialMT"/>
          <w:bCs/>
          <w:sz w:val="22"/>
          <w:szCs w:val="22"/>
          <w:lang w:val="en-GB"/>
        </w:rPr>
        <w:t xml:space="preserve"> shall be carried out by the </w:t>
      </w:r>
      <w:r w:rsidR="0028075A" w:rsidRPr="00682784">
        <w:rPr>
          <w:rFonts w:cs="ArialMT"/>
          <w:bCs/>
          <w:sz w:val="22"/>
          <w:szCs w:val="22"/>
          <w:lang w:val="en-GB"/>
        </w:rPr>
        <w:t>Audit Authority</w:t>
      </w:r>
      <w:r>
        <w:rPr>
          <w:rFonts w:cs="ArialMT"/>
          <w:bCs/>
          <w:sz w:val="22"/>
          <w:szCs w:val="22"/>
          <w:lang w:val="en-GB"/>
        </w:rPr>
        <w:t>.</w:t>
      </w:r>
    </w:p>
    <w:p w:rsidR="0028075A" w:rsidRPr="00682784" w:rsidRDefault="00902227" w:rsidP="00D067C0">
      <w:pPr>
        <w:spacing w:before="120" w:after="0" w:line="21" w:lineRule="atLeast"/>
        <w:jc w:val="both"/>
        <w:rPr>
          <w:rFonts w:cs="ArialMT"/>
          <w:bCs/>
          <w:sz w:val="22"/>
          <w:szCs w:val="22"/>
          <w:lang w:val="en-GB"/>
        </w:rPr>
      </w:pPr>
      <w:r>
        <w:rPr>
          <w:rFonts w:cs="ArialMT"/>
          <w:bCs/>
          <w:sz w:val="22"/>
          <w:szCs w:val="22"/>
          <w:lang w:val="en-GB"/>
        </w:rPr>
        <w:t>The designation process</w:t>
      </w:r>
      <w:r w:rsidR="0028075A" w:rsidRPr="00682784">
        <w:rPr>
          <w:rFonts w:cs="ArialMT"/>
          <w:bCs/>
          <w:sz w:val="22"/>
          <w:szCs w:val="22"/>
          <w:lang w:val="en-GB"/>
        </w:rPr>
        <w:t xml:space="preserve"> includes the following phases:</w:t>
      </w:r>
    </w:p>
    <w:p w:rsidR="0028075A" w:rsidRPr="00682784" w:rsidRDefault="0028075A" w:rsidP="00D067C0">
      <w:pPr>
        <w:numPr>
          <w:ilvl w:val="0"/>
          <w:numId w:val="53"/>
        </w:numPr>
        <w:suppressAutoHyphens/>
        <w:spacing w:before="120" w:after="0" w:line="21" w:lineRule="atLeast"/>
        <w:ind w:left="714" w:hanging="357"/>
        <w:jc w:val="both"/>
        <w:rPr>
          <w:rFonts w:cs="ArialMT"/>
          <w:bCs/>
          <w:sz w:val="22"/>
          <w:szCs w:val="22"/>
          <w:lang w:val="en-GB"/>
        </w:rPr>
      </w:pPr>
      <w:r w:rsidRPr="00682784">
        <w:rPr>
          <w:rFonts w:cs="ArialMT"/>
          <w:bCs/>
          <w:sz w:val="22"/>
          <w:szCs w:val="22"/>
          <w:lang w:val="en-GB"/>
        </w:rPr>
        <w:t>The receipt of the management and control system description and the gathering other relevant documents</w:t>
      </w:r>
      <w:r w:rsidR="00AB581D">
        <w:rPr>
          <w:rFonts w:cs="ArialMT"/>
          <w:bCs/>
          <w:sz w:val="22"/>
          <w:szCs w:val="22"/>
          <w:lang w:val="en-GB"/>
        </w:rPr>
        <w:t xml:space="preserve"> by the Audit Authority</w:t>
      </w:r>
      <w:r w:rsidRPr="00682784">
        <w:rPr>
          <w:rFonts w:cs="ArialMT"/>
          <w:bCs/>
          <w:sz w:val="22"/>
          <w:szCs w:val="22"/>
          <w:lang w:val="en-GB"/>
        </w:rPr>
        <w:t xml:space="preserve">. </w:t>
      </w:r>
    </w:p>
    <w:p w:rsidR="0028075A" w:rsidRPr="00682784" w:rsidRDefault="0028075A" w:rsidP="003574FD">
      <w:pPr>
        <w:numPr>
          <w:ilvl w:val="0"/>
          <w:numId w:val="53"/>
        </w:numPr>
        <w:spacing w:after="120" w:line="21" w:lineRule="atLeast"/>
        <w:jc w:val="both"/>
        <w:rPr>
          <w:rFonts w:cs="ArialMT"/>
          <w:bCs/>
          <w:sz w:val="22"/>
          <w:szCs w:val="22"/>
          <w:lang w:val="en-GB"/>
        </w:rPr>
      </w:pPr>
      <w:r w:rsidRPr="00682784">
        <w:rPr>
          <w:rFonts w:cs="ArialMT"/>
          <w:bCs/>
          <w:sz w:val="22"/>
          <w:szCs w:val="22"/>
          <w:lang w:val="en-GB"/>
        </w:rPr>
        <w:t xml:space="preserve">Analysis of data gathered, examination of documents and performance of the audit work required including, where considered appropriate, interviews with staff. </w:t>
      </w:r>
    </w:p>
    <w:p w:rsidR="0028075A" w:rsidRPr="00682784" w:rsidRDefault="0028075A" w:rsidP="003574FD">
      <w:pPr>
        <w:numPr>
          <w:ilvl w:val="0"/>
          <w:numId w:val="53"/>
        </w:numPr>
        <w:spacing w:after="120" w:line="21" w:lineRule="atLeast"/>
        <w:jc w:val="both"/>
        <w:rPr>
          <w:rFonts w:cs="ArialMT"/>
          <w:bCs/>
          <w:sz w:val="22"/>
          <w:szCs w:val="22"/>
          <w:lang w:val="en-GB"/>
        </w:rPr>
      </w:pPr>
      <w:r w:rsidRPr="00682784">
        <w:rPr>
          <w:rFonts w:cs="ArialMT"/>
          <w:bCs/>
          <w:sz w:val="22"/>
          <w:szCs w:val="22"/>
          <w:lang w:val="en-GB"/>
        </w:rPr>
        <w:t>Preparation of the report and opinion and a contradictory procedure, including validation of findings and conclusions. Adequate time should be allocated to this procedure to allow the authorities assessed to respond to observations and provide additional information.</w:t>
      </w:r>
    </w:p>
    <w:p w:rsidR="0028075A" w:rsidRPr="00682784" w:rsidRDefault="0028075A" w:rsidP="003574FD">
      <w:pPr>
        <w:numPr>
          <w:ilvl w:val="0"/>
          <w:numId w:val="53"/>
        </w:numPr>
        <w:spacing w:after="120" w:line="21" w:lineRule="atLeast"/>
        <w:jc w:val="both"/>
        <w:rPr>
          <w:rFonts w:cs="ArialMT"/>
          <w:bCs/>
          <w:sz w:val="22"/>
          <w:szCs w:val="22"/>
          <w:lang w:val="en-GB"/>
        </w:rPr>
      </w:pPr>
      <w:r w:rsidRPr="00682784">
        <w:rPr>
          <w:rFonts w:cs="ArialMT"/>
          <w:bCs/>
          <w:sz w:val="22"/>
          <w:szCs w:val="22"/>
          <w:lang w:val="en-GB"/>
        </w:rPr>
        <w:t xml:space="preserve">Formal decision by the designating body </w:t>
      </w:r>
    </w:p>
    <w:p w:rsidR="0028075A" w:rsidRPr="00A409E3" w:rsidRDefault="0028075A" w:rsidP="003574FD">
      <w:pPr>
        <w:spacing w:before="240" w:after="120" w:line="21" w:lineRule="atLeast"/>
        <w:jc w:val="both"/>
        <w:rPr>
          <w:b/>
          <w:lang w:val="en-GB"/>
        </w:rPr>
      </w:pPr>
      <w:r w:rsidRPr="00A409E3">
        <w:rPr>
          <w:b/>
          <w:lang w:val="en-GB"/>
        </w:rPr>
        <w:t>Functions</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In accordance with article 26 o</w:t>
      </w:r>
      <w:r w:rsidR="0034529A" w:rsidRPr="00682784">
        <w:rPr>
          <w:rFonts w:cs="ArialMT"/>
          <w:bCs/>
          <w:sz w:val="22"/>
          <w:szCs w:val="22"/>
          <w:lang w:val="en-GB"/>
        </w:rPr>
        <w:t>f the ENI CBC Implementing Regulation</w:t>
      </w:r>
      <w:r w:rsidRPr="00682784">
        <w:rPr>
          <w:rFonts w:cs="ArialMT"/>
          <w:bCs/>
          <w:sz w:val="22"/>
          <w:szCs w:val="22"/>
          <w:lang w:val="en-GB"/>
        </w:rPr>
        <w:t>, the main functions of the MA will be:</w:t>
      </w:r>
    </w:p>
    <w:p w:rsidR="0028075A" w:rsidRPr="00682784" w:rsidRDefault="0028075A" w:rsidP="003574FD">
      <w:pPr>
        <w:numPr>
          <w:ilvl w:val="0"/>
          <w:numId w:val="48"/>
        </w:numPr>
        <w:spacing w:before="200" w:after="0" w:line="21" w:lineRule="atLeast"/>
        <w:contextualSpacing/>
        <w:jc w:val="both"/>
        <w:rPr>
          <w:rFonts w:cs="ArialMT"/>
          <w:bCs/>
          <w:sz w:val="22"/>
          <w:szCs w:val="22"/>
          <w:lang w:val="en-GB"/>
        </w:rPr>
      </w:pPr>
      <w:r w:rsidRPr="00682784">
        <w:rPr>
          <w:rFonts w:cs="ArialMT"/>
          <w:bCs/>
          <w:sz w:val="22"/>
          <w:szCs w:val="22"/>
          <w:lang w:val="en-GB"/>
        </w:rPr>
        <w:t xml:space="preserve">In regard to </w:t>
      </w:r>
      <w:r w:rsidRPr="00682784">
        <w:rPr>
          <w:rFonts w:cs="ArialMT"/>
          <w:bCs/>
          <w:sz w:val="22"/>
          <w:szCs w:val="22"/>
          <w:u w:val="single"/>
          <w:lang w:val="en-GB"/>
        </w:rPr>
        <w:t>programme management</w:t>
      </w:r>
      <w:r w:rsidRPr="00682784">
        <w:rPr>
          <w:rFonts w:cs="ArialMT"/>
          <w:bCs/>
          <w:sz w:val="22"/>
          <w:szCs w:val="22"/>
          <w:lang w:val="en-GB"/>
        </w:rPr>
        <w:t>:</w:t>
      </w:r>
    </w:p>
    <w:p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Support the work of JMC and provide it with the information it requires to carry out its tasks, in particular data relating to the progress of the programme in achieving its expected results and targets;</w:t>
      </w:r>
    </w:p>
    <w:p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and, after approval by the JMC, submit to the European Commission the annual and the final reports;</w:t>
      </w:r>
    </w:p>
    <w:p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 xml:space="preserve">Share information with other management bodies and beneficiaries relevant to the execution of their tasks or project implementation; </w:t>
      </w:r>
    </w:p>
    <w:p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Establish and maintain a computerised system to record and store data on each project necessary for monitoring, evaluation, financial management, control and audit, including data on individual participants in projects, where applicable. In particular, it shall record and store technical and financial reports for each project. The system shall provide all data required for drawing up payment requests and annual accounts, including records of amounts recoverable, amounts recovered and amounts reduced following cancellation of all or part of a project grant;</w:t>
      </w:r>
    </w:p>
    <w:p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Implement information and communication plans in accordance with article 79 of the ENI-CBC Implementing Rules;</w:t>
      </w:r>
    </w:p>
    <w:p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Implement monitoring and evaluation plans in accordance with article 78 of the ENI-CBC Implementing Rules;</w:t>
      </w:r>
    </w:p>
    <w:p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capitalization and put in place coordination mechanisms to foster complementarities and synergies with other programmes or financial instruments in the Black Sea area.</w:t>
      </w:r>
    </w:p>
    <w:p w:rsidR="0028075A" w:rsidRPr="00682784" w:rsidRDefault="0028075A" w:rsidP="003574FD">
      <w:pPr>
        <w:numPr>
          <w:ilvl w:val="0"/>
          <w:numId w:val="48"/>
        </w:numPr>
        <w:spacing w:before="200" w:after="0" w:line="21" w:lineRule="atLeast"/>
        <w:ind w:left="714" w:hanging="357"/>
        <w:jc w:val="both"/>
        <w:rPr>
          <w:rFonts w:cs="ArialMT"/>
          <w:bCs/>
          <w:sz w:val="22"/>
          <w:szCs w:val="22"/>
          <w:lang w:val="en-GB"/>
        </w:rPr>
      </w:pPr>
      <w:r w:rsidRPr="00682784">
        <w:rPr>
          <w:rFonts w:cs="ArialMT"/>
          <w:bCs/>
          <w:sz w:val="22"/>
          <w:szCs w:val="22"/>
          <w:lang w:val="en-GB"/>
        </w:rPr>
        <w:t xml:space="preserve">In regard to the </w:t>
      </w:r>
      <w:r w:rsidRPr="00682784">
        <w:rPr>
          <w:rFonts w:cs="ArialMT"/>
          <w:bCs/>
          <w:sz w:val="22"/>
          <w:szCs w:val="22"/>
          <w:u w:val="single"/>
          <w:lang w:val="en-GB"/>
        </w:rPr>
        <w:t>selection and management of projects</w:t>
      </w:r>
      <w:r w:rsidRPr="00682784">
        <w:rPr>
          <w:rFonts w:cs="ArialMT"/>
          <w:bCs/>
          <w:sz w:val="22"/>
          <w:szCs w:val="22"/>
          <w:lang w:val="en-GB"/>
        </w:rPr>
        <w:t>:</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and launch the selection procedures;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adequate awareness raising and capacity building for potential beneficiaries in collaboration with the NAs and with the support of the JTS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Manage the project selection procedures;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sz w:val="22"/>
          <w:szCs w:val="22"/>
          <w:lang w:val="en-GB"/>
        </w:rPr>
        <w:t>Provide the lead beneficiary with a document setting out the conditions for support for each project including the financing plan and execution deadline</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sz w:val="22"/>
          <w:szCs w:val="22"/>
          <w:lang w:val="en-GB"/>
        </w:rPr>
        <w:t>Take any necessary precautionary measure in order prevent duplication of activities among the projects funded by the EU (e.g. through consultations with NAs and EC and other relevant MAs)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Sign contracts with lead beneficiaries;</w:t>
      </w:r>
    </w:p>
    <w:p w:rsidR="0028075A" w:rsidRPr="002B2C50"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rPr>
      </w:pPr>
      <w:r w:rsidRPr="002B2C50">
        <w:rPr>
          <w:rFonts w:cs="ArialMT"/>
          <w:bCs/>
          <w:sz w:val="22"/>
          <w:szCs w:val="22"/>
        </w:rPr>
        <w:t>Manage projects.</w:t>
      </w:r>
    </w:p>
    <w:p w:rsidR="0028075A" w:rsidRPr="00682784" w:rsidRDefault="0028075A" w:rsidP="003574FD">
      <w:pPr>
        <w:numPr>
          <w:ilvl w:val="0"/>
          <w:numId w:val="48"/>
        </w:numPr>
        <w:tabs>
          <w:tab w:val="left" w:pos="709"/>
        </w:tabs>
        <w:spacing w:before="200" w:after="0" w:line="21" w:lineRule="atLeast"/>
        <w:ind w:left="714" w:hanging="357"/>
        <w:jc w:val="both"/>
        <w:rPr>
          <w:rFonts w:cs="ArialMT"/>
          <w:bCs/>
          <w:sz w:val="22"/>
          <w:szCs w:val="22"/>
          <w:lang w:val="en-GB"/>
        </w:rPr>
      </w:pPr>
      <w:r w:rsidRPr="00682784">
        <w:rPr>
          <w:rFonts w:cs="ArialMT"/>
          <w:bCs/>
          <w:sz w:val="22"/>
          <w:szCs w:val="22"/>
          <w:lang w:val="en-GB"/>
        </w:rPr>
        <w:t xml:space="preserve">In regard to </w:t>
      </w:r>
      <w:r w:rsidRPr="00682784">
        <w:rPr>
          <w:rFonts w:cs="ArialMT"/>
          <w:bCs/>
          <w:sz w:val="22"/>
          <w:szCs w:val="22"/>
          <w:u w:val="single"/>
          <w:lang w:val="en-GB"/>
        </w:rPr>
        <w:t>technical assistance</w:t>
      </w:r>
      <w:r w:rsidRPr="00682784">
        <w:rPr>
          <w:rFonts w:cs="ArialMT"/>
          <w:bCs/>
          <w:sz w:val="22"/>
          <w:szCs w:val="22"/>
          <w:lang w:val="en-GB"/>
        </w:rPr>
        <w:t>:</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Manage the contract award procedures;</w:t>
      </w:r>
    </w:p>
    <w:p w:rsidR="0028075A" w:rsidRPr="002B2C50"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rPr>
      </w:pPr>
      <w:r w:rsidRPr="002B2C50">
        <w:rPr>
          <w:rFonts w:cs="ArialMT"/>
          <w:bCs/>
          <w:sz w:val="22"/>
          <w:szCs w:val="22"/>
        </w:rPr>
        <w:t>Sign contracts with contractors;</w:t>
      </w:r>
    </w:p>
    <w:p w:rsidR="0028075A" w:rsidRPr="002B2C50"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rPr>
      </w:pPr>
      <w:r w:rsidRPr="002B2C50">
        <w:rPr>
          <w:rFonts w:cs="ArialMT"/>
          <w:bCs/>
          <w:sz w:val="22"/>
          <w:szCs w:val="22"/>
        </w:rPr>
        <w:t xml:space="preserve">Manage contracts. </w:t>
      </w:r>
    </w:p>
    <w:p w:rsidR="0028075A" w:rsidRPr="00682784" w:rsidRDefault="0028075A" w:rsidP="003574FD">
      <w:pPr>
        <w:numPr>
          <w:ilvl w:val="0"/>
          <w:numId w:val="48"/>
        </w:numPr>
        <w:tabs>
          <w:tab w:val="left" w:pos="709"/>
          <w:tab w:val="left" w:pos="1276"/>
        </w:tabs>
        <w:spacing w:before="200" w:after="0" w:line="21" w:lineRule="atLeast"/>
        <w:ind w:left="714" w:hanging="357"/>
        <w:jc w:val="both"/>
        <w:rPr>
          <w:rFonts w:cs="ArialMT"/>
          <w:bCs/>
          <w:sz w:val="22"/>
          <w:szCs w:val="22"/>
          <w:lang w:val="en-GB"/>
        </w:rPr>
      </w:pPr>
      <w:r w:rsidRPr="00682784">
        <w:rPr>
          <w:rFonts w:cs="ArialMT"/>
          <w:bCs/>
          <w:sz w:val="22"/>
          <w:szCs w:val="22"/>
          <w:lang w:val="en-GB"/>
        </w:rPr>
        <w:t xml:space="preserve">In regard to the </w:t>
      </w:r>
      <w:r w:rsidRPr="00682784">
        <w:rPr>
          <w:rFonts w:cs="ArialMT"/>
          <w:bCs/>
          <w:sz w:val="22"/>
          <w:szCs w:val="22"/>
          <w:u w:val="single"/>
          <w:lang w:val="en-GB"/>
        </w:rPr>
        <w:t>financial management and control of the programme</w:t>
      </w:r>
      <w:r w:rsidRPr="00682784">
        <w:rPr>
          <w:rFonts w:cs="ArialMT"/>
          <w:bCs/>
          <w:sz w:val="22"/>
          <w:szCs w:val="22"/>
          <w:lang w:val="en-GB"/>
        </w:rPr>
        <w:t>:</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adequate training for project beneficiaries with the support of the JTS and the NAs;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 xml:space="preserve">Ensure adequate training of controllers, with the support of the CCPs; </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Verify that services, supplies or works have been performed, delivered and/or installed or carried out and whether expenditure declared by the beneficiaries has been paid by them and it complies with applicable law, programme rules and conditions for programme financing;</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that  beneficiaries involved in project implementation maintain either a separate accounting system or a suitable accounting code for all transactions;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Keep track of the systemic and most common errors by beneficiaries and inform CCPs and NAs about them;</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Put in place adequate correction measures concerning project irregularities and inform the relevant bodies about them;</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Put in place effective and proportionate anti-fraud measures taking into account the risks identified;</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Set up procedures to ensure all documents related to expenditure and audits that are required to ensure a suitable audit trail are held in accordance with the requirements of article 10 of the ENI-CBC Implementing Rules;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the management declaration and annual summary referred to in article 68 of the ENI-CBC Implementing Rules;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and submit payment requests to EC in accordance with article 60 of the ENI-CBC Implementing Rules;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the annual accounts;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Take account of the results of all audits carried out by, or under the responsibility of the Audit Authority, when drawing up and submitting payment requests;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Maintain computerised accounting records for expenditure declared to the Commission and for payments made to beneficiaries;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Keep an account of amounts recoverable, amounts recovered and of amounts reduced following cancellation of all or part of the grant.</w:t>
      </w:r>
    </w:p>
    <w:p w:rsidR="0028075A" w:rsidRPr="002B2C50" w:rsidRDefault="0028075A" w:rsidP="003574FD">
      <w:pPr>
        <w:numPr>
          <w:ilvl w:val="0"/>
          <w:numId w:val="48"/>
        </w:numPr>
        <w:tabs>
          <w:tab w:val="left" w:pos="709"/>
        </w:tabs>
        <w:spacing w:before="200" w:after="0" w:line="21" w:lineRule="atLeast"/>
        <w:ind w:left="714" w:hanging="357"/>
        <w:jc w:val="both"/>
        <w:rPr>
          <w:rFonts w:cs="ArialMT"/>
          <w:bCs/>
          <w:sz w:val="22"/>
          <w:szCs w:val="22"/>
        </w:rPr>
      </w:pPr>
      <w:r w:rsidRPr="002B2C50">
        <w:rPr>
          <w:rFonts w:cs="ArialMT"/>
          <w:bCs/>
          <w:sz w:val="22"/>
          <w:szCs w:val="22"/>
        </w:rPr>
        <w:t xml:space="preserve">In regard to </w:t>
      </w:r>
      <w:r w:rsidRPr="002B2C50">
        <w:rPr>
          <w:rFonts w:cs="ArialMT"/>
          <w:bCs/>
          <w:sz w:val="22"/>
          <w:szCs w:val="22"/>
          <w:u w:val="single"/>
        </w:rPr>
        <w:t>verifications</w:t>
      </w:r>
      <w:r w:rsidRPr="002B2C50">
        <w:rPr>
          <w:rFonts w:cs="ArialMT"/>
          <w:bCs/>
          <w:sz w:val="22"/>
          <w:szCs w:val="22"/>
        </w:rPr>
        <w:t>:</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Carry out administrative verifications for each payment request by beneficiaries;</w:t>
      </w:r>
    </w:p>
    <w:p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Carry out on-the-spot project verifications.</w:t>
      </w:r>
    </w:p>
    <w:p w:rsidR="0028075A" w:rsidRPr="00682784" w:rsidRDefault="0028075A" w:rsidP="003574FD">
      <w:pPr>
        <w:tabs>
          <w:tab w:val="left" w:pos="284"/>
        </w:tabs>
        <w:spacing w:line="21" w:lineRule="atLeast"/>
        <w:ind w:left="284" w:hanging="284"/>
        <w:rPr>
          <w:rFonts w:cs="Arial"/>
          <w:b/>
          <w:bCs/>
          <w:iCs/>
          <w:color w:val="8DB3E2"/>
          <w:sz w:val="12"/>
          <w:szCs w:val="12"/>
          <w:lang w:val="en-GB"/>
        </w:rPr>
      </w:pPr>
    </w:p>
    <w:p w:rsidR="0028075A" w:rsidRPr="002B2A70" w:rsidRDefault="0028075A" w:rsidP="003574FD">
      <w:pPr>
        <w:pStyle w:val="Heading3"/>
        <w:spacing w:before="240" w:after="240" w:line="21" w:lineRule="atLeast"/>
        <w:rPr>
          <w:b/>
          <w:sz w:val="28"/>
          <w:szCs w:val="28"/>
          <w:lang w:val="en-GB"/>
        </w:rPr>
      </w:pPr>
      <w:bookmarkStart w:id="91" w:name="_Toc288133458"/>
      <w:r w:rsidRPr="002B2A70">
        <w:rPr>
          <w:b/>
          <w:sz w:val="28"/>
          <w:szCs w:val="28"/>
          <w:lang w:val="en-GB"/>
        </w:rPr>
        <w:t>Audit Authority (AA) and Group of Auditors (GoAs)</w:t>
      </w:r>
      <w:bookmarkEnd w:id="91"/>
      <w:r w:rsidRPr="002B2A70">
        <w:rPr>
          <w:b/>
          <w:sz w:val="28"/>
          <w:szCs w:val="28"/>
          <w:lang w:val="en-GB"/>
        </w:rPr>
        <w:t xml:space="preserve"> </w:t>
      </w:r>
    </w:p>
    <w:p w:rsidR="0028075A" w:rsidRPr="00682784" w:rsidRDefault="0028075A" w:rsidP="003574FD">
      <w:pPr>
        <w:tabs>
          <w:tab w:val="left" w:pos="9072"/>
        </w:tabs>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 xml:space="preserve">Upon a proposal by Romania, and by agreement of the participating countries, the appointed Audit Authority is the Romanian Court of Accounts. </w:t>
      </w:r>
    </w:p>
    <w:p w:rsidR="0028075A" w:rsidRPr="00682784" w:rsidRDefault="0028075A" w:rsidP="003574FD">
      <w:pPr>
        <w:tabs>
          <w:tab w:val="left" w:pos="9072"/>
        </w:tabs>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 xml:space="preserve">The Audit Authority shall ensure that audits are carried out on the programme management and control systems, on an appropriate sample of projects and on the annual accounts of the programme. </w:t>
      </w:r>
    </w:p>
    <w:p w:rsidR="0028075A" w:rsidRPr="00682784" w:rsidRDefault="0028075A" w:rsidP="003574FD">
      <w:pPr>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 xml:space="preserve">The Audit Authority for the programme will be assisted by a Group of Auditors comprising a representative from each country participating in the programme. </w:t>
      </w:r>
    </w:p>
    <w:p w:rsidR="0028075A" w:rsidRPr="00682784" w:rsidRDefault="0028075A" w:rsidP="003574FD">
      <w:pPr>
        <w:tabs>
          <w:tab w:val="left" w:pos="9072"/>
        </w:tabs>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The Audit Authority shall ensure that the audit work complies with internationally accepted audit standards.</w:t>
      </w:r>
    </w:p>
    <w:p w:rsidR="0028075A" w:rsidRPr="00A409E3" w:rsidRDefault="0028075A" w:rsidP="003574FD">
      <w:pPr>
        <w:spacing w:before="240" w:after="120" w:line="21" w:lineRule="atLeast"/>
        <w:jc w:val="both"/>
        <w:rPr>
          <w:b/>
          <w:lang w:val="en-GB"/>
        </w:rPr>
      </w:pPr>
      <w:r w:rsidRPr="00A409E3">
        <w:rPr>
          <w:b/>
          <w:lang w:val="en-GB"/>
        </w:rPr>
        <w:t>Functions</w:t>
      </w:r>
    </w:p>
    <w:p w:rsidR="0028075A" w:rsidRPr="00682784" w:rsidRDefault="0028075A" w:rsidP="003574FD">
      <w:pPr>
        <w:spacing w:before="120" w:after="120" w:line="21" w:lineRule="atLeast"/>
        <w:jc w:val="both"/>
        <w:rPr>
          <w:rFonts w:cs="ArialMT"/>
          <w:bCs/>
          <w:sz w:val="22"/>
          <w:szCs w:val="22"/>
          <w:lang w:val="en-GB"/>
        </w:rPr>
      </w:pPr>
      <w:r w:rsidRPr="00682784">
        <w:rPr>
          <w:rFonts w:cs="ArialMT"/>
          <w:bCs/>
          <w:sz w:val="22"/>
          <w:szCs w:val="22"/>
          <w:lang w:val="en-GB"/>
        </w:rPr>
        <w:t>In accordance with article 28 o</w:t>
      </w:r>
      <w:r w:rsidR="0034529A" w:rsidRPr="00682784">
        <w:rPr>
          <w:rFonts w:cs="ArialMT"/>
          <w:bCs/>
          <w:sz w:val="22"/>
          <w:szCs w:val="22"/>
          <w:lang w:val="en-GB"/>
        </w:rPr>
        <w:t>f the ENI CBC Implementing Regulation</w:t>
      </w:r>
      <w:r w:rsidRPr="00682784">
        <w:rPr>
          <w:rFonts w:cs="ArialMT"/>
          <w:bCs/>
          <w:sz w:val="22"/>
          <w:szCs w:val="22"/>
          <w:lang w:val="en-GB"/>
        </w:rPr>
        <w:t>, the main functions of the AA will be to:</w:t>
      </w:r>
    </w:p>
    <w:p w:rsidR="0028075A"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t>Prepare an audit strategy setting out the methodology and sampling methods;</w:t>
      </w:r>
    </w:p>
    <w:p w:rsidR="0028075A"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t>Ensure that audits are carried out on the management and control systems, on an appropriate sample of projects and on the annual accounts of the programme;</w:t>
      </w:r>
    </w:p>
    <w:p w:rsidR="0028075A"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t>Draw up an audit opinion on the annual accounts of the preceding accounting year, in conformity with article 68 of the ENI-CBC Implementing Rules;</w:t>
      </w:r>
    </w:p>
    <w:p w:rsidR="00D22DC6"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t>Draw up an annual audit report, in conformity with article 68 of the ENI-CBC Implementing Rules.</w:t>
      </w:r>
    </w:p>
    <w:p w:rsidR="0028075A" w:rsidRPr="00682784" w:rsidRDefault="0028075A" w:rsidP="003574FD">
      <w:pPr>
        <w:tabs>
          <w:tab w:val="left" w:pos="9072"/>
        </w:tabs>
        <w:autoSpaceDE w:val="0"/>
        <w:autoSpaceDN w:val="0"/>
        <w:adjustRightInd w:val="0"/>
        <w:spacing w:before="240" w:after="120" w:line="21" w:lineRule="atLeast"/>
        <w:jc w:val="both"/>
        <w:rPr>
          <w:rFonts w:cs="ArialMT"/>
          <w:bCs/>
          <w:sz w:val="22"/>
          <w:szCs w:val="22"/>
          <w:lang w:val="en-GB"/>
        </w:rPr>
      </w:pPr>
      <w:r w:rsidRPr="00682784">
        <w:rPr>
          <w:rFonts w:cs="ArialMT"/>
          <w:bCs/>
          <w:sz w:val="22"/>
          <w:szCs w:val="22"/>
          <w:lang w:val="en-GB"/>
        </w:rPr>
        <w:t>The Audit Authority shall, within nine months of the signature of the first financing agreement between a Partner Country and the European Commission, submit to the Commission an audit strategy for the performance of audits. The audit strategy shall set out the audit methodology on the annual accounts and on projects, the sampling method for audits on projects and the planning of audits in relation to the current accounting year and the two subsequent accounting years. The audit strategy shall be updated annually from 2017 until and including 2024. The updated audit strategy shall be submitted with the programme annual report to the Commission.</w:t>
      </w:r>
    </w:p>
    <w:p w:rsidR="0028075A" w:rsidRPr="00682784" w:rsidRDefault="0028075A" w:rsidP="003574FD">
      <w:pPr>
        <w:tabs>
          <w:tab w:val="left" w:pos="9072"/>
        </w:tabs>
        <w:autoSpaceDE w:val="0"/>
        <w:autoSpaceDN w:val="0"/>
        <w:adjustRightInd w:val="0"/>
        <w:spacing w:before="120" w:after="120" w:line="21" w:lineRule="atLeast"/>
        <w:jc w:val="both"/>
        <w:rPr>
          <w:rFonts w:cs="ArialMT"/>
          <w:bCs/>
          <w:sz w:val="22"/>
          <w:szCs w:val="22"/>
          <w:lang w:val="en-GB"/>
        </w:rPr>
      </w:pPr>
      <w:r w:rsidRPr="00682784">
        <w:rPr>
          <w:rFonts w:cs="ArialMT"/>
          <w:bCs/>
          <w:sz w:val="22"/>
          <w:szCs w:val="22"/>
          <w:lang w:val="en-GB"/>
        </w:rPr>
        <w:t>The Audit Authority will coordinate its audit plans and methods with the European Commission and share with the EC the results of the audits carried out on management and control systems.</w:t>
      </w:r>
    </w:p>
    <w:p w:rsidR="0028075A" w:rsidRPr="00A409E3" w:rsidRDefault="0028075A" w:rsidP="003574FD">
      <w:pPr>
        <w:spacing w:before="240" w:after="120" w:line="21" w:lineRule="atLeast"/>
        <w:jc w:val="both"/>
        <w:rPr>
          <w:b/>
          <w:lang w:val="en-GB"/>
        </w:rPr>
      </w:pPr>
      <w:r w:rsidRPr="00A409E3">
        <w:rPr>
          <w:b/>
          <w:lang w:val="en-GB"/>
        </w:rPr>
        <w:t>Group of Auditors</w:t>
      </w:r>
    </w:p>
    <w:p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The group of auditors shall be set up within three months of the designation of the Managing Authority. It shall draw up its own rules of procedures. It will meet at least once per year and shall be chaired by the Audit Authority.</w:t>
      </w:r>
    </w:p>
    <w:p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The members of GoAs will be appointed by each country and will be independent from the other national bodies participating in the programme.</w:t>
      </w:r>
    </w:p>
    <w:p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The members of the GoA shall contribute to the following:</w:t>
      </w:r>
    </w:p>
    <w:p w:rsidR="0028075A" w:rsidRPr="00682784" w:rsidRDefault="0028075A" w:rsidP="003574FD">
      <w:pPr>
        <w:numPr>
          <w:ilvl w:val="0"/>
          <w:numId w:val="43"/>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The audit strategy, and further annual updates, that shall set out the audit methodology on the annual accounts and on projects, the sampling method for audits on projects and the planning of audits for the current accounting year and the two subsequent accounting years; </w:t>
      </w:r>
    </w:p>
    <w:p w:rsidR="0028075A" w:rsidRPr="00682784" w:rsidRDefault="0028075A" w:rsidP="003574FD">
      <w:pPr>
        <w:numPr>
          <w:ilvl w:val="0"/>
          <w:numId w:val="43"/>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The audit opinion on the annual accounts. This opinion shall establish whether the accounts give a true and fair view, the related transactions are legal and regular and the control systems are properly put in place and function. The opinion shall also state whether the audit work casts doubt on the assertions made in the management declaration referred to in the article 71 o</w:t>
      </w:r>
      <w:r w:rsidR="0034529A" w:rsidRPr="00682784">
        <w:rPr>
          <w:rFonts w:cs="ArialMT"/>
          <w:bCs/>
          <w:sz w:val="22"/>
          <w:szCs w:val="22"/>
          <w:lang w:val="en-GB"/>
        </w:rPr>
        <w:t>f the ENI-CBC Implementing Regulation</w:t>
      </w:r>
      <w:r w:rsidRPr="00682784">
        <w:rPr>
          <w:rFonts w:cs="ArialMT"/>
          <w:bCs/>
          <w:sz w:val="22"/>
          <w:szCs w:val="22"/>
          <w:lang w:val="en-GB"/>
        </w:rPr>
        <w:t>;</w:t>
      </w:r>
    </w:p>
    <w:p w:rsidR="0028075A" w:rsidRPr="00682784" w:rsidRDefault="0028075A" w:rsidP="003574FD">
      <w:pPr>
        <w:numPr>
          <w:ilvl w:val="0"/>
          <w:numId w:val="43"/>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The annual audit report providing a summary of controls carried out, including an analysis of the nature and extent of errors and weaknesses identified, both at system level and for projects, as well as the corrective actions taken or planned.</w:t>
      </w:r>
    </w:p>
    <w:p w:rsidR="003574FD" w:rsidRPr="00682784" w:rsidRDefault="003574FD" w:rsidP="003574FD">
      <w:pPr>
        <w:spacing w:line="21" w:lineRule="atLeast"/>
        <w:contextualSpacing/>
        <w:jc w:val="both"/>
        <w:rPr>
          <w:rFonts w:cs="ArialMT"/>
          <w:bCs/>
          <w:sz w:val="22"/>
          <w:szCs w:val="22"/>
          <w:lang w:val="en-GB"/>
        </w:rPr>
      </w:pPr>
    </w:p>
    <w:p w:rsidR="0028075A" w:rsidRPr="00682784" w:rsidRDefault="0028075A" w:rsidP="003574FD">
      <w:pPr>
        <w:spacing w:line="21" w:lineRule="atLeast"/>
        <w:contextualSpacing/>
        <w:jc w:val="both"/>
        <w:rPr>
          <w:rFonts w:cs="ArialMT"/>
          <w:bCs/>
          <w:sz w:val="22"/>
          <w:szCs w:val="22"/>
          <w:lang w:val="en-GB"/>
        </w:rPr>
      </w:pPr>
      <w:r w:rsidRPr="00682784">
        <w:rPr>
          <w:rFonts w:cs="ArialMT"/>
          <w:bCs/>
          <w:sz w:val="22"/>
          <w:szCs w:val="22"/>
          <w:lang w:val="en-GB"/>
        </w:rPr>
        <w:t>The institutions acting as members of the Group of Auditors in each country are:</w:t>
      </w:r>
    </w:p>
    <w:p w:rsidR="0028075A" w:rsidRPr="00682784" w:rsidRDefault="0028075A" w:rsidP="003574FD">
      <w:pPr>
        <w:spacing w:line="21" w:lineRule="atLeast"/>
        <w:ind w:left="714" w:hanging="357"/>
        <w:contextualSpacing/>
        <w:rPr>
          <w:rFonts w:cs="ArialMT"/>
          <w:bCs/>
          <w:sz w:val="22"/>
          <w:szCs w:val="22"/>
          <w:lang w:val="en-GB"/>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1781"/>
        <w:gridCol w:w="4093"/>
        <w:gridCol w:w="5149"/>
      </w:tblGrid>
      <w:tr w:rsidR="0028075A" w:rsidRPr="001368E0" w:rsidTr="000E316E">
        <w:tc>
          <w:tcPr>
            <w:tcW w:w="1781" w:type="dxa"/>
            <w:tcBorders>
              <w:top w:val="nil"/>
              <w:left w:val="nil"/>
              <w:bottom w:val="single" w:sz="4" w:space="0" w:color="8EAADB"/>
              <w:right w:val="nil"/>
            </w:tcBorders>
            <w:shd w:val="clear" w:color="auto" w:fill="FFFFFF"/>
            <w:vAlign w:val="center"/>
          </w:tcPr>
          <w:p w:rsidR="0028075A" w:rsidRPr="001368E0" w:rsidRDefault="0028075A" w:rsidP="003574FD">
            <w:pPr>
              <w:tabs>
                <w:tab w:val="num" w:pos="426"/>
                <w:tab w:val="num" w:pos="720"/>
              </w:tabs>
              <w:spacing w:after="0" w:line="21" w:lineRule="atLeast"/>
              <w:rPr>
                <w:rFonts w:eastAsia="Calibri"/>
                <w:b/>
                <w:bCs/>
                <w:iCs/>
                <w:color w:val="1F4E79"/>
                <w:sz w:val="22"/>
                <w:szCs w:val="22"/>
              </w:rPr>
            </w:pPr>
            <w:r w:rsidRPr="001368E0">
              <w:rPr>
                <w:rFonts w:eastAsia="Calibri"/>
                <w:b/>
                <w:bCs/>
                <w:iCs/>
                <w:color w:val="1F4E79"/>
                <w:sz w:val="22"/>
                <w:szCs w:val="22"/>
              </w:rPr>
              <w:t>Country</w:t>
            </w:r>
          </w:p>
        </w:tc>
        <w:tc>
          <w:tcPr>
            <w:tcW w:w="4093" w:type="dxa"/>
            <w:tcBorders>
              <w:top w:val="nil"/>
              <w:left w:val="nil"/>
              <w:right w:val="nil"/>
            </w:tcBorders>
            <w:shd w:val="clear" w:color="auto" w:fill="FFFFFF"/>
            <w:vAlign w:val="center"/>
          </w:tcPr>
          <w:p w:rsidR="0028075A" w:rsidRPr="001368E0" w:rsidRDefault="0028075A" w:rsidP="003574FD">
            <w:pPr>
              <w:tabs>
                <w:tab w:val="num" w:pos="426"/>
                <w:tab w:val="num" w:pos="720"/>
              </w:tabs>
              <w:spacing w:after="0" w:line="21" w:lineRule="atLeast"/>
              <w:jc w:val="center"/>
              <w:rPr>
                <w:rFonts w:eastAsia="Calibri"/>
                <w:b/>
                <w:bCs/>
                <w:color w:val="1F4E79"/>
                <w:sz w:val="22"/>
                <w:szCs w:val="22"/>
              </w:rPr>
            </w:pPr>
            <w:r w:rsidRPr="001368E0">
              <w:rPr>
                <w:rFonts w:eastAsia="Calibri"/>
                <w:b/>
                <w:bCs/>
                <w:color w:val="1F4E79"/>
                <w:sz w:val="22"/>
                <w:szCs w:val="22"/>
              </w:rPr>
              <w:t>Institution</w:t>
            </w:r>
          </w:p>
        </w:tc>
        <w:tc>
          <w:tcPr>
            <w:tcW w:w="5149" w:type="dxa"/>
            <w:tcBorders>
              <w:top w:val="nil"/>
              <w:left w:val="nil"/>
              <w:right w:val="nil"/>
            </w:tcBorders>
            <w:shd w:val="clear" w:color="auto" w:fill="FFFFFF"/>
            <w:vAlign w:val="center"/>
          </w:tcPr>
          <w:p w:rsidR="0028075A" w:rsidRPr="001368E0" w:rsidRDefault="0028075A" w:rsidP="003574FD">
            <w:pPr>
              <w:tabs>
                <w:tab w:val="num" w:pos="426"/>
                <w:tab w:val="num" w:pos="720"/>
              </w:tabs>
              <w:spacing w:after="0" w:line="21" w:lineRule="atLeast"/>
              <w:jc w:val="center"/>
              <w:rPr>
                <w:rFonts w:eastAsia="Calibri"/>
                <w:b/>
                <w:bCs/>
                <w:color w:val="1F4E79"/>
                <w:sz w:val="22"/>
                <w:szCs w:val="22"/>
              </w:rPr>
            </w:pPr>
            <w:r w:rsidRPr="001368E0">
              <w:rPr>
                <w:rFonts w:eastAsia="Calibri"/>
                <w:b/>
                <w:bCs/>
                <w:color w:val="1F4E79"/>
                <w:sz w:val="22"/>
                <w:szCs w:val="22"/>
              </w:rPr>
              <w:t>Department</w:t>
            </w:r>
          </w:p>
        </w:tc>
      </w:tr>
      <w:tr w:rsidR="0028075A" w:rsidRPr="001368E0" w:rsidTr="000E316E">
        <w:tc>
          <w:tcPr>
            <w:tcW w:w="1781" w:type="dxa"/>
            <w:tcBorders>
              <w:top w:val="nil"/>
              <w:left w:val="nil"/>
              <w:bottom w:val="nil"/>
            </w:tcBorders>
            <w:shd w:val="clear" w:color="auto" w:fill="FFFFFF"/>
            <w:vAlign w:val="center"/>
          </w:tcPr>
          <w:p w:rsidR="0028075A" w:rsidRPr="001368E0" w:rsidRDefault="0028075A" w:rsidP="003574FD">
            <w:pPr>
              <w:tabs>
                <w:tab w:val="num" w:pos="426"/>
                <w:tab w:val="num" w:pos="720"/>
              </w:tabs>
              <w:spacing w:before="40" w:after="40" w:line="21" w:lineRule="atLeast"/>
              <w:rPr>
                <w:rFonts w:eastAsia="Calibri"/>
                <w:b/>
                <w:bCs/>
                <w:iCs/>
                <w:color w:val="2F5496"/>
                <w:sz w:val="22"/>
                <w:szCs w:val="22"/>
              </w:rPr>
            </w:pPr>
            <w:r w:rsidRPr="001368E0">
              <w:rPr>
                <w:rFonts w:eastAsia="Calibri"/>
                <w:b/>
                <w:bCs/>
                <w:iCs/>
                <w:color w:val="2F5496"/>
                <w:sz w:val="22"/>
                <w:szCs w:val="22"/>
              </w:rPr>
              <w:t>Armenia</w:t>
            </w:r>
          </w:p>
        </w:tc>
        <w:tc>
          <w:tcPr>
            <w:tcW w:w="4093" w:type="dxa"/>
            <w:shd w:val="clear" w:color="auto" w:fill="D9E2F3"/>
            <w:vAlign w:val="center"/>
          </w:tcPr>
          <w:p w:rsidR="0028075A" w:rsidRPr="001368E0" w:rsidRDefault="0028075A" w:rsidP="003574FD">
            <w:pPr>
              <w:tabs>
                <w:tab w:val="num" w:pos="426"/>
                <w:tab w:val="num" w:pos="720"/>
              </w:tabs>
              <w:spacing w:before="40" w:after="40" w:line="21" w:lineRule="atLeast"/>
              <w:rPr>
                <w:rFonts w:eastAsia="Calibri"/>
                <w:color w:val="2F5496"/>
                <w:sz w:val="22"/>
                <w:szCs w:val="22"/>
                <w:lang w:val="en-GB"/>
              </w:rPr>
            </w:pPr>
            <w:r w:rsidRPr="001368E0">
              <w:rPr>
                <w:rFonts w:eastAsia="Calibri"/>
                <w:color w:val="2F5496"/>
                <w:sz w:val="22"/>
                <w:szCs w:val="22"/>
                <w:lang w:val="en-GB"/>
              </w:rPr>
              <w:t>Chamber of Control of RA</w:t>
            </w:r>
          </w:p>
        </w:tc>
        <w:tc>
          <w:tcPr>
            <w:tcW w:w="5149" w:type="dxa"/>
            <w:shd w:val="clear" w:color="auto" w:fill="D9E2F3"/>
            <w:vAlign w:val="center"/>
          </w:tcPr>
          <w:p w:rsidR="0028075A" w:rsidRPr="001368E0" w:rsidRDefault="0028075A" w:rsidP="003574FD">
            <w:pPr>
              <w:tabs>
                <w:tab w:val="num" w:pos="426"/>
                <w:tab w:val="num" w:pos="720"/>
              </w:tabs>
              <w:spacing w:before="40" w:after="40" w:line="21" w:lineRule="atLeast"/>
              <w:rPr>
                <w:rFonts w:eastAsia="Calibri"/>
                <w:color w:val="2F5496"/>
                <w:sz w:val="22"/>
                <w:szCs w:val="22"/>
                <w:lang w:val="en-GB"/>
              </w:rPr>
            </w:pPr>
            <w:r w:rsidRPr="001368E0">
              <w:rPr>
                <w:rFonts w:eastAsia="Calibri"/>
                <w:color w:val="2F5496"/>
                <w:sz w:val="22"/>
                <w:szCs w:val="22"/>
                <w:lang w:val="en-GB"/>
              </w:rPr>
              <w:t>Methodology and International Affairs Department</w:t>
            </w:r>
          </w:p>
        </w:tc>
      </w:tr>
      <w:tr w:rsidR="0028075A" w:rsidRPr="001368E0" w:rsidTr="000E316E">
        <w:tc>
          <w:tcPr>
            <w:tcW w:w="1781" w:type="dxa"/>
            <w:tcBorders>
              <w:left w:val="nil"/>
              <w:bottom w:val="nil"/>
            </w:tcBorders>
            <w:shd w:val="clear" w:color="auto" w:fill="FFFFFF"/>
            <w:vAlign w:val="center"/>
          </w:tcPr>
          <w:p w:rsidR="0028075A" w:rsidRPr="001368E0" w:rsidRDefault="0028075A" w:rsidP="003574FD">
            <w:pPr>
              <w:tabs>
                <w:tab w:val="num" w:pos="426"/>
                <w:tab w:val="num" w:pos="720"/>
              </w:tabs>
              <w:spacing w:before="40" w:after="40" w:line="21" w:lineRule="atLeast"/>
              <w:rPr>
                <w:rFonts w:eastAsia="Calibri"/>
                <w:b/>
                <w:bCs/>
                <w:iCs/>
                <w:color w:val="2F5496"/>
                <w:sz w:val="22"/>
                <w:szCs w:val="22"/>
              </w:rPr>
            </w:pPr>
            <w:r w:rsidRPr="001368E0">
              <w:rPr>
                <w:rFonts w:eastAsia="Calibri"/>
                <w:b/>
                <w:bCs/>
                <w:iCs/>
                <w:color w:val="2F5496"/>
                <w:sz w:val="22"/>
                <w:szCs w:val="22"/>
              </w:rPr>
              <w:t>Azerbaijan</w:t>
            </w:r>
          </w:p>
        </w:tc>
        <w:tc>
          <w:tcPr>
            <w:tcW w:w="4093" w:type="dxa"/>
            <w:shd w:val="clear" w:color="auto" w:fill="auto"/>
            <w:vAlign w:val="center"/>
          </w:tcPr>
          <w:p w:rsidR="0028075A" w:rsidRPr="001368E0" w:rsidRDefault="0028075A" w:rsidP="003574FD">
            <w:pPr>
              <w:tabs>
                <w:tab w:val="num" w:pos="426"/>
                <w:tab w:val="num" w:pos="720"/>
              </w:tabs>
              <w:spacing w:before="40" w:after="40" w:line="21" w:lineRule="atLeast"/>
              <w:rPr>
                <w:rFonts w:eastAsia="Calibri"/>
                <w:color w:val="2F5496"/>
                <w:sz w:val="22"/>
                <w:szCs w:val="22"/>
              </w:rPr>
            </w:pPr>
          </w:p>
        </w:tc>
        <w:tc>
          <w:tcPr>
            <w:tcW w:w="5149" w:type="dxa"/>
            <w:vAlign w:val="center"/>
          </w:tcPr>
          <w:p w:rsidR="0028075A" w:rsidRPr="001368E0" w:rsidRDefault="0028075A" w:rsidP="003574FD">
            <w:pPr>
              <w:tabs>
                <w:tab w:val="num" w:pos="426"/>
                <w:tab w:val="num" w:pos="720"/>
              </w:tabs>
              <w:spacing w:before="40" w:after="40" w:line="21" w:lineRule="atLeast"/>
              <w:rPr>
                <w:rFonts w:eastAsia="Calibri"/>
                <w:color w:val="2F5496"/>
                <w:sz w:val="22"/>
                <w:szCs w:val="22"/>
              </w:rPr>
            </w:pPr>
          </w:p>
        </w:tc>
      </w:tr>
      <w:tr w:rsidR="0028075A" w:rsidRPr="001368E0" w:rsidTr="000E316E">
        <w:tc>
          <w:tcPr>
            <w:tcW w:w="1781" w:type="dxa"/>
            <w:tcBorders>
              <w:left w:val="nil"/>
              <w:bottom w:val="nil"/>
            </w:tcBorders>
            <w:shd w:val="clear" w:color="auto" w:fill="FFFFFF"/>
            <w:vAlign w:val="center"/>
          </w:tcPr>
          <w:p w:rsidR="0028075A" w:rsidRPr="001368E0" w:rsidRDefault="0028075A" w:rsidP="003574FD">
            <w:pPr>
              <w:tabs>
                <w:tab w:val="num" w:pos="426"/>
                <w:tab w:val="num" w:pos="720"/>
              </w:tabs>
              <w:spacing w:before="40" w:after="40" w:line="21" w:lineRule="atLeast"/>
              <w:rPr>
                <w:rFonts w:eastAsia="Calibri"/>
                <w:b/>
                <w:bCs/>
                <w:iCs/>
                <w:color w:val="2F5496"/>
                <w:sz w:val="22"/>
                <w:szCs w:val="22"/>
              </w:rPr>
            </w:pPr>
            <w:r w:rsidRPr="001368E0">
              <w:rPr>
                <w:rFonts w:eastAsia="Calibri"/>
                <w:b/>
                <w:bCs/>
                <w:iCs/>
                <w:color w:val="2F5496"/>
                <w:sz w:val="22"/>
                <w:szCs w:val="22"/>
              </w:rPr>
              <w:t>Bulgaria</w:t>
            </w:r>
          </w:p>
        </w:tc>
        <w:tc>
          <w:tcPr>
            <w:tcW w:w="4093" w:type="dxa"/>
            <w:shd w:val="clear" w:color="auto" w:fill="D9E2F3"/>
            <w:vAlign w:val="center"/>
          </w:tcPr>
          <w:p w:rsidR="0028075A" w:rsidRPr="001368E0" w:rsidRDefault="0028075A" w:rsidP="003574FD">
            <w:pPr>
              <w:tabs>
                <w:tab w:val="num" w:pos="426"/>
                <w:tab w:val="num" w:pos="720"/>
              </w:tabs>
              <w:spacing w:before="40" w:after="40" w:line="21" w:lineRule="atLeast"/>
              <w:rPr>
                <w:rFonts w:eastAsia="Calibri"/>
                <w:bCs/>
                <w:iCs/>
                <w:color w:val="2F5496"/>
                <w:sz w:val="22"/>
                <w:szCs w:val="22"/>
                <w:lang w:val="en-GB"/>
              </w:rPr>
            </w:pPr>
            <w:r w:rsidRPr="001368E0">
              <w:rPr>
                <w:rFonts w:eastAsia="Calibri"/>
                <w:bCs/>
                <w:iCs/>
                <w:color w:val="2F5496"/>
                <w:sz w:val="22"/>
                <w:szCs w:val="22"/>
                <w:lang w:val="en-GB"/>
              </w:rPr>
              <w:t>Audit of European Union Funds, Executive Agency to the Minister of Finance of the Republic of Bulgaria</w:t>
            </w:r>
          </w:p>
        </w:tc>
        <w:tc>
          <w:tcPr>
            <w:tcW w:w="5149" w:type="dxa"/>
            <w:shd w:val="clear" w:color="auto" w:fill="D9E2F3"/>
            <w:vAlign w:val="center"/>
          </w:tcPr>
          <w:p w:rsidR="0028075A" w:rsidRPr="001368E0" w:rsidRDefault="0028075A" w:rsidP="003574FD">
            <w:pPr>
              <w:tabs>
                <w:tab w:val="num" w:pos="426"/>
                <w:tab w:val="num" w:pos="720"/>
              </w:tabs>
              <w:spacing w:before="40" w:after="40" w:line="21" w:lineRule="atLeast"/>
              <w:rPr>
                <w:rFonts w:eastAsia="Calibri"/>
                <w:bCs/>
                <w:iCs/>
                <w:color w:val="2F5496"/>
                <w:sz w:val="22"/>
                <w:szCs w:val="22"/>
                <w:lang w:val="en-GB"/>
              </w:rPr>
            </w:pPr>
          </w:p>
        </w:tc>
      </w:tr>
      <w:tr w:rsidR="0028075A" w:rsidRPr="001368E0" w:rsidTr="000E316E">
        <w:tc>
          <w:tcPr>
            <w:tcW w:w="1781" w:type="dxa"/>
            <w:tcBorders>
              <w:left w:val="nil"/>
              <w:bottom w:val="nil"/>
            </w:tcBorders>
            <w:shd w:val="clear" w:color="auto" w:fill="FFFFFF"/>
            <w:vAlign w:val="center"/>
          </w:tcPr>
          <w:p w:rsidR="0028075A" w:rsidRPr="001368E0" w:rsidRDefault="0028075A" w:rsidP="003574FD">
            <w:pPr>
              <w:tabs>
                <w:tab w:val="num" w:pos="426"/>
                <w:tab w:val="num" w:pos="720"/>
              </w:tabs>
              <w:spacing w:before="40" w:after="40" w:line="21" w:lineRule="atLeast"/>
              <w:rPr>
                <w:rFonts w:eastAsia="Calibri"/>
                <w:b/>
                <w:bCs/>
                <w:iCs/>
                <w:color w:val="2F5496"/>
                <w:sz w:val="22"/>
                <w:szCs w:val="22"/>
              </w:rPr>
            </w:pPr>
            <w:r w:rsidRPr="001368E0">
              <w:rPr>
                <w:rFonts w:eastAsia="Calibri"/>
                <w:b/>
                <w:bCs/>
                <w:iCs/>
                <w:color w:val="2F5496"/>
                <w:sz w:val="22"/>
                <w:szCs w:val="22"/>
              </w:rPr>
              <w:t>Georgia</w:t>
            </w:r>
          </w:p>
        </w:tc>
        <w:tc>
          <w:tcPr>
            <w:tcW w:w="4093" w:type="dxa"/>
            <w:shd w:val="clear" w:color="auto" w:fill="auto"/>
            <w:vAlign w:val="center"/>
          </w:tcPr>
          <w:p w:rsidR="0028075A" w:rsidRPr="001368E0" w:rsidRDefault="0028075A" w:rsidP="003574FD">
            <w:pPr>
              <w:tabs>
                <w:tab w:val="num" w:pos="426"/>
                <w:tab w:val="num" w:pos="720"/>
              </w:tabs>
              <w:spacing w:before="40" w:after="40" w:line="21" w:lineRule="atLeast"/>
              <w:rPr>
                <w:rFonts w:eastAsia="Calibri"/>
                <w:bCs/>
                <w:iCs/>
                <w:color w:val="2F5496"/>
                <w:sz w:val="22"/>
                <w:szCs w:val="22"/>
                <w:lang w:val="en-GB"/>
              </w:rPr>
            </w:pPr>
            <w:r w:rsidRPr="001368E0">
              <w:rPr>
                <w:rFonts w:eastAsia="Calibri"/>
                <w:bCs/>
                <w:iCs/>
                <w:color w:val="2F5496"/>
                <w:sz w:val="22"/>
                <w:szCs w:val="22"/>
                <w:lang w:val="en-GB"/>
              </w:rPr>
              <w:t>State Audit Office of Georgia</w:t>
            </w:r>
          </w:p>
        </w:tc>
        <w:tc>
          <w:tcPr>
            <w:tcW w:w="5149" w:type="dxa"/>
            <w:vAlign w:val="center"/>
          </w:tcPr>
          <w:p w:rsidR="0028075A" w:rsidRPr="001368E0" w:rsidRDefault="0028075A" w:rsidP="003574FD">
            <w:pPr>
              <w:tabs>
                <w:tab w:val="num" w:pos="426"/>
                <w:tab w:val="num" w:pos="720"/>
              </w:tabs>
              <w:spacing w:before="40" w:after="40" w:line="21" w:lineRule="atLeast"/>
              <w:rPr>
                <w:rFonts w:eastAsia="Calibri"/>
                <w:bCs/>
                <w:iCs/>
                <w:color w:val="2F5496"/>
                <w:sz w:val="22"/>
                <w:szCs w:val="22"/>
              </w:rPr>
            </w:pPr>
            <w:r w:rsidRPr="001368E0">
              <w:rPr>
                <w:rFonts w:eastAsia="Calibri"/>
                <w:bCs/>
                <w:iCs/>
                <w:color w:val="2F5496"/>
                <w:sz w:val="22"/>
                <w:szCs w:val="22"/>
              </w:rPr>
              <w:t>Quality Assurance Department</w:t>
            </w:r>
          </w:p>
        </w:tc>
      </w:tr>
      <w:tr w:rsidR="0028075A" w:rsidRPr="001368E0" w:rsidTr="000E316E">
        <w:tc>
          <w:tcPr>
            <w:tcW w:w="1781" w:type="dxa"/>
            <w:tcBorders>
              <w:left w:val="nil"/>
              <w:bottom w:val="nil"/>
            </w:tcBorders>
            <w:shd w:val="clear" w:color="auto" w:fill="FFFFFF"/>
            <w:vAlign w:val="center"/>
          </w:tcPr>
          <w:p w:rsidR="0028075A" w:rsidRPr="001368E0" w:rsidRDefault="0028075A" w:rsidP="003574FD">
            <w:pPr>
              <w:tabs>
                <w:tab w:val="num" w:pos="426"/>
                <w:tab w:val="num" w:pos="720"/>
              </w:tabs>
              <w:spacing w:before="40" w:after="40" w:line="21" w:lineRule="atLeast"/>
              <w:rPr>
                <w:rFonts w:eastAsia="Calibri"/>
                <w:b/>
                <w:bCs/>
                <w:iCs/>
                <w:color w:val="2F5496"/>
                <w:sz w:val="22"/>
                <w:szCs w:val="22"/>
              </w:rPr>
            </w:pPr>
            <w:r w:rsidRPr="001368E0">
              <w:rPr>
                <w:rFonts w:eastAsia="Calibri"/>
                <w:b/>
                <w:bCs/>
                <w:iCs/>
                <w:color w:val="2F5496"/>
                <w:sz w:val="22"/>
                <w:szCs w:val="22"/>
              </w:rPr>
              <w:t>Greece</w:t>
            </w:r>
          </w:p>
        </w:tc>
        <w:tc>
          <w:tcPr>
            <w:tcW w:w="4093" w:type="dxa"/>
            <w:shd w:val="clear" w:color="auto" w:fill="D9E2F3"/>
            <w:vAlign w:val="center"/>
          </w:tcPr>
          <w:p w:rsidR="0028075A" w:rsidRPr="001368E0" w:rsidRDefault="0028075A" w:rsidP="003574FD">
            <w:pPr>
              <w:tabs>
                <w:tab w:val="num" w:pos="426"/>
                <w:tab w:val="num" w:pos="720"/>
              </w:tabs>
              <w:spacing w:before="40" w:after="40" w:line="21" w:lineRule="atLeast"/>
              <w:rPr>
                <w:rFonts w:eastAsia="Calibri"/>
                <w:bCs/>
                <w:iCs/>
                <w:color w:val="2F5496"/>
                <w:sz w:val="22"/>
                <w:szCs w:val="22"/>
                <w:lang w:val="en-GB"/>
              </w:rPr>
            </w:pPr>
            <w:r w:rsidRPr="001368E0">
              <w:rPr>
                <w:rFonts w:eastAsia="Calibri"/>
                <w:bCs/>
                <w:iCs/>
                <w:color w:val="2F5496"/>
                <w:sz w:val="22"/>
                <w:szCs w:val="22"/>
                <w:lang w:val="en-GB"/>
              </w:rPr>
              <w:t>Greek  Audit Authority: Edel (Financial Audit  Committee) –Ministry  Of Finance</w:t>
            </w:r>
          </w:p>
        </w:tc>
        <w:tc>
          <w:tcPr>
            <w:tcW w:w="5149" w:type="dxa"/>
            <w:shd w:val="clear" w:color="auto" w:fill="D9E2F3"/>
            <w:vAlign w:val="center"/>
          </w:tcPr>
          <w:p w:rsidR="0028075A" w:rsidRPr="001368E0" w:rsidRDefault="0028075A" w:rsidP="003574FD">
            <w:pPr>
              <w:spacing w:before="40" w:after="40" w:line="21" w:lineRule="atLeast"/>
              <w:rPr>
                <w:rFonts w:eastAsia="Calibri"/>
                <w:bCs/>
                <w:iCs/>
                <w:color w:val="2F5496"/>
                <w:sz w:val="22"/>
                <w:szCs w:val="22"/>
                <w:lang w:val="en-GB"/>
              </w:rPr>
            </w:pPr>
            <w:r w:rsidRPr="001368E0">
              <w:rPr>
                <w:rFonts w:eastAsia="Calibri"/>
                <w:bCs/>
                <w:iCs/>
                <w:color w:val="2F5496"/>
                <w:sz w:val="22"/>
                <w:szCs w:val="22"/>
                <w:lang w:val="en-GB"/>
              </w:rPr>
              <w:t>Planning and Evaluation Directorate (D52)-Unit C</w:t>
            </w:r>
          </w:p>
          <w:p w:rsidR="0028075A" w:rsidRPr="001368E0" w:rsidRDefault="0028075A" w:rsidP="003574FD">
            <w:pPr>
              <w:spacing w:before="40" w:after="40" w:line="21" w:lineRule="atLeast"/>
              <w:rPr>
                <w:rFonts w:eastAsia="Calibri"/>
                <w:bCs/>
                <w:iCs/>
                <w:color w:val="2F5496"/>
                <w:sz w:val="22"/>
                <w:szCs w:val="22"/>
                <w:lang w:val="en-GB"/>
              </w:rPr>
            </w:pPr>
            <w:r w:rsidRPr="001368E0">
              <w:rPr>
                <w:rFonts w:eastAsia="Calibri"/>
                <w:bCs/>
                <w:iCs/>
                <w:color w:val="2F5496"/>
                <w:sz w:val="22"/>
                <w:szCs w:val="22"/>
                <w:lang w:val="en-GB"/>
              </w:rPr>
              <w:t>Planning and Audits Directorate (D56)-Unit C</w:t>
            </w:r>
          </w:p>
        </w:tc>
      </w:tr>
      <w:tr w:rsidR="0028075A" w:rsidRPr="001368E0" w:rsidTr="000E316E">
        <w:tc>
          <w:tcPr>
            <w:tcW w:w="1781" w:type="dxa"/>
            <w:tcBorders>
              <w:left w:val="nil"/>
              <w:bottom w:val="nil"/>
            </w:tcBorders>
            <w:shd w:val="clear" w:color="auto" w:fill="FFFFFF"/>
            <w:vAlign w:val="center"/>
          </w:tcPr>
          <w:p w:rsidR="0028075A" w:rsidRPr="001368E0" w:rsidRDefault="0028075A" w:rsidP="003574FD">
            <w:pPr>
              <w:tabs>
                <w:tab w:val="num" w:pos="426"/>
                <w:tab w:val="num" w:pos="720"/>
              </w:tabs>
              <w:spacing w:before="40" w:after="40" w:line="21" w:lineRule="atLeast"/>
              <w:rPr>
                <w:rFonts w:eastAsia="Calibri"/>
                <w:b/>
                <w:bCs/>
                <w:iCs/>
                <w:color w:val="2F5496"/>
                <w:sz w:val="22"/>
                <w:szCs w:val="22"/>
              </w:rPr>
            </w:pPr>
            <w:r w:rsidRPr="001368E0">
              <w:rPr>
                <w:rFonts w:eastAsia="Calibri"/>
                <w:b/>
                <w:bCs/>
                <w:iCs/>
                <w:color w:val="2F5496"/>
                <w:sz w:val="22"/>
                <w:szCs w:val="22"/>
              </w:rPr>
              <w:t>Republic of Moldova</w:t>
            </w:r>
          </w:p>
        </w:tc>
        <w:tc>
          <w:tcPr>
            <w:tcW w:w="4093" w:type="dxa"/>
            <w:shd w:val="clear" w:color="auto" w:fill="auto"/>
            <w:vAlign w:val="center"/>
          </w:tcPr>
          <w:p w:rsidR="0028075A" w:rsidRPr="001368E0" w:rsidRDefault="0028075A" w:rsidP="003574FD">
            <w:pPr>
              <w:tabs>
                <w:tab w:val="num" w:pos="426"/>
                <w:tab w:val="num" w:pos="720"/>
              </w:tabs>
              <w:spacing w:before="40" w:after="40" w:line="21" w:lineRule="atLeast"/>
              <w:rPr>
                <w:rFonts w:eastAsia="Calibri"/>
                <w:bCs/>
                <w:iCs/>
                <w:color w:val="2F5496"/>
                <w:sz w:val="22"/>
                <w:szCs w:val="22"/>
                <w:lang w:val="en-GB"/>
              </w:rPr>
            </w:pPr>
            <w:r w:rsidRPr="001368E0">
              <w:rPr>
                <w:rFonts w:eastAsia="Calibri"/>
                <w:bCs/>
                <w:iCs/>
                <w:color w:val="2F5496"/>
                <w:sz w:val="22"/>
                <w:szCs w:val="22"/>
                <w:lang w:val="en-GB"/>
              </w:rPr>
              <w:t xml:space="preserve">Court of Accounts of the Republic of Moldova </w:t>
            </w:r>
          </w:p>
        </w:tc>
        <w:tc>
          <w:tcPr>
            <w:tcW w:w="5149" w:type="dxa"/>
            <w:vAlign w:val="center"/>
          </w:tcPr>
          <w:p w:rsidR="0028075A" w:rsidRPr="001368E0" w:rsidRDefault="0028075A" w:rsidP="003574FD">
            <w:pPr>
              <w:tabs>
                <w:tab w:val="num" w:pos="426"/>
                <w:tab w:val="num" w:pos="720"/>
              </w:tabs>
              <w:spacing w:before="40" w:after="40" w:line="21" w:lineRule="atLeast"/>
              <w:rPr>
                <w:rFonts w:eastAsia="Calibri"/>
                <w:bCs/>
                <w:iCs/>
                <w:color w:val="2F5496"/>
                <w:sz w:val="22"/>
                <w:szCs w:val="22"/>
                <w:lang w:val="en-GB"/>
              </w:rPr>
            </w:pPr>
            <w:r w:rsidRPr="001368E0">
              <w:rPr>
                <w:rFonts w:eastAsia="Calibri"/>
                <w:bCs/>
                <w:iCs/>
                <w:color w:val="2F5496"/>
                <w:sz w:val="22"/>
                <w:szCs w:val="22"/>
                <w:lang w:val="en-GB"/>
              </w:rPr>
              <w:t>Division Methodology, Analysis and Planning</w:t>
            </w:r>
          </w:p>
        </w:tc>
      </w:tr>
      <w:tr w:rsidR="0028075A" w:rsidRPr="001368E0" w:rsidTr="000E316E">
        <w:tc>
          <w:tcPr>
            <w:tcW w:w="1781" w:type="dxa"/>
            <w:tcBorders>
              <w:left w:val="nil"/>
              <w:bottom w:val="nil"/>
            </w:tcBorders>
            <w:shd w:val="clear" w:color="auto" w:fill="FFFFFF"/>
            <w:vAlign w:val="center"/>
          </w:tcPr>
          <w:p w:rsidR="0028075A" w:rsidRPr="001368E0" w:rsidRDefault="0028075A" w:rsidP="003574FD">
            <w:pPr>
              <w:tabs>
                <w:tab w:val="num" w:pos="426"/>
                <w:tab w:val="num" w:pos="720"/>
              </w:tabs>
              <w:spacing w:before="40" w:after="40" w:line="21" w:lineRule="atLeast"/>
              <w:rPr>
                <w:rFonts w:eastAsia="Calibri"/>
                <w:b/>
                <w:bCs/>
                <w:iCs/>
                <w:color w:val="2F5496"/>
                <w:sz w:val="22"/>
                <w:szCs w:val="22"/>
              </w:rPr>
            </w:pPr>
            <w:r w:rsidRPr="001368E0">
              <w:rPr>
                <w:rFonts w:eastAsia="Calibri"/>
                <w:b/>
                <w:bCs/>
                <w:iCs/>
                <w:color w:val="2F5496"/>
                <w:sz w:val="22"/>
                <w:szCs w:val="22"/>
              </w:rPr>
              <w:t>Romania</w:t>
            </w:r>
          </w:p>
        </w:tc>
        <w:tc>
          <w:tcPr>
            <w:tcW w:w="4093" w:type="dxa"/>
            <w:shd w:val="clear" w:color="auto" w:fill="D9E2F3"/>
            <w:vAlign w:val="center"/>
          </w:tcPr>
          <w:p w:rsidR="0028075A" w:rsidRPr="001368E0" w:rsidRDefault="00317406" w:rsidP="003574FD">
            <w:pPr>
              <w:tabs>
                <w:tab w:val="num" w:pos="426"/>
                <w:tab w:val="num" w:pos="720"/>
              </w:tabs>
              <w:spacing w:before="40" w:after="40" w:line="21" w:lineRule="atLeast"/>
              <w:rPr>
                <w:rFonts w:eastAsia="Calibri"/>
                <w:bCs/>
                <w:iCs/>
                <w:color w:val="2F5496"/>
                <w:sz w:val="22"/>
                <w:szCs w:val="22"/>
                <w:lang w:val="en-GB"/>
              </w:rPr>
            </w:pPr>
            <w:r w:rsidRPr="001368E0">
              <w:rPr>
                <w:rFonts w:eastAsia="Calibri"/>
                <w:bCs/>
                <w:iCs/>
                <w:color w:val="2F5496"/>
                <w:sz w:val="22"/>
                <w:szCs w:val="22"/>
                <w:lang w:val="en-GB"/>
              </w:rPr>
              <w:t>Romanian Court of Accounts - Audit Authority</w:t>
            </w:r>
          </w:p>
        </w:tc>
        <w:tc>
          <w:tcPr>
            <w:tcW w:w="5149" w:type="dxa"/>
            <w:shd w:val="clear" w:color="auto" w:fill="D9E2F3"/>
            <w:vAlign w:val="center"/>
          </w:tcPr>
          <w:p w:rsidR="0028075A" w:rsidRPr="001368E0" w:rsidRDefault="00317406" w:rsidP="003574FD">
            <w:pPr>
              <w:tabs>
                <w:tab w:val="num" w:pos="426"/>
                <w:tab w:val="num" w:pos="720"/>
              </w:tabs>
              <w:spacing w:before="40" w:after="40" w:line="21" w:lineRule="atLeast"/>
              <w:rPr>
                <w:rFonts w:eastAsia="Calibri"/>
                <w:bCs/>
                <w:iCs/>
                <w:color w:val="2F5496"/>
                <w:sz w:val="22"/>
                <w:szCs w:val="22"/>
              </w:rPr>
            </w:pPr>
            <w:r w:rsidRPr="001368E0">
              <w:rPr>
                <w:rFonts w:eastAsia="Calibri"/>
                <w:bCs/>
                <w:iCs/>
                <w:color w:val="2F5496"/>
                <w:sz w:val="22"/>
                <w:szCs w:val="22"/>
              </w:rPr>
              <w:t>Audit Directorate for ERDF</w:t>
            </w:r>
          </w:p>
        </w:tc>
      </w:tr>
      <w:tr w:rsidR="0028075A" w:rsidRPr="001368E0" w:rsidTr="000E316E">
        <w:tc>
          <w:tcPr>
            <w:tcW w:w="1781" w:type="dxa"/>
            <w:tcBorders>
              <w:left w:val="nil"/>
              <w:bottom w:val="nil"/>
            </w:tcBorders>
            <w:shd w:val="clear" w:color="auto" w:fill="FFFFFF"/>
            <w:vAlign w:val="center"/>
          </w:tcPr>
          <w:p w:rsidR="0028075A" w:rsidRPr="001368E0" w:rsidRDefault="0028075A" w:rsidP="003574FD">
            <w:pPr>
              <w:tabs>
                <w:tab w:val="num" w:pos="426"/>
                <w:tab w:val="num" w:pos="720"/>
              </w:tabs>
              <w:spacing w:before="40" w:after="40" w:line="21" w:lineRule="atLeast"/>
              <w:rPr>
                <w:rFonts w:eastAsia="Calibri"/>
                <w:b/>
                <w:bCs/>
                <w:iCs/>
                <w:color w:val="2F5496"/>
                <w:sz w:val="22"/>
                <w:szCs w:val="22"/>
              </w:rPr>
            </w:pPr>
            <w:r w:rsidRPr="001368E0">
              <w:rPr>
                <w:rFonts w:eastAsia="Calibri"/>
                <w:b/>
                <w:bCs/>
                <w:iCs/>
                <w:color w:val="2F5496"/>
                <w:sz w:val="22"/>
                <w:szCs w:val="22"/>
              </w:rPr>
              <w:t>Turkey</w:t>
            </w:r>
          </w:p>
        </w:tc>
        <w:tc>
          <w:tcPr>
            <w:tcW w:w="4093" w:type="dxa"/>
            <w:shd w:val="clear" w:color="auto" w:fill="auto"/>
            <w:vAlign w:val="center"/>
          </w:tcPr>
          <w:p w:rsidR="0028075A" w:rsidRPr="001368E0" w:rsidRDefault="0028075A" w:rsidP="003574FD">
            <w:pPr>
              <w:tabs>
                <w:tab w:val="num" w:pos="426"/>
                <w:tab w:val="num" w:pos="720"/>
              </w:tabs>
              <w:spacing w:before="40" w:after="40" w:line="21" w:lineRule="atLeast"/>
              <w:rPr>
                <w:rFonts w:eastAsia="Calibri"/>
                <w:bCs/>
                <w:iCs/>
                <w:color w:val="2F5496"/>
                <w:sz w:val="22"/>
                <w:szCs w:val="22"/>
                <w:lang w:val="en-GB"/>
              </w:rPr>
            </w:pPr>
            <w:r w:rsidRPr="001368E0">
              <w:rPr>
                <w:rFonts w:eastAsia="Calibri"/>
                <w:bCs/>
                <w:iCs/>
                <w:color w:val="2F5496"/>
                <w:sz w:val="22"/>
                <w:szCs w:val="22"/>
                <w:lang w:val="en-GB"/>
              </w:rPr>
              <w:t>Republic of Turkey Prime Ministry, Undersecretariat of Treasury</w:t>
            </w:r>
          </w:p>
        </w:tc>
        <w:tc>
          <w:tcPr>
            <w:tcW w:w="5149" w:type="dxa"/>
            <w:vAlign w:val="center"/>
          </w:tcPr>
          <w:p w:rsidR="0028075A" w:rsidRPr="001368E0" w:rsidRDefault="0028075A" w:rsidP="003574FD">
            <w:pPr>
              <w:tabs>
                <w:tab w:val="num" w:pos="426"/>
                <w:tab w:val="num" w:pos="720"/>
              </w:tabs>
              <w:spacing w:before="40" w:after="40" w:line="21" w:lineRule="atLeast"/>
              <w:rPr>
                <w:rFonts w:eastAsia="Calibri"/>
                <w:bCs/>
                <w:iCs/>
                <w:color w:val="2F5496"/>
                <w:sz w:val="22"/>
                <w:szCs w:val="22"/>
              </w:rPr>
            </w:pPr>
            <w:r w:rsidRPr="001368E0">
              <w:rPr>
                <w:rFonts w:eastAsia="Calibri"/>
                <w:bCs/>
                <w:iCs/>
                <w:color w:val="2F5496"/>
                <w:sz w:val="22"/>
                <w:szCs w:val="22"/>
              </w:rPr>
              <w:t>Board of Treasury Controllers</w:t>
            </w:r>
          </w:p>
        </w:tc>
      </w:tr>
      <w:tr w:rsidR="0028075A" w:rsidRPr="001368E0" w:rsidTr="000E316E">
        <w:tc>
          <w:tcPr>
            <w:tcW w:w="1781" w:type="dxa"/>
            <w:tcBorders>
              <w:left w:val="nil"/>
              <w:bottom w:val="nil"/>
            </w:tcBorders>
            <w:shd w:val="clear" w:color="auto" w:fill="FFFFFF"/>
            <w:vAlign w:val="center"/>
          </w:tcPr>
          <w:p w:rsidR="0028075A" w:rsidRPr="001368E0" w:rsidRDefault="0028075A" w:rsidP="003574FD">
            <w:pPr>
              <w:tabs>
                <w:tab w:val="num" w:pos="426"/>
                <w:tab w:val="num" w:pos="720"/>
              </w:tabs>
              <w:spacing w:before="40" w:after="40" w:line="21" w:lineRule="atLeast"/>
              <w:rPr>
                <w:rFonts w:eastAsia="Calibri"/>
                <w:b/>
                <w:bCs/>
                <w:iCs/>
                <w:color w:val="2F5496"/>
                <w:sz w:val="22"/>
                <w:szCs w:val="22"/>
              </w:rPr>
            </w:pPr>
            <w:r w:rsidRPr="001368E0">
              <w:rPr>
                <w:rFonts w:eastAsia="Calibri"/>
                <w:b/>
                <w:bCs/>
                <w:iCs/>
                <w:color w:val="2F5496"/>
                <w:sz w:val="22"/>
                <w:szCs w:val="22"/>
              </w:rPr>
              <w:t>Ukraine</w:t>
            </w:r>
          </w:p>
        </w:tc>
        <w:tc>
          <w:tcPr>
            <w:tcW w:w="4093" w:type="dxa"/>
            <w:shd w:val="clear" w:color="auto" w:fill="D9E2F3"/>
            <w:vAlign w:val="center"/>
          </w:tcPr>
          <w:p w:rsidR="0028075A" w:rsidRPr="001368E0" w:rsidRDefault="0028075A" w:rsidP="003574FD">
            <w:pPr>
              <w:tabs>
                <w:tab w:val="num" w:pos="426"/>
                <w:tab w:val="num" w:pos="720"/>
              </w:tabs>
              <w:spacing w:before="40" w:after="40" w:line="21" w:lineRule="atLeast"/>
              <w:rPr>
                <w:rFonts w:eastAsia="Calibri"/>
                <w:bCs/>
                <w:iCs/>
                <w:color w:val="2F5496"/>
                <w:sz w:val="22"/>
                <w:szCs w:val="22"/>
              </w:rPr>
            </w:pPr>
            <w:r w:rsidRPr="001368E0">
              <w:rPr>
                <w:rFonts w:eastAsia="Calibri"/>
                <w:bCs/>
                <w:iCs/>
                <w:color w:val="2F5496"/>
                <w:sz w:val="22"/>
                <w:szCs w:val="22"/>
              </w:rPr>
              <w:t>Accounting Chamber of Ukraine</w:t>
            </w:r>
          </w:p>
        </w:tc>
        <w:tc>
          <w:tcPr>
            <w:tcW w:w="5149" w:type="dxa"/>
            <w:shd w:val="clear" w:color="auto" w:fill="D9E2F3"/>
            <w:vAlign w:val="center"/>
          </w:tcPr>
          <w:p w:rsidR="0028075A" w:rsidRPr="001368E0" w:rsidRDefault="0028075A" w:rsidP="003574FD">
            <w:pPr>
              <w:tabs>
                <w:tab w:val="num" w:pos="426"/>
                <w:tab w:val="num" w:pos="720"/>
              </w:tabs>
              <w:spacing w:before="40" w:after="40" w:line="21" w:lineRule="atLeast"/>
              <w:rPr>
                <w:rFonts w:eastAsia="Calibri"/>
                <w:bCs/>
                <w:iCs/>
                <w:color w:val="2F5496"/>
                <w:sz w:val="22"/>
                <w:szCs w:val="22"/>
              </w:rPr>
            </w:pPr>
          </w:p>
        </w:tc>
      </w:tr>
    </w:tbl>
    <w:p w:rsidR="0028075A" w:rsidRPr="002B2C50" w:rsidRDefault="0028075A" w:rsidP="003574FD">
      <w:pPr>
        <w:tabs>
          <w:tab w:val="left" w:pos="284"/>
        </w:tabs>
        <w:spacing w:line="21" w:lineRule="atLeast"/>
        <w:ind w:left="284" w:hanging="284"/>
        <w:rPr>
          <w:rFonts w:cs="Arial"/>
          <w:b/>
          <w:bCs/>
          <w:iCs/>
          <w:color w:val="8DB3E2"/>
        </w:rPr>
      </w:pPr>
    </w:p>
    <w:p w:rsidR="0028075A" w:rsidRPr="002B2A70" w:rsidRDefault="0028075A" w:rsidP="003574FD">
      <w:pPr>
        <w:pStyle w:val="Heading3"/>
        <w:spacing w:before="240" w:after="240" w:line="21" w:lineRule="atLeast"/>
        <w:rPr>
          <w:b/>
          <w:sz w:val="28"/>
          <w:szCs w:val="28"/>
          <w:lang w:val="en-GB"/>
        </w:rPr>
      </w:pPr>
      <w:bookmarkStart w:id="92" w:name="_Toc288133459"/>
      <w:r w:rsidRPr="002B2A70">
        <w:rPr>
          <w:b/>
          <w:sz w:val="28"/>
          <w:szCs w:val="28"/>
          <w:lang w:val="en-GB"/>
        </w:rPr>
        <w:t>National Authorities (NAs)</w:t>
      </w:r>
      <w:bookmarkEnd w:id="92"/>
      <w:r w:rsidRPr="002B2A70">
        <w:rPr>
          <w:b/>
          <w:sz w:val="28"/>
          <w:szCs w:val="28"/>
          <w:lang w:val="en-GB"/>
        </w:rPr>
        <w:t xml:space="preserve"> </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In accordance with article 2 of the Implementing Rules, the National Authority is the entity appointed by each participating country bearing the ultimate responsibility for supporting the Management Authority in the implementation of the programme in its own territory. </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In accordance with article 31 of the Implementing Rules, each National Authority shall, </w:t>
      </w:r>
      <w:r w:rsidRPr="00682784">
        <w:rPr>
          <w:rFonts w:cs="ArialMT"/>
          <w:bCs/>
          <w:i/>
          <w:iCs/>
          <w:sz w:val="22"/>
          <w:szCs w:val="22"/>
          <w:lang w:val="en-GB"/>
        </w:rPr>
        <w:t>inter allia</w:t>
      </w:r>
      <w:r w:rsidRPr="00682784">
        <w:rPr>
          <w:rFonts w:cs="ArialMT"/>
          <w:bCs/>
          <w:sz w:val="22"/>
          <w:szCs w:val="22"/>
          <w:lang w:val="en-GB"/>
        </w:rPr>
        <w:t>:</w:t>
      </w:r>
    </w:p>
    <w:p w:rsidR="0028075A" w:rsidRPr="00682784" w:rsidRDefault="0028075A" w:rsidP="003574FD">
      <w:pPr>
        <w:numPr>
          <w:ilvl w:val="0"/>
          <w:numId w:val="50"/>
        </w:numPr>
        <w:spacing w:before="200" w:after="0" w:line="21" w:lineRule="atLeast"/>
        <w:contextualSpacing/>
        <w:jc w:val="both"/>
        <w:rPr>
          <w:rFonts w:cs="ArialMT"/>
          <w:bCs/>
          <w:sz w:val="22"/>
          <w:szCs w:val="22"/>
          <w:lang w:val="en-GB"/>
        </w:rPr>
      </w:pPr>
      <w:r w:rsidRPr="00682784">
        <w:rPr>
          <w:rFonts w:cs="ArialMT"/>
          <w:bCs/>
          <w:sz w:val="22"/>
          <w:szCs w:val="22"/>
          <w:lang w:val="en-GB"/>
        </w:rPr>
        <w:t>be responsible for the set up and effective functioning of management and control systems at national level;</w:t>
      </w:r>
    </w:p>
    <w:p w:rsidR="0028075A" w:rsidRPr="00682784" w:rsidRDefault="0028075A" w:rsidP="003574FD">
      <w:pPr>
        <w:numPr>
          <w:ilvl w:val="0"/>
          <w:numId w:val="50"/>
        </w:numPr>
        <w:spacing w:before="200" w:after="0" w:line="21" w:lineRule="atLeast"/>
        <w:contextualSpacing/>
        <w:jc w:val="both"/>
        <w:rPr>
          <w:rFonts w:cs="ArialMT"/>
          <w:bCs/>
          <w:sz w:val="22"/>
          <w:szCs w:val="22"/>
          <w:lang w:val="en-GB"/>
        </w:rPr>
      </w:pPr>
      <w:r w:rsidRPr="00682784">
        <w:rPr>
          <w:rFonts w:cs="ArialMT"/>
          <w:bCs/>
          <w:sz w:val="22"/>
          <w:szCs w:val="22"/>
          <w:lang w:val="en-GB"/>
        </w:rPr>
        <w:t>ensure the overall coordination of the institutions involved at national level in the programme implementation;</w:t>
      </w:r>
    </w:p>
    <w:p w:rsidR="0028075A" w:rsidRPr="00682784" w:rsidRDefault="0028075A" w:rsidP="003574FD">
      <w:pPr>
        <w:numPr>
          <w:ilvl w:val="0"/>
          <w:numId w:val="50"/>
        </w:numPr>
        <w:spacing w:before="200" w:after="0" w:line="21" w:lineRule="atLeast"/>
        <w:contextualSpacing/>
        <w:jc w:val="both"/>
        <w:rPr>
          <w:rFonts w:cs="ArialMT"/>
          <w:bCs/>
          <w:sz w:val="22"/>
          <w:szCs w:val="22"/>
          <w:lang w:val="en-GB"/>
        </w:rPr>
      </w:pPr>
      <w:r w:rsidRPr="00682784">
        <w:rPr>
          <w:rFonts w:cs="ArialMT"/>
          <w:bCs/>
          <w:sz w:val="22"/>
          <w:szCs w:val="22"/>
          <w:lang w:val="en-GB"/>
        </w:rPr>
        <w:t>represent the country in the Joint Monitoring Committee.</w:t>
      </w:r>
    </w:p>
    <w:p w:rsidR="00D52F79" w:rsidRPr="00682784" w:rsidRDefault="00D52F79" w:rsidP="003574FD">
      <w:pPr>
        <w:spacing w:after="120" w:line="21" w:lineRule="atLeast"/>
        <w:jc w:val="both"/>
        <w:rPr>
          <w:rFonts w:cs="ArialMT"/>
          <w:bCs/>
          <w:sz w:val="12"/>
          <w:szCs w:val="12"/>
          <w:lang w:val="en-GB"/>
        </w:rPr>
      </w:pPr>
    </w:p>
    <w:p w:rsidR="0028075A" w:rsidRPr="00682784" w:rsidRDefault="0028075A" w:rsidP="003574FD">
      <w:pPr>
        <w:spacing w:after="120" w:line="21" w:lineRule="atLeast"/>
        <w:jc w:val="both"/>
        <w:rPr>
          <w:rFonts w:cs="ArialMT"/>
          <w:bCs/>
          <w:sz w:val="22"/>
          <w:szCs w:val="22"/>
          <w:lang w:val="en-GB"/>
        </w:rPr>
      </w:pPr>
      <w:r w:rsidRPr="00682784">
        <w:rPr>
          <w:rFonts w:cs="ArialMT"/>
          <w:bCs/>
          <w:sz w:val="22"/>
          <w:szCs w:val="22"/>
          <w:lang w:val="en-GB"/>
        </w:rPr>
        <w:t>Its main functions shall be:</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 in the preparation of the annual report by providing, reviewing and/or commenting the information concerning the implementation of the programme on their territory;</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 xml:space="preserve">support the MA </w:t>
      </w:r>
      <w:r w:rsidR="002B0DE5" w:rsidRPr="00682784">
        <w:rPr>
          <w:rFonts w:cs="ArialMT"/>
          <w:bCs/>
          <w:sz w:val="22"/>
          <w:szCs w:val="22"/>
          <w:lang w:val="en-GB"/>
        </w:rPr>
        <w:t xml:space="preserve">for </w:t>
      </w:r>
      <w:r w:rsidRPr="00682784">
        <w:rPr>
          <w:rFonts w:cs="ArialMT"/>
          <w:bCs/>
          <w:sz w:val="22"/>
          <w:szCs w:val="22"/>
          <w:lang w:val="en-GB"/>
        </w:rPr>
        <w:t>prepar</w:t>
      </w:r>
      <w:r w:rsidR="002B0DE5" w:rsidRPr="00682784">
        <w:rPr>
          <w:rFonts w:cs="ArialMT"/>
          <w:bCs/>
          <w:sz w:val="22"/>
          <w:szCs w:val="22"/>
          <w:lang w:val="en-GB"/>
        </w:rPr>
        <w:t>ing</w:t>
      </w:r>
      <w:r w:rsidRPr="00682784">
        <w:rPr>
          <w:rFonts w:cs="ArialMT"/>
          <w:bCs/>
          <w:sz w:val="22"/>
          <w:szCs w:val="22"/>
          <w:lang w:val="en-GB"/>
        </w:rPr>
        <w:t xml:space="preserve"> the annual monitoring and evaluation </w:t>
      </w:r>
      <w:r w:rsidR="002B0DE5" w:rsidRPr="00682784">
        <w:rPr>
          <w:rFonts w:cs="ArialMT"/>
          <w:bCs/>
          <w:sz w:val="22"/>
          <w:szCs w:val="22"/>
          <w:lang w:val="en-GB"/>
        </w:rPr>
        <w:t xml:space="preserve">of the programme </w:t>
      </w:r>
      <w:r w:rsidRPr="00682784">
        <w:rPr>
          <w:rFonts w:cs="ArialMT"/>
          <w:bCs/>
          <w:sz w:val="22"/>
          <w:szCs w:val="22"/>
          <w:lang w:val="en-GB"/>
        </w:rPr>
        <w:t>;</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the implementation of the information and communication plan and in the organisation of communication and information events on their territory;</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relation to the elaboration of the application pack and ensuring its compliance with the national legislation specificities;</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the preparation of grant contract template and annexes;</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in disseminating information about the call for proposals on their territory;</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 xml:space="preserve">propose </w:t>
      </w:r>
      <w:r w:rsidR="002B0DE5" w:rsidRPr="00682784">
        <w:rPr>
          <w:rFonts w:cs="ArialMT"/>
          <w:bCs/>
          <w:sz w:val="22"/>
          <w:szCs w:val="22"/>
          <w:lang w:val="en-GB"/>
        </w:rPr>
        <w:t xml:space="preserve">members </w:t>
      </w:r>
      <w:r w:rsidRPr="00682784">
        <w:rPr>
          <w:rFonts w:cs="ArialMT"/>
          <w:bCs/>
          <w:sz w:val="22"/>
          <w:szCs w:val="22"/>
          <w:lang w:val="en-GB"/>
        </w:rPr>
        <w:t xml:space="preserve">in the Selection Committee and check that the proposed </w:t>
      </w:r>
      <w:r w:rsidR="002B0DE5" w:rsidRPr="00682784">
        <w:rPr>
          <w:rFonts w:cs="ArialMT"/>
          <w:bCs/>
          <w:sz w:val="22"/>
          <w:szCs w:val="22"/>
          <w:lang w:val="en-GB"/>
        </w:rPr>
        <w:t>members</w:t>
      </w:r>
      <w:r w:rsidR="004D3115" w:rsidRPr="00682784">
        <w:rPr>
          <w:rFonts w:cs="ArialMT"/>
          <w:bCs/>
          <w:sz w:val="22"/>
          <w:szCs w:val="22"/>
          <w:lang w:val="en-GB"/>
        </w:rPr>
        <w:t xml:space="preserve"> </w:t>
      </w:r>
      <w:r w:rsidRPr="00682784">
        <w:rPr>
          <w:rFonts w:cs="ArialMT"/>
          <w:bCs/>
          <w:sz w:val="22"/>
          <w:szCs w:val="22"/>
          <w:lang w:val="en-GB"/>
        </w:rPr>
        <w:t>are not subject to a conflict of interest;</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carrying out the administrative check and ensure the eligibility check for the entities on their territory;</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the contracting phase, including the prevention of the duplication of activities among projects funded by EU;</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conducting project monitoring and follow-up on their territory;</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for on the spot visits and requests related to the results-oriented monitoring, on their territory;</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provide information to MA/JTS/beneficiaries located on their territory on national procedures/requirements (e.g. labour law provisions, VAT exemption, eligibility issues, procurement);</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 xml:space="preserve">contribute to capitalisation </w:t>
      </w:r>
      <w:r w:rsidR="002B0DE5" w:rsidRPr="00682784">
        <w:rPr>
          <w:rFonts w:cs="ArialMT"/>
          <w:bCs/>
          <w:sz w:val="22"/>
          <w:szCs w:val="22"/>
          <w:lang w:val="en-GB"/>
        </w:rPr>
        <w:t xml:space="preserve">of results </w:t>
      </w:r>
      <w:r w:rsidRPr="00682784">
        <w:rPr>
          <w:rFonts w:cs="ArialMT"/>
          <w:bCs/>
          <w:sz w:val="22"/>
          <w:szCs w:val="22"/>
          <w:lang w:val="en-GB"/>
        </w:rPr>
        <w:t xml:space="preserve">at national level;  </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ensure dissemination of results and good practice;</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inform the MA about the detection or suspecting of operational and management problems that were/may be encountered by any project implemented on their territory as soon as such information becomes available;</w:t>
      </w:r>
    </w:p>
    <w:p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notify irregularities to the MA without delay;</w:t>
      </w:r>
    </w:p>
    <w:p w:rsidR="0028075A" w:rsidRPr="00682784" w:rsidRDefault="0028075A" w:rsidP="003574FD">
      <w:pPr>
        <w:numPr>
          <w:ilvl w:val="0"/>
          <w:numId w:val="50"/>
        </w:numPr>
        <w:spacing w:after="160" w:line="21" w:lineRule="atLeast"/>
        <w:ind w:left="709"/>
        <w:contextualSpacing/>
        <w:jc w:val="both"/>
        <w:rPr>
          <w:rFonts w:cs="ArialMT"/>
          <w:bCs/>
          <w:sz w:val="22"/>
          <w:szCs w:val="22"/>
          <w:lang w:val="en-GB"/>
        </w:rPr>
      </w:pPr>
      <w:r w:rsidRPr="00682784">
        <w:rPr>
          <w:rFonts w:cs="ArialMT"/>
          <w:bCs/>
          <w:sz w:val="22"/>
          <w:szCs w:val="22"/>
          <w:lang w:val="en-GB"/>
        </w:rPr>
        <w:t>support in identifying risks on their territory;</w:t>
      </w:r>
    </w:p>
    <w:p w:rsidR="0028075A" w:rsidRPr="00682784" w:rsidRDefault="0028075A" w:rsidP="003574FD">
      <w:pPr>
        <w:numPr>
          <w:ilvl w:val="0"/>
          <w:numId w:val="50"/>
        </w:numPr>
        <w:spacing w:after="160" w:line="21" w:lineRule="atLeast"/>
        <w:ind w:left="709"/>
        <w:contextualSpacing/>
        <w:jc w:val="both"/>
        <w:rPr>
          <w:rFonts w:cs="ArialMT"/>
          <w:bCs/>
          <w:sz w:val="22"/>
          <w:szCs w:val="22"/>
          <w:lang w:val="en-GB"/>
        </w:rPr>
      </w:pPr>
      <w:r w:rsidRPr="00682784">
        <w:rPr>
          <w:rFonts w:cs="ArialMT"/>
          <w:bCs/>
          <w:sz w:val="22"/>
          <w:szCs w:val="22"/>
          <w:lang w:val="en-GB"/>
        </w:rPr>
        <w:t>define together with the MA effective and proportionate anti-fraud measures to be put in place on their territory.</w:t>
      </w:r>
    </w:p>
    <w:p w:rsidR="00D52F79" w:rsidRPr="00682784" w:rsidRDefault="00D52F79" w:rsidP="003574FD">
      <w:pPr>
        <w:spacing w:after="160" w:line="21" w:lineRule="atLeast"/>
        <w:ind w:left="709"/>
        <w:contextualSpacing/>
        <w:jc w:val="both"/>
        <w:rPr>
          <w:rFonts w:cs="ArialMT"/>
          <w:bCs/>
          <w:sz w:val="22"/>
          <w:szCs w:val="22"/>
          <w:lang w:val="en-GB"/>
        </w:rPr>
      </w:pP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For ENI CBC Partner Countries, the National Authority is the body ultimately responsible for the implementation the provisions set out in the Financing Agreement signed with the European Commission.</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National Authorities shall ensure support to Managing Authority from the relevant national institutions in its obligations referred to in article 30(2) of the ENI CBC Implementing Rules.</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Moreover, in collaboration with the MA, each National Authority ensures either directly or through a national competent body(ies), that appropriate mechanisms are in place in their countries in order to prevent, detect and correct irregularities on their territories. </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Finally, the National Authority ensures, either directly or through a national competent body, assistance to the Managing Authority in the recovery process for orders concerning beneficiaries located on its territory, in accordance with the provisions of article 74 o</w:t>
      </w:r>
      <w:r w:rsidR="00402EE1" w:rsidRPr="00682784">
        <w:rPr>
          <w:rFonts w:cs="ArialMT"/>
          <w:bCs/>
          <w:sz w:val="22"/>
          <w:szCs w:val="22"/>
          <w:lang w:val="en-GB"/>
        </w:rPr>
        <w:t>f the ENI CBC Implementing Regulation</w:t>
      </w:r>
      <w:r w:rsidRPr="00682784">
        <w:rPr>
          <w:rFonts w:cs="ArialMT"/>
          <w:bCs/>
          <w:sz w:val="22"/>
          <w:szCs w:val="22"/>
          <w:lang w:val="en-GB"/>
        </w:rPr>
        <w:t>.</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The details of the coordination and of the measures set to fulfil with the above-mentioned obligations deriving fro</w:t>
      </w:r>
      <w:r w:rsidR="00863957" w:rsidRPr="00682784">
        <w:rPr>
          <w:rFonts w:cs="ArialMT"/>
          <w:bCs/>
          <w:sz w:val="22"/>
          <w:szCs w:val="22"/>
          <w:lang w:val="en-GB"/>
        </w:rPr>
        <w:t>m the ENI CBC Implementing Regulation</w:t>
      </w:r>
      <w:r w:rsidRPr="00682784">
        <w:rPr>
          <w:rFonts w:cs="ArialMT"/>
          <w:bCs/>
          <w:sz w:val="22"/>
          <w:szCs w:val="22"/>
          <w:lang w:val="en-GB"/>
        </w:rPr>
        <w:t>, are given in the document describing the programme management and control system.</w:t>
      </w:r>
    </w:p>
    <w:p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Pursuant to point (a) of article 20(6) o</w:t>
      </w:r>
      <w:r w:rsidR="00863957" w:rsidRPr="00682784">
        <w:rPr>
          <w:rFonts w:cs="ArialMT"/>
          <w:bCs/>
          <w:sz w:val="22"/>
          <w:szCs w:val="22"/>
          <w:lang w:val="en-GB"/>
        </w:rPr>
        <w:t>f the ENI CBC Implementing Regulation</w:t>
      </w:r>
      <w:r w:rsidRPr="00682784">
        <w:rPr>
          <w:rFonts w:cs="ArialMT"/>
          <w:bCs/>
          <w:sz w:val="22"/>
          <w:szCs w:val="22"/>
          <w:lang w:val="en-GB"/>
        </w:rPr>
        <w:t>, the following institutions are appointed as National Authority for each participating country:</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1769"/>
        <w:gridCol w:w="3868"/>
        <w:gridCol w:w="5386"/>
      </w:tblGrid>
      <w:tr w:rsidR="000E316E" w:rsidRPr="001368E0" w:rsidTr="000E316E">
        <w:tc>
          <w:tcPr>
            <w:tcW w:w="1769" w:type="dxa"/>
            <w:tcBorders>
              <w:top w:val="nil"/>
              <w:left w:val="nil"/>
              <w:bottom w:val="single" w:sz="4" w:space="0" w:color="8EAADB"/>
              <w:right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Country</w:t>
            </w:r>
          </w:p>
        </w:tc>
        <w:tc>
          <w:tcPr>
            <w:tcW w:w="3868" w:type="dxa"/>
            <w:tcBorders>
              <w:top w:val="nil"/>
              <w:left w:val="nil"/>
              <w:right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Institution</w:t>
            </w:r>
          </w:p>
        </w:tc>
        <w:tc>
          <w:tcPr>
            <w:tcW w:w="5386" w:type="dxa"/>
            <w:tcBorders>
              <w:top w:val="nil"/>
              <w:left w:val="nil"/>
              <w:right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Department</w:t>
            </w:r>
          </w:p>
        </w:tc>
      </w:tr>
      <w:tr w:rsidR="000E316E" w:rsidRPr="001368E0" w:rsidTr="000E316E">
        <w:tc>
          <w:tcPr>
            <w:tcW w:w="1769" w:type="dxa"/>
            <w:tcBorders>
              <w:top w:val="nil"/>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Armenia</w:t>
            </w:r>
          </w:p>
        </w:tc>
        <w:tc>
          <w:tcPr>
            <w:tcW w:w="3868"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rPr>
            </w:pPr>
            <w:r w:rsidRPr="001368E0">
              <w:rPr>
                <w:rFonts w:eastAsia="Calibri"/>
                <w:bCs/>
                <w:iCs/>
                <w:color w:val="2F5496"/>
                <w:sz w:val="22"/>
                <w:szCs w:val="22"/>
              </w:rPr>
              <w:t>Ministry of Economy</w:t>
            </w:r>
          </w:p>
        </w:tc>
        <w:tc>
          <w:tcPr>
            <w:tcW w:w="5386"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rPr>
            </w:pPr>
            <w:r w:rsidRPr="001368E0">
              <w:rPr>
                <w:rFonts w:eastAsia="Calibri"/>
                <w:bCs/>
                <w:iCs/>
                <w:color w:val="2F5496"/>
                <w:sz w:val="22"/>
                <w:szCs w:val="22"/>
              </w:rPr>
              <w:t>EU Relations Department. EU Programmes Division (PAO)</w:t>
            </w:r>
          </w:p>
        </w:tc>
      </w:tr>
      <w:tr w:rsidR="000E316E" w:rsidRPr="001368E0" w:rsidTr="000E316E">
        <w:tc>
          <w:tcPr>
            <w:tcW w:w="176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Azerbaijan</w:t>
            </w:r>
          </w:p>
        </w:tc>
        <w:tc>
          <w:tcPr>
            <w:tcW w:w="3868" w:type="dxa"/>
            <w:shd w:val="clear" w:color="auto" w:fill="auto"/>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Ministry of Economy and Industry</w:t>
            </w:r>
          </w:p>
        </w:tc>
        <w:tc>
          <w:tcPr>
            <w:tcW w:w="5386" w:type="dxa"/>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p>
        </w:tc>
      </w:tr>
      <w:tr w:rsidR="000E316E" w:rsidRPr="001368E0" w:rsidTr="000E316E">
        <w:tc>
          <w:tcPr>
            <w:tcW w:w="176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Bulgaria</w:t>
            </w:r>
          </w:p>
        </w:tc>
        <w:tc>
          <w:tcPr>
            <w:tcW w:w="3868"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rPr>
            </w:pPr>
            <w:r w:rsidRPr="001368E0">
              <w:rPr>
                <w:rFonts w:eastAsia="Calibri"/>
                <w:bCs/>
                <w:iCs/>
                <w:color w:val="2F5496"/>
                <w:sz w:val="22"/>
                <w:szCs w:val="22"/>
              </w:rPr>
              <w:t xml:space="preserve">Ministry of Regional Development </w:t>
            </w:r>
          </w:p>
        </w:tc>
        <w:tc>
          <w:tcPr>
            <w:tcW w:w="5386"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European Territorial Cooperation and Neighbourhood Programmes Department, Directorate General Territorial Cooperation Management</w:t>
            </w:r>
          </w:p>
        </w:tc>
      </w:tr>
      <w:tr w:rsidR="000E316E" w:rsidRPr="001368E0" w:rsidTr="000E316E">
        <w:tc>
          <w:tcPr>
            <w:tcW w:w="176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Georgia</w:t>
            </w:r>
          </w:p>
        </w:tc>
        <w:tc>
          <w:tcPr>
            <w:tcW w:w="3868" w:type="dxa"/>
            <w:shd w:val="clear" w:color="auto" w:fill="auto"/>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Office of the State Minister of Georgia on European and Euro-Atlantic Integration</w:t>
            </w:r>
          </w:p>
        </w:tc>
        <w:tc>
          <w:tcPr>
            <w:tcW w:w="5386" w:type="dxa"/>
            <w:vAlign w:val="center"/>
          </w:tcPr>
          <w:p w:rsidR="0028075A" w:rsidRPr="001368E0" w:rsidRDefault="0028075A" w:rsidP="0040092A">
            <w:pPr>
              <w:tabs>
                <w:tab w:val="num" w:pos="426"/>
                <w:tab w:val="num" w:pos="720"/>
              </w:tabs>
              <w:autoSpaceDE w:val="0"/>
              <w:autoSpaceDN w:val="0"/>
              <w:adjustRightInd w:val="0"/>
              <w:spacing w:before="40" w:after="40" w:line="20" w:lineRule="atLeast"/>
              <w:rPr>
                <w:rFonts w:eastAsia="Calibri"/>
                <w:bCs/>
                <w:iCs/>
                <w:color w:val="2F5496"/>
                <w:sz w:val="22"/>
                <w:szCs w:val="22"/>
              </w:rPr>
            </w:pPr>
            <w:r w:rsidRPr="001368E0">
              <w:rPr>
                <w:rFonts w:eastAsia="Calibri"/>
                <w:bCs/>
                <w:iCs/>
                <w:color w:val="2F5496"/>
                <w:sz w:val="22"/>
                <w:szCs w:val="22"/>
              </w:rPr>
              <w:t>Deputy Minister</w:t>
            </w:r>
          </w:p>
          <w:p w:rsidR="0028075A" w:rsidRPr="001368E0" w:rsidRDefault="0028075A" w:rsidP="0040092A">
            <w:pPr>
              <w:tabs>
                <w:tab w:val="num" w:pos="426"/>
                <w:tab w:val="num" w:pos="720"/>
              </w:tabs>
              <w:autoSpaceDE w:val="0"/>
              <w:autoSpaceDN w:val="0"/>
              <w:adjustRightInd w:val="0"/>
              <w:spacing w:before="40" w:after="40" w:line="20" w:lineRule="atLeast"/>
              <w:rPr>
                <w:rFonts w:eastAsia="Calibri"/>
                <w:bCs/>
                <w:iCs/>
                <w:color w:val="2F5496"/>
                <w:sz w:val="22"/>
                <w:szCs w:val="22"/>
              </w:rPr>
            </w:pPr>
            <w:r w:rsidRPr="001368E0">
              <w:rPr>
                <w:rFonts w:eastAsia="Calibri"/>
                <w:bCs/>
                <w:iCs/>
                <w:color w:val="2F5496"/>
                <w:sz w:val="22"/>
                <w:szCs w:val="22"/>
              </w:rPr>
              <w:t>EU Assistance Coordination</w:t>
            </w:r>
          </w:p>
        </w:tc>
      </w:tr>
      <w:tr w:rsidR="000E316E" w:rsidRPr="001368E0" w:rsidTr="000E316E">
        <w:tc>
          <w:tcPr>
            <w:tcW w:w="176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Greece</w:t>
            </w:r>
          </w:p>
        </w:tc>
        <w:tc>
          <w:tcPr>
            <w:tcW w:w="3868"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Managing Authority of European Territorial Cooperation Programmes,  Ministry for Development and Competitiveness</w:t>
            </w:r>
          </w:p>
        </w:tc>
        <w:tc>
          <w:tcPr>
            <w:tcW w:w="5386"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Management &amp; Monitoring of Balkan Peninsula &amp; Black Sea Basin Programmes – Unit B1</w:t>
            </w:r>
          </w:p>
        </w:tc>
      </w:tr>
      <w:tr w:rsidR="000E316E" w:rsidRPr="001368E0" w:rsidTr="000E316E">
        <w:tc>
          <w:tcPr>
            <w:tcW w:w="176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Republic of Moldova</w:t>
            </w:r>
          </w:p>
        </w:tc>
        <w:tc>
          <w:tcPr>
            <w:tcW w:w="3868" w:type="dxa"/>
            <w:shd w:val="clear" w:color="auto" w:fill="auto"/>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State Chancellery of the Republic of Moldova</w:t>
            </w:r>
          </w:p>
        </w:tc>
        <w:tc>
          <w:tcPr>
            <w:tcW w:w="5386" w:type="dxa"/>
            <w:vAlign w:val="center"/>
          </w:tcPr>
          <w:p w:rsidR="0028075A" w:rsidRPr="001368E0" w:rsidRDefault="000C627B"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Office for Coordination of Cross Border and Transnational Cooperation Programmes</w:t>
            </w:r>
            <w:r w:rsidR="0028075A" w:rsidRPr="001368E0">
              <w:rPr>
                <w:rFonts w:eastAsia="Calibri"/>
                <w:bCs/>
                <w:iCs/>
                <w:color w:val="2F5496"/>
                <w:sz w:val="22"/>
                <w:szCs w:val="22"/>
                <w:lang w:val="en-GB"/>
              </w:rPr>
              <w:t xml:space="preserve"> </w:t>
            </w:r>
          </w:p>
        </w:tc>
      </w:tr>
      <w:tr w:rsidR="000E316E" w:rsidRPr="001368E0" w:rsidTr="000E316E">
        <w:tc>
          <w:tcPr>
            <w:tcW w:w="176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Romania</w:t>
            </w:r>
          </w:p>
        </w:tc>
        <w:tc>
          <w:tcPr>
            <w:tcW w:w="3868"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Ministry of Regional Development and Public Administration</w:t>
            </w:r>
          </w:p>
        </w:tc>
        <w:tc>
          <w:tcPr>
            <w:tcW w:w="5386"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rPr>
            </w:pPr>
            <w:r w:rsidRPr="001368E0">
              <w:rPr>
                <w:rFonts w:eastAsia="Calibri"/>
                <w:bCs/>
                <w:iCs/>
                <w:color w:val="2F5496"/>
                <w:sz w:val="22"/>
                <w:szCs w:val="22"/>
              </w:rPr>
              <w:t>National Authorities Unit for European Programmes</w:t>
            </w:r>
          </w:p>
        </w:tc>
      </w:tr>
      <w:tr w:rsidR="000E316E" w:rsidRPr="001368E0" w:rsidTr="000E316E">
        <w:tc>
          <w:tcPr>
            <w:tcW w:w="176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Turkey</w:t>
            </w:r>
          </w:p>
        </w:tc>
        <w:tc>
          <w:tcPr>
            <w:tcW w:w="3868" w:type="dxa"/>
            <w:shd w:val="clear" w:color="auto" w:fill="auto"/>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Ministry for EU Affairs, Turkey</w:t>
            </w:r>
          </w:p>
        </w:tc>
        <w:tc>
          <w:tcPr>
            <w:tcW w:w="5386" w:type="dxa"/>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Financial Cooperation Directorate</w:t>
            </w:r>
          </w:p>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Financial Cooperation Directorate, Cross Border Cooperation Unit</w:t>
            </w:r>
          </w:p>
        </w:tc>
      </w:tr>
      <w:tr w:rsidR="000E316E" w:rsidRPr="001368E0" w:rsidTr="000E316E">
        <w:tc>
          <w:tcPr>
            <w:tcW w:w="176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Ukraine</w:t>
            </w:r>
          </w:p>
        </w:tc>
        <w:tc>
          <w:tcPr>
            <w:tcW w:w="3868"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Ministry of Economic Development and Trade</w:t>
            </w:r>
          </w:p>
        </w:tc>
        <w:tc>
          <w:tcPr>
            <w:tcW w:w="5386"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Directorate for Co-operation with International Financial Institutions and Coordination of International Technical Assistance</w:t>
            </w:r>
          </w:p>
        </w:tc>
      </w:tr>
    </w:tbl>
    <w:p w:rsidR="0028075A" w:rsidRPr="00682784" w:rsidRDefault="0028075A" w:rsidP="003574FD">
      <w:pPr>
        <w:tabs>
          <w:tab w:val="left" w:pos="284"/>
        </w:tabs>
        <w:spacing w:line="21" w:lineRule="atLeast"/>
        <w:ind w:left="284" w:hanging="284"/>
        <w:rPr>
          <w:rFonts w:cs="Arial"/>
          <w:b/>
          <w:bCs/>
          <w:iCs/>
          <w:color w:val="8DB3E2"/>
          <w:lang w:val="en-GB"/>
        </w:rPr>
      </w:pPr>
    </w:p>
    <w:p w:rsidR="0028075A" w:rsidRPr="002B2A70" w:rsidRDefault="0028075A" w:rsidP="003574FD">
      <w:pPr>
        <w:pStyle w:val="Heading3"/>
        <w:spacing w:before="240" w:after="240" w:line="21" w:lineRule="atLeast"/>
        <w:rPr>
          <w:b/>
          <w:sz w:val="28"/>
          <w:szCs w:val="28"/>
          <w:lang w:val="en-GB"/>
        </w:rPr>
      </w:pPr>
      <w:bookmarkStart w:id="93" w:name="_Toc288133460"/>
      <w:r w:rsidRPr="002B2A70">
        <w:rPr>
          <w:b/>
          <w:sz w:val="28"/>
          <w:szCs w:val="28"/>
          <w:lang w:val="en-GB"/>
        </w:rPr>
        <w:t>Control Contact Points (CCPs)</w:t>
      </w:r>
      <w:bookmarkEnd w:id="93"/>
      <w:r w:rsidRPr="002B2A70">
        <w:rPr>
          <w:b/>
          <w:sz w:val="28"/>
          <w:szCs w:val="28"/>
          <w:lang w:val="en-GB"/>
        </w:rPr>
        <w:t xml:space="preserve"> </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Each participating country shall appoint one CCP which will support the MA in the control tasks linked to project expenditure verification. </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The common functions to be fulfilled by each participating country through its CCPs will be to support the Managing Authority by:</w:t>
      </w:r>
    </w:p>
    <w:p w:rsidR="0028075A" w:rsidRPr="00682784" w:rsidRDefault="0028075A" w:rsidP="003574FD">
      <w:pPr>
        <w:numPr>
          <w:ilvl w:val="0"/>
          <w:numId w:val="51"/>
        </w:numPr>
        <w:spacing w:before="200" w:after="0" w:line="21" w:lineRule="atLeast"/>
        <w:contextualSpacing/>
        <w:jc w:val="both"/>
        <w:rPr>
          <w:rFonts w:cs="ArialMT"/>
          <w:bCs/>
          <w:sz w:val="22"/>
          <w:szCs w:val="22"/>
          <w:lang w:val="en-GB"/>
        </w:rPr>
      </w:pPr>
      <w:r w:rsidRPr="00682784">
        <w:rPr>
          <w:rFonts w:cs="ArialMT"/>
          <w:bCs/>
          <w:sz w:val="22"/>
          <w:szCs w:val="22"/>
          <w:lang w:val="en-GB"/>
        </w:rPr>
        <w:t>assisting the Managing Authority when required to carry out administrative verifications in respect of each payment request by beneficiaries (such as providing information to the Managing Authority on specific national rules, procedures etc.);</w:t>
      </w:r>
    </w:p>
    <w:p w:rsidR="0028075A" w:rsidRPr="00682784" w:rsidRDefault="0028075A" w:rsidP="003574FD">
      <w:pPr>
        <w:numPr>
          <w:ilvl w:val="0"/>
          <w:numId w:val="51"/>
        </w:numPr>
        <w:spacing w:before="200" w:after="0" w:line="21" w:lineRule="atLeast"/>
        <w:contextualSpacing/>
        <w:jc w:val="both"/>
        <w:rPr>
          <w:rFonts w:cs="ArialMT"/>
          <w:bCs/>
          <w:sz w:val="22"/>
          <w:szCs w:val="22"/>
          <w:lang w:val="en-GB"/>
        </w:rPr>
      </w:pPr>
      <w:r w:rsidRPr="00682784">
        <w:rPr>
          <w:rFonts w:cs="ArialMT"/>
          <w:bCs/>
          <w:sz w:val="22"/>
          <w:szCs w:val="22"/>
          <w:lang w:val="en-GB"/>
        </w:rPr>
        <w:t>accompanying the Managing Authority for the on-the-spot verifications of projects (to participate in the verification missions and facilitate checks of the organization subject to the verification);</w:t>
      </w:r>
    </w:p>
    <w:p w:rsidR="0028075A" w:rsidRPr="00682784" w:rsidRDefault="0028075A" w:rsidP="003574FD">
      <w:pPr>
        <w:numPr>
          <w:ilvl w:val="0"/>
          <w:numId w:val="51"/>
        </w:numPr>
        <w:spacing w:before="200" w:after="0" w:line="21" w:lineRule="atLeast"/>
        <w:contextualSpacing/>
        <w:jc w:val="both"/>
        <w:rPr>
          <w:rFonts w:cs="ArialMT"/>
          <w:bCs/>
          <w:sz w:val="22"/>
          <w:szCs w:val="22"/>
          <w:lang w:val="en-GB"/>
        </w:rPr>
      </w:pPr>
      <w:r w:rsidRPr="00682784">
        <w:rPr>
          <w:rFonts w:cs="ArialMT"/>
          <w:bCs/>
          <w:sz w:val="22"/>
          <w:szCs w:val="22"/>
          <w:lang w:val="en-GB"/>
        </w:rPr>
        <w:t>ensuring that the expenditure declared by the beneficiaries in support of a request for payment is examined by a controller meeting the criteria set out in the ENI CBC Implementing Rules. Specific procedures for the organization of expenditure verification will be put in place in each country, (such as the validation of compliance with the ENI CBC Implementing Rules criteria, performing the expenditure verification with its own controllers or setting up a long list or a short list of external independent auditors if the case). These procedures will be included in the description of the programme management and control systems;</w:t>
      </w:r>
    </w:p>
    <w:p w:rsidR="0028075A" w:rsidRPr="00682784" w:rsidRDefault="0028075A" w:rsidP="003574FD">
      <w:pPr>
        <w:numPr>
          <w:ilvl w:val="0"/>
          <w:numId w:val="51"/>
        </w:numPr>
        <w:spacing w:before="200" w:after="0" w:line="21" w:lineRule="atLeast"/>
        <w:contextualSpacing/>
        <w:jc w:val="both"/>
        <w:rPr>
          <w:rFonts w:cs="ArialMT"/>
          <w:bCs/>
          <w:sz w:val="22"/>
          <w:szCs w:val="22"/>
          <w:lang w:val="en-GB"/>
        </w:rPr>
      </w:pPr>
      <w:r w:rsidRPr="00682784">
        <w:rPr>
          <w:rFonts w:cs="ArialMT"/>
          <w:bCs/>
          <w:sz w:val="22"/>
          <w:szCs w:val="22"/>
          <w:lang w:val="en-GB"/>
        </w:rPr>
        <w:t>supporting the Managing Authority in training the controllers.</w:t>
      </w:r>
    </w:p>
    <w:p w:rsidR="006259DB" w:rsidRPr="00682784" w:rsidRDefault="006259DB" w:rsidP="003574FD">
      <w:pPr>
        <w:spacing w:line="21" w:lineRule="atLeast"/>
        <w:contextualSpacing/>
        <w:jc w:val="both"/>
        <w:rPr>
          <w:rFonts w:cs="ArialMT"/>
          <w:bCs/>
          <w:sz w:val="22"/>
          <w:szCs w:val="22"/>
          <w:lang w:val="en-GB"/>
        </w:rPr>
      </w:pPr>
    </w:p>
    <w:p w:rsidR="0028075A" w:rsidRPr="00682784" w:rsidRDefault="0028075A" w:rsidP="003574FD">
      <w:pPr>
        <w:spacing w:line="21" w:lineRule="atLeast"/>
        <w:contextualSpacing/>
        <w:jc w:val="both"/>
        <w:rPr>
          <w:rFonts w:cs="ArialMT"/>
          <w:bCs/>
          <w:sz w:val="22"/>
          <w:szCs w:val="22"/>
          <w:lang w:val="en-GB"/>
        </w:rPr>
      </w:pPr>
      <w:r w:rsidRPr="00682784">
        <w:rPr>
          <w:rFonts w:cs="ArialMT"/>
          <w:bCs/>
          <w:sz w:val="22"/>
          <w:szCs w:val="22"/>
          <w:lang w:val="en-GB"/>
        </w:rPr>
        <w:t>The institutions hosting the CCPs in each participating country are:</w:t>
      </w:r>
    </w:p>
    <w:p w:rsidR="001B4536" w:rsidRPr="00682784" w:rsidRDefault="001B4536" w:rsidP="003574FD">
      <w:pPr>
        <w:spacing w:line="21" w:lineRule="atLeast"/>
        <w:contextualSpacing/>
        <w:jc w:val="both"/>
        <w:rPr>
          <w:rFonts w:cs="ArialMT"/>
          <w:bCs/>
          <w:sz w:val="22"/>
          <w:szCs w:val="22"/>
          <w:lang w:val="en-GB"/>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1749"/>
        <w:gridCol w:w="4126"/>
        <w:gridCol w:w="5148"/>
      </w:tblGrid>
      <w:tr w:rsidR="0028075A" w:rsidRPr="001368E0" w:rsidTr="000E316E">
        <w:tc>
          <w:tcPr>
            <w:tcW w:w="1749" w:type="dxa"/>
            <w:tcBorders>
              <w:top w:val="nil"/>
              <w:left w:val="nil"/>
              <w:bottom w:val="single" w:sz="4" w:space="0" w:color="8EAADB"/>
              <w:right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Country</w:t>
            </w:r>
          </w:p>
        </w:tc>
        <w:tc>
          <w:tcPr>
            <w:tcW w:w="4126" w:type="dxa"/>
            <w:tcBorders>
              <w:top w:val="nil"/>
              <w:left w:val="nil"/>
              <w:right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Institution</w:t>
            </w:r>
          </w:p>
        </w:tc>
        <w:tc>
          <w:tcPr>
            <w:tcW w:w="5148" w:type="dxa"/>
            <w:tcBorders>
              <w:top w:val="nil"/>
              <w:left w:val="nil"/>
              <w:right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Department</w:t>
            </w:r>
          </w:p>
        </w:tc>
      </w:tr>
      <w:tr w:rsidR="0028075A" w:rsidRPr="001368E0" w:rsidTr="000E316E">
        <w:tc>
          <w:tcPr>
            <w:tcW w:w="1749" w:type="dxa"/>
            <w:tcBorders>
              <w:top w:val="nil"/>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Armenia</w:t>
            </w:r>
          </w:p>
        </w:tc>
        <w:tc>
          <w:tcPr>
            <w:tcW w:w="4126" w:type="dxa"/>
            <w:shd w:val="clear" w:color="auto" w:fill="D9E2F3"/>
            <w:vAlign w:val="center"/>
          </w:tcPr>
          <w:p w:rsidR="0028075A" w:rsidRPr="001368E0" w:rsidRDefault="006D0581" w:rsidP="0040092A">
            <w:pPr>
              <w:tabs>
                <w:tab w:val="num" w:pos="426"/>
                <w:tab w:val="num" w:pos="720"/>
              </w:tabs>
              <w:spacing w:before="40" w:after="40" w:line="20" w:lineRule="atLeast"/>
              <w:rPr>
                <w:rFonts w:eastAsia="Calibri"/>
                <w:bCs/>
                <w:iCs/>
                <w:color w:val="2F5496"/>
                <w:sz w:val="22"/>
                <w:szCs w:val="22"/>
              </w:rPr>
            </w:pPr>
            <w:r w:rsidRPr="001368E0">
              <w:rPr>
                <w:rFonts w:eastAsia="Calibri"/>
                <w:bCs/>
                <w:iCs/>
                <w:color w:val="2F5496"/>
                <w:sz w:val="22"/>
                <w:szCs w:val="22"/>
              </w:rPr>
              <w:t>Ministry of Finance</w:t>
            </w:r>
          </w:p>
        </w:tc>
        <w:tc>
          <w:tcPr>
            <w:tcW w:w="5148" w:type="dxa"/>
            <w:shd w:val="clear" w:color="auto" w:fill="D9E2F3"/>
            <w:vAlign w:val="center"/>
          </w:tcPr>
          <w:p w:rsidR="0028075A" w:rsidRPr="001368E0" w:rsidRDefault="006D0581"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Inspectorate of Finance and Budgeting Control</w:t>
            </w:r>
          </w:p>
        </w:tc>
      </w:tr>
      <w:tr w:rsidR="0028075A" w:rsidRPr="001368E0" w:rsidTr="000E316E">
        <w:tc>
          <w:tcPr>
            <w:tcW w:w="174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Azerbaijan</w:t>
            </w:r>
          </w:p>
        </w:tc>
        <w:tc>
          <w:tcPr>
            <w:tcW w:w="4126" w:type="dxa"/>
            <w:shd w:val="clear" w:color="auto" w:fill="auto"/>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rPr>
            </w:pPr>
          </w:p>
        </w:tc>
        <w:tc>
          <w:tcPr>
            <w:tcW w:w="5148" w:type="dxa"/>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rPr>
            </w:pPr>
          </w:p>
        </w:tc>
      </w:tr>
      <w:tr w:rsidR="0028075A" w:rsidRPr="001368E0" w:rsidTr="000E316E">
        <w:tc>
          <w:tcPr>
            <w:tcW w:w="174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Bulgaria</w:t>
            </w:r>
          </w:p>
        </w:tc>
        <w:tc>
          <w:tcPr>
            <w:tcW w:w="4126"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Ministry of Regional Development of the Republic of Bulgaria</w:t>
            </w:r>
          </w:p>
        </w:tc>
        <w:tc>
          <w:tcPr>
            <w:tcW w:w="5148" w:type="dxa"/>
            <w:shd w:val="clear" w:color="auto" w:fill="D9E2F3"/>
            <w:vAlign w:val="center"/>
          </w:tcPr>
          <w:p w:rsidR="0028075A" w:rsidRPr="001368E0" w:rsidRDefault="0028075A" w:rsidP="0040092A">
            <w:pPr>
              <w:autoSpaceDE w:val="0"/>
              <w:autoSpaceDN w:val="0"/>
              <w:adjustRightInd w:val="0"/>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Financial Management and Control Department, Legislation and Irregularities Department, Directorate General Territorial Cooperation Management</w:t>
            </w:r>
          </w:p>
        </w:tc>
      </w:tr>
      <w:tr w:rsidR="0028075A" w:rsidRPr="001368E0" w:rsidTr="000E316E">
        <w:tc>
          <w:tcPr>
            <w:tcW w:w="174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Georgia</w:t>
            </w:r>
          </w:p>
        </w:tc>
        <w:tc>
          <w:tcPr>
            <w:tcW w:w="4126" w:type="dxa"/>
            <w:shd w:val="clear" w:color="auto" w:fill="auto"/>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Office of the State Minister of Georgia on European and Euro-Atlantic Integration</w:t>
            </w:r>
          </w:p>
        </w:tc>
        <w:tc>
          <w:tcPr>
            <w:tcW w:w="5148" w:type="dxa"/>
            <w:vAlign w:val="center"/>
          </w:tcPr>
          <w:p w:rsidR="0028075A" w:rsidRPr="001368E0" w:rsidRDefault="0028075A" w:rsidP="0040092A">
            <w:pPr>
              <w:tabs>
                <w:tab w:val="num" w:pos="426"/>
                <w:tab w:val="num" w:pos="720"/>
              </w:tabs>
              <w:autoSpaceDE w:val="0"/>
              <w:autoSpaceDN w:val="0"/>
              <w:adjustRightInd w:val="0"/>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 xml:space="preserve">Chief of Staff </w:t>
            </w:r>
          </w:p>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Administration Department, Chief of Staff</w:t>
            </w:r>
          </w:p>
        </w:tc>
      </w:tr>
      <w:tr w:rsidR="0028075A" w:rsidRPr="001368E0" w:rsidTr="000E316E">
        <w:tc>
          <w:tcPr>
            <w:tcW w:w="174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Greece</w:t>
            </w:r>
          </w:p>
        </w:tc>
        <w:tc>
          <w:tcPr>
            <w:tcW w:w="4126"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Single Paying Authority, Ministry of Development And Competitiveness</w:t>
            </w:r>
          </w:p>
        </w:tc>
        <w:tc>
          <w:tcPr>
            <w:tcW w:w="5148"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Unit D, First Level Control Unit</w:t>
            </w:r>
          </w:p>
        </w:tc>
      </w:tr>
      <w:tr w:rsidR="0028075A" w:rsidRPr="001368E0" w:rsidTr="000E316E">
        <w:tc>
          <w:tcPr>
            <w:tcW w:w="174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Republic of Moldova</w:t>
            </w:r>
          </w:p>
        </w:tc>
        <w:tc>
          <w:tcPr>
            <w:tcW w:w="4126" w:type="dxa"/>
            <w:shd w:val="clear" w:color="auto" w:fill="auto"/>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rPr>
            </w:pPr>
            <w:r w:rsidRPr="001368E0">
              <w:rPr>
                <w:rFonts w:eastAsia="Calibri"/>
                <w:bCs/>
                <w:iCs/>
                <w:color w:val="2F5496"/>
                <w:sz w:val="22"/>
                <w:szCs w:val="22"/>
              </w:rPr>
              <w:t>Ministry of Finance</w:t>
            </w:r>
          </w:p>
        </w:tc>
        <w:tc>
          <w:tcPr>
            <w:tcW w:w="5148" w:type="dxa"/>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rPr>
            </w:pPr>
            <w:r w:rsidRPr="001368E0">
              <w:rPr>
                <w:rFonts w:eastAsia="Calibri"/>
                <w:bCs/>
                <w:iCs/>
                <w:color w:val="2F5496"/>
                <w:sz w:val="22"/>
                <w:szCs w:val="22"/>
              </w:rPr>
              <w:t>International Cooperation Directorate</w:t>
            </w:r>
          </w:p>
        </w:tc>
      </w:tr>
      <w:tr w:rsidR="0028075A" w:rsidRPr="001368E0" w:rsidTr="000E316E">
        <w:tc>
          <w:tcPr>
            <w:tcW w:w="174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Romania</w:t>
            </w:r>
          </w:p>
        </w:tc>
        <w:tc>
          <w:tcPr>
            <w:tcW w:w="4126"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Ministry of Regional Development and Public Administration</w:t>
            </w:r>
          </w:p>
        </w:tc>
        <w:tc>
          <w:tcPr>
            <w:tcW w:w="5148"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rPr>
            </w:pPr>
            <w:r w:rsidRPr="001368E0">
              <w:rPr>
                <w:rFonts w:eastAsia="Calibri"/>
                <w:bCs/>
                <w:iCs/>
                <w:color w:val="2F5496"/>
                <w:sz w:val="22"/>
                <w:szCs w:val="22"/>
              </w:rPr>
              <w:t>Directorate First Level Control</w:t>
            </w:r>
          </w:p>
        </w:tc>
      </w:tr>
      <w:tr w:rsidR="0028075A" w:rsidRPr="001368E0" w:rsidTr="000E316E">
        <w:tc>
          <w:tcPr>
            <w:tcW w:w="174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Turkey</w:t>
            </w:r>
          </w:p>
        </w:tc>
        <w:tc>
          <w:tcPr>
            <w:tcW w:w="4126" w:type="dxa"/>
            <w:shd w:val="clear" w:color="auto" w:fill="auto"/>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Ministry for EU Affairs, Turkey</w:t>
            </w:r>
          </w:p>
        </w:tc>
        <w:tc>
          <w:tcPr>
            <w:tcW w:w="5148" w:type="dxa"/>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lang w:val="en-GB"/>
              </w:rPr>
            </w:pPr>
            <w:r w:rsidRPr="001368E0">
              <w:rPr>
                <w:rFonts w:eastAsia="Calibri"/>
                <w:bCs/>
                <w:iCs/>
                <w:color w:val="2F5496"/>
                <w:sz w:val="22"/>
                <w:szCs w:val="22"/>
                <w:lang w:val="en-GB"/>
              </w:rPr>
              <w:t>Financial Cooperation Directorate, Monitoring and Evaluation Unit</w:t>
            </w:r>
          </w:p>
        </w:tc>
      </w:tr>
      <w:tr w:rsidR="0028075A" w:rsidRPr="001368E0" w:rsidTr="000E316E">
        <w:tc>
          <w:tcPr>
            <w:tcW w:w="1749" w:type="dxa"/>
            <w:tcBorders>
              <w:left w:val="nil"/>
              <w:bottom w:val="nil"/>
            </w:tcBorders>
            <w:shd w:val="clear" w:color="auto" w:fill="FFFFFF"/>
            <w:vAlign w:val="center"/>
          </w:tcPr>
          <w:p w:rsidR="0028075A" w:rsidRPr="001368E0" w:rsidRDefault="0028075A" w:rsidP="0040092A">
            <w:pPr>
              <w:tabs>
                <w:tab w:val="num" w:pos="426"/>
                <w:tab w:val="num" w:pos="720"/>
              </w:tabs>
              <w:spacing w:before="40" w:after="40" w:line="20" w:lineRule="atLeast"/>
              <w:rPr>
                <w:rFonts w:eastAsia="Calibri"/>
                <w:b/>
                <w:bCs/>
                <w:iCs/>
                <w:color w:val="2F5496"/>
                <w:sz w:val="22"/>
                <w:szCs w:val="22"/>
              </w:rPr>
            </w:pPr>
            <w:r w:rsidRPr="001368E0">
              <w:rPr>
                <w:rFonts w:eastAsia="Calibri"/>
                <w:b/>
                <w:bCs/>
                <w:iCs/>
                <w:color w:val="2F5496"/>
                <w:sz w:val="22"/>
                <w:szCs w:val="22"/>
              </w:rPr>
              <w:t>Ukraine</w:t>
            </w:r>
          </w:p>
        </w:tc>
        <w:tc>
          <w:tcPr>
            <w:tcW w:w="4126"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rPr>
            </w:pPr>
          </w:p>
        </w:tc>
        <w:tc>
          <w:tcPr>
            <w:tcW w:w="5148" w:type="dxa"/>
            <w:shd w:val="clear" w:color="auto" w:fill="D9E2F3"/>
            <w:vAlign w:val="center"/>
          </w:tcPr>
          <w:p w:rsidR="0028075A" w:rsidRPr="001368E0" w:rsidRDefault="0028075A" w:rsidP="0040092A">
            <w:pPr>
              <w:tabs>
                <w:tab w:val="num" w:pos="426"/>
                <w:tab w:val="num" w:pos="720"/>
              </w:tabs>
              <w:spacing w:before="40" w:after="40" w:line="20" w:lineRule="atLeast"/>
              <w:rPr>
                <w:rFonts w:eastAsia="Calibri"/>
                <w:bCs/>
                <w:iCs/>
                <w:color w:val="2F5496"/>
                <w:sz w:val="22"/>
                <w:szCs w:val="22"/>
              </w:rPr>
            </w:pPr>
          </w:p>
        </w:tc>
      </w:tr>
    </w:tbl>
    <w:p w:rsidR="0028075A" w:rsidRPr="002B2C50" w:rsidRDefault="0028075A" w:rsidP="003574FD">
      <w:pPr>
        <w:tabs>
          <w:tab w:val="left" w:pos="284"/>
        </w:tabs>
        <w:spacing w:line="21" w:lineRule="atLeast"/>
        <w:ind w:left="284" w:hanging="284"/>
        <w:rPr>
          <w:rFonts w:cs="Arial"/>
          <w:b/>
          <w:bCs/>
          <w:iCs/>
          <w:color w:val="8DB3E2"/>
        </w:rPr>
      </w:pPr>
    </w:p>
    <w:p w:rsidR="0028075A" w:rsidRPr="002B2A70" w:rsidRDefault="0028075A" w:rsidP="003574FD">
      <w:pPr>
        <w:pStyle w:val="Heading3"/>
        <w:spacing w:before="240" w:after="240" w:line="21" w:lineRule="atLeast"/>
        <w:rPr>
          <w:b/>
          <w:sz w:val="28"/>
          <w:szCs w:val="28"/>
          <w:lang w:val="en-GB"/>
        </w:rPr>
      </w:pPr>
      <w:bookmarkStart w:id="94" w:name="_Toc288133461"/>
      <w:r w:rsidRPr="002B2A70">
        <w:rPr>
          <w:b/>
          <w:sz w:val="28"/>
          <w:szCs w:val="28"/>
          <w:lang w:val="en-GB"/>
        </w:rPr>
        <w:t>Joint Technical Secretariat (JTS)</w:t>
      </w:r>
      <w:bookmarkEnd w:id="94"/>
      <w:r w:rsidRPr="002B2A70">
        <w:rPr>
          <w:b/>
          <w:sz w:val="28"/>
          <w:szCs w:val="28"/>
          <w:lang w:val="en-GB"/>
        </w:rPr>
        <w:t xml:space="preserve"> </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In accordance with article 20 of the ENI CBC Implementing Rules, the participating countries have appointed the South East Regional Development Agency (SERDA) to fulfil the role of Joint Technical Secretariat (JTS) described in article 27 of the same Regulation. It will be located in Constanta in the South East region of Romania. </w:t>
      </w:r>
    </w:p>
    <w:p w:rsidR="0028075A" w:rsidRPr="00094435" w:rsidRDefault="0028075A" w:rsidP="003574FD">
      <w:pPr>
        <w:spacing w:before="240" w:after="120" w:line="21" w:lineRule="atLeast"/>
        <w:jc w:val="both"/>
        <w:rPr>
          <w:b/>
          <w:lang w:val="en-GB"/>
        </w:rPr>
      </w:pPr>
      <w:r w:rsidRPr="00094435">
        <w:rPr>
          <w:b/>
          <w:lang w:val="en-GB"/>
        </w:rPr>
        <w:t xml:space="preserve">Functions </w:t>
      </w:r>
    </w:p>
    <w:p w:rsidR="0028075A" w:rsidRPr="001368E0" w:rsidRDefault="0028075A" w:rsidP="003574FD">
      <w:pPr>
        <w:pStyle w:val="Normaleprogram"/>
        <w:spacing w:before="200" w:line="21" w:lineRule="atLeast"/>
        <w:ind w:right="-54"/>
        <w:jc w:val="both"/>
        <w:rPr>
          <w:rFonts w:ascii="Calisto MT" w:hAnsi="Calisto MT" w:cs="ArialMT"/>
          <w:bCs/>
          <w:sz w:val="22"/>
          <w:szCs w:val="22"/>
          <w:lang w:eastAsia="ar-SA"/>
        </w:rPr>
      </w:pPr>
      <w:r w:rsidRPr="001368E0">
        <w:rPr>
          <w:rFonts w:ascii="Calisto MT" w:hAnsi="Calisto MT" w:cs="ArialMT"/>
          <w:bCs/>
          <w:sz w:val="22"/>
          <w:szCs w:val="22"/>
          <w:lang w:eastAsia="ar-SA"/>
        </w:rPr>
        <w:t>The JTS shall assist the MA, the JMC and, where relevant, the AA in carrying out their respective functions. The</w:t>
      </w:r>
      <w:r w:rsidR="00FA59B5" w:rsidRPr="001368E0">
        <w:rPr>
          <w:rFonts w:ascii="Calisto MT" w:hAnsi="Calisto MT" w:cs="ArialMT"/>
          <w:bCs/>
          <w:sz w:val="22"/>
          <w:szCs w:val="22"/>
          <w:lang w:eastAsia="ar-SA"/>
        </w:rPr>
        <w:t xml:space="preserve"> main</w:t>
      </w:r>
      <w:r w:rsidRPr="001368E0">
        <w:rPr>
          <w:rFonts w:ascii="Calisto MT" w:hAnsi="Calisto MT" w:cs="ArialMT"/>
          <w:bCs/>
          <w:sz w:val="22"/>
          <w:szCs w:val="22"/>
          <w:lang w:eastAsia="ar-SA"/>
        </w:rPr>
        <w:t xml:space="preserve"> tasks will be the following:</w:t>
      </w:r>
    </w:p>
    <w:p w:rsidR="0028075A" w:rsidRPr="001368E0" w:rsidRDefault="0028075A" w:rsidP="003574FD">
      <w:pPr>
        <w:pStyle w:val="Normaleprogram"/>
        <w:spacing w:before="200" w:line="21" w:lineRule="atLeast"/>
        <w:ind w:right="-54"/>
        <w:jc w:val="both"/>
        <w:rPr>
          <w:rFonts w:ascii="Calisto MT" w:hAnsi="Calisto MT" w:cs="ArialMT"/>
          <w:bCs/>
          <w:sz w:val="22"/>
          <w:szCs w:val="22"/>
          <w:lang w:eastAsia="ar-SA"/>
        </w:rPr>
      </w:pPr>
      <w:r w:rsidRPr="001368E0">
        <w:rPr>
          <w:rFonts w:ascii="Calisto MT" w:hAnsi="Calisto MT" w:cs="ArialMT"/>
          <w:bCs/>
          <w:sz w:val="22"/>
          <w:szCs w:val="22"/>
          <w:lang w:eastAsia="ar-SA"/>
        </w:rPr>
        <w:t>In regard to programme management:</w:t>
      </w:r>
    </w:p>
    <w:p w:rsidR="0028075A" w:rsidRPr="00FA59B5" w:rsidRDefault="0028075A" w:rsidP="00FA59B5">
      <w:pPr>
        <w:numPr>
          <w:ilvl w:val="0"/>
          <w:numId w:val="52"/>
        </w:numPr>
        <w:suppressAutoHyphens/>
        <w:spacing w:before="200" w:after="0" w:line="21" w:lineRule="atLeast"/>
        <w:contextualSpacing/>
        <w:jc w:val="both"/>
        <w:rPr>
          <w:rFonts w:cs="ArialMT"/>
          <w:bCs/>
          <w:sz w:val="22"/>
          <w:szCs w:val="22"/>
          <w:lang w:val="en-GB"/>
        </w:rPr>
      </w:pPr>
      <w:r w:rsidRPr="00FA59B5">
        <w:rPr>
          <w:rFonts w:cs="ArialMT"/>
          <w:bCs/>
          <w:sz w:val="22"/>
          <w:szCs w:val="22"/>
          <w:lang w:val="en-GB"/>
        </w:rPr>
        <w:t>Act as secretariat of the SC and JMC, i.e. organise the meetings, draft the minutes, prepare, implement and follow up decisions;</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Contribute to the elaboration of annual implementation reports and the final report;</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the implementation of the annual communication plan;</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the implementation of the monitoring and evaluation plan;</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 xml:space="preserve">Ensure dissemination of project results and cooperation good practice (programme newsletter, beneficiary meetings, etc.), as well as support the MA in capitalisation activities; </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Establish close links and maintain regular information flows with the NAs;</w:t>
      </w:r>
    </w:p>
    <w:p w:rsidR="0028075A" w:rsidRPr="001368E0" w:rsidRDefault="0028075A" w:rsidP="003574FD">
      <w:pPr>
        <w:pStyle w:val="Normaleprogram"/>
        <w:spacing w:before="200" w:line="21" w:lineRule="atLeast"/>
        <w:ind w:right="-54"/>
        <w:jc w:val="both"/>
        <w:rPr>
          <w:rFonts w:ascii="Calisto MT" w:hAnsi="Calisto MT" w:cs="ArialMT"/>
          <w:bCs/>
          <w:sz w:val="22"/>
          <w:szCs w:val="22"/>
          <w:lang w:eastAsia="ar-SA"/>
        </w:rPr>
      </w:pPr>
      <w:r w:rsidRPr="001368E0">
        <w:rPr>
          <w:rFonts w:ascii="Calisto MT" w:hAnsi="Calisto MT" w:cs="ArialMT"/>
          <w:bCs/>
          <w:sz w:val="22"/>
          <w:szCs w:val="22"/>
          <w:lang w:eastAsia="ar-SA"/>
        </w:rPr>
        <w:t>In regard to the call for proposals:</w:t>
      </w:r>
    </w:p>
    <w:p w:rsidR="0028075A" w:rsidRPr="00682784" w:rsidRDefault="002C454E" w:rsidP="003574FD">
      <w:pPr>
        <w:numPr>
          <w:ilvl w:val="0"/>
          <w:numId w:val="52"/>
        </w:numPr>
        <w:suppressAutoHyphens/>
        <w:spacing w:before="200" w:after="0" w:line="21" w:lineRule="atLeast"/>
        <w:contextualSpacing/>
        <w:jc w:val="both"/>
        <w:rPr>
          <w:rFonts w:cs="ArialMT"/>
          <w:bCs/>
          <w:sz w:val="22"/>
          <w:szCs w:val="22"/>
          <w:lang w:val="en-GB"/>
        </w:rPr>
      </w:pPr>
      <w:r>
        <w:rPr>
          <w:rFonts w:cs="ArialMT"/>
          <w:bCs/>
          <w:sz w:val="22"/>
          <w:szCs w:val="22"/>
          <w:lang w:val="en-GB"/>
        </w:rPr>
        <w:t>S</w:t>
      </w:r>
      <w:r w:rsidR="0028075A" w:rsidRPr="00682784">
        <w:rPr>
          <w:rFonts w:cs="ArialMT"/>
          <w:bCs/>
          <w:sz w:val="22"/>
          <w:szCs w:val="22"/>
          <w:lang w:val="en-GB"/>
        </w:rPr>
        <w:t>upport the MA in the preparation of the application pack and relevant templates;</w:t>
      </w:r>
    </w:p>
    <w:p w:rsidR="0028075A" w:rsidRPr="00682784" w:rsidRDefault="002C454E" w:rsidP="003574FD">
      <w:pPr>
        <w:numPr>
          <w:ilvl w:val="0"/>
          <w:numId w:val="52"/>
        </w:numPr>
        <w:suppressAutoHyphens/>
        <w:spacing w:before="200" w:after="0" w:line="21" w:lineRule="atLeast"/>
        <w:contextualSpacing/>
        <w:jc w:val="both"/>
        <w:rPr>
          <w:rFonts w:cs="ArialMT"/>
          <w:bCs/>
          <w:sz w:val="22"/>
          <w:szCs w:val="22"/>
          <w:lang w:val="en-GB"/>
        </w:rPr>
      </w:pPr>
      <w:r>
        <w:rPr>
          <w:rFonts w:cs="ArialMT"/>
          <w:bCs/>
          <w:sz w:val="22"/>
          <w:szCs w:val="22"/>
          <w:lang w:val="en-GB"/>
        </w:rPr>
        <w:t>S</w:t>
      </w:r>
      <w:r w:rsidR="0028075A" w:rsidRPr="00682784">
        <w:rPr>
          <w:rFonts w:cs="ArialMT"/>
          <w:bCs/>
          <w:sz w:val="22"/>
          <w:szCs w:val="22"/>
          <w:lang w:val="en-GB"/>
        </w:rPr>
        <w:t>upport the MA in the preparation of grant contract template and annexes;</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Carry out information and publicity activities to support project generation (update the web-site, provide a help-desk, organise workshops and seminars for partners search,  awareness raising and capacity building for potential beneficiaries, etc.);</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launching the calls for project proposals as needed;</w:t>
      </w:r>
    </w:p>
    <w:p w:rsidR="0028075A" w:rsidRPr="001368E0" w:rsidRDefault="0028075A" w:rsidP="003574FD">
      <w:pPr>
        <w:pStyle w:val="Normaleprogram"/>
        <w:spacing w:before="200" w:line="21" w:lineRule="atLeast"/>
        <w:ind w:right="-54"/>
        <w:contextualSpacing/>
        <w:jc w:val="both"/>
        <w:rPr>
          <w:rFonts w:ascii="Calisto MT" w:hAnsi="Calisto MT" w:cs="ArialMT"/>
          <w:bCs/>
          <w:sz w:val="22"/>
          <w:szCs w:val="22"/>
          <w:lang w:eastAsia="ar-SA"/>
        </w:rPr>
      </w:pPr>
      <w:r w:rsidRPr="001368E0">
        <w:rPr>
          <w:rFonts w:ascii="Calisto MT" w:hAnsi="Calisto MT" w:cs="ArialMT"/>
          <w:bCs/>
          <w:sz w:val="22"/>
          <w:szCs w:val="22"/>
          <w:lang w:eastAsia="ar-SA"/>
        </w:rPr>
        <w:t>In regard to the selection and management of projects:</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Prepare documentation for SC and JMC meetings;</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Carry out administrative checks of project applications, a quality check of the work carried out by the external assessors during technical and financial evaluations, prepare requests for clarification and draft reports for all the evaluation steps;</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the signing of grant contracts (e.g. review the project proposal and project budget with the lead beneficiary, contribute to the preparation of grant contracts, etc.)</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Monitor progress, including financial progress, made by funded projects by checking financial and technical reports and requests for payments, visiting project events, carrying out on-the-spot checks and supporting the MA in Results Oriented Monitoring (ROM);</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training for project beneficiaries;</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Follow-up project implementation and update the monitoring system;</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Assist the MA in the financial management of the projects, including on the spot-checks and in updating the risk analysis;</w:t>
      </w:r>
    </w:p>
    <w:p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Maintain updated Questions and Answers sections in the web-site both for beneficiaries and for controllers.</w:t>
      </w:r>
    </w:p>
    <w:p w:rsidR="0028075A" w:rsidRPr="00094435" w:rsidRDefault="0028075A" w:rsidP="003574FD">
      <w:pPr>
        <w:spacing w:before="240" w:after="120" w:line="21" w:lineRule="atLeast"/>
        <w:rPr>
          <w:b/>
          <w:lang w:val="en-GB"/>
        </w:rPr>
      </w:pPr>
      <w:r w:rsidRPr="00094435">
        <w:rPr>
          <w:b/>
          <w:lang w:val="en-GB"/>
        </w:rPr>
        <w:t>Staff and recruiting procedures</w:t>
      </w:r>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The JTS will be composed of international staff recruited by an evaluation committee made up of representatives of the MA and the participating countries. </w:t>
      </w:r>
    </w:p>
    <w:p w:rsidR="0028075A" w:rsidRPr="00682784" w:rsidRDefault="0028075A" w:rsidP="003574FD">
      <w:pPr>
        <w:spacing w:line="21" w:lineRule="atLeast"/>
        <w:jc w:val="both"/>
        <w:rPr>
          <w:lang w:val="en-GB"/>
        </w:rPr>
      </w:pPr>
      <w:r w:rsidRPr="00682784">
        <w:rPr>
          <w:rFonts w:cs="ArialMT"/>
          <w:bCs/>
          <w:sz w:val="22"/>
          <w:szCs w:val="22"/>
          <w:lang w:val="en-GB"/>
        </w:rPr>
        <w:t>The structure will be gradually set up and staff recruited on the basis of the needs and the workload in each phase of the programme cycle. To ensure transparency and to guarantee balanced representation of the participating countries, while respecting the principles of equality and non-discrimination, the JTS staff will be selected through an international open procedure.</w:t>
      </w:r>
    </w:p>
    <w:p w:rsidR="0028075A" w:rsidRPr="00682784" w:rsidRDefault="0028075A" w:rsidP="003574FD">
      <w:pPr>
        <w:tabs>
          <w:tab w:val="left" w:pos="284"/>
        </w:tabs>
        <w:spacing w:line="21" w:lineRule="atLeast"/>
        <w:jc w:val="both"/>
        <w:rPr>
          <w:rFonts w:cs="Arial"/>
          <w:b/>
          <w:bCs/>
          <w:iCs/>
          <w:color w:val="8DB3E2"/>
          <w:lang w:val="en-GB"/>
        </w:rPr>
      </w:pPr>
    </w:p>
    <w:p w:rsidR="0028075A" w:rsidRPr="002B2A70" w:rsidRDefault="0028075A" w:rsidP="003574FD">
      <w:pPr>
        <w:pStyle w:val="Heading3"/>
        <w:spacing w:before="240" w:after="240" w:line="21" w:lineRule="atLeast"/>
        <w:rPr>
          <w:b/>
          <w:sz w:val="28"/>
          <w:szCs w:val="28"/>
          <w:lang w:val="en-GB"/>
        </w:rPr>
      </w:pPr>
      <w:bookmarkStart w:id="95" w:name="_Toc288133462"/>
      <w:r w:rsidRPr="002B2A70">
        <w:rPr>
          <w:b/>
          <w:sz w:val="28"/>
          <w:szCs w:val="28"/>
          <w:lang w:val="en-GB"/>
        </w:rPr>
        <w:t>Other structures supporting national authorities</w:t>
      </w:r>
      <w:bookmarkEnd w:id="95"/>
    </w:p>
    <w:p w:rsidR="0028075A" w:rsidRPr="00682784" w:rsidRDefault="0028075A" w:rsidP="003574FD">
      <w:pPr>
        <w:spacing w:line="21" w:lineRule="atLeast"/>
        <w:rPr>
          <w:rFonts w:cs="ArialMT"/>
          <w:bCs/>
          <w:sz w:val="22"/>
          <w:szCs w:val="22"/>
          <w:lang w:val="en-GB"/>
        </w:rPr>
      </w:pPr>
      <w:r w:rsidRPr="00682784">
        <w:rPr>
          <w:rFonts w:cs="ArialMT"/>
          <w:bCs/>
          <w:sz w:val="22"/>
          <w:szCs w:val="22"/>
          <w:lang w:val="en-GB"/>
        </w:rPr>
        <w:t xml:space="preserve">The National Authorities may be supported by relevant competent bodies, other than the CCP and the member of GoA, </w:t>
      </w:r>
      <w:r w:rsidR="00170818">
        <w:rPr>
          <w:rFonts w:cs="ArialMT"/>
          <w:bCs/>
          <w:sz w:val="22"/>
          <w:szCs w:val="22"/>
          <w:lang w:val="en-GB"/>
        </w:rPr>
        <w:t>for fulfilling their role and tasks</w:t>
      </w:r>
      <w:r w:rsidRPr="00682784">
        <w:rPr>
          <w:rFonts w:cs="ArialMT"/>
          <w:bCs/>
          <w:sz w:val="22"/>
          <w:szCs w:val="22"/>
          <w:lang w:val="en-GB"/>
        </w:rPr>
        <w:t xml:space="preserve">. </w:t>
      </w:r>
    </w:p>
    <w:p w:rsidR="0028075A" w:rsidRPr="002B2A70" w:rsidRDefault="0028075A" w:rsidP="003574FD">
      <w:pPr>
        <w:pStyle w:val="Heading3"/>
        <w:spacing w:before="240" w:after="240" w:line="21" w:lineRule="atLeast"/>
        <w:rPr>
          <w:b/>
          <w:sz w:val="28"/>
          <w:szCs w:val="28"/>
          <w:lang w:val="en-GB"/>
        </w:rPr>
      </w:pPr>
      <w:bookmarkStart w:id="96" w:name="_Toc288133463"/>
      <w:r w:rsidRPr="002B2A70">
        <w:rPr>
          <w:b/>
          <w:sz w:val="28"/>
          <w:szCs w:val="28"/>
          <w:lang w:val="en-GB"/>
        </w:rPr>
        <w:t>Selection Committee (SC)</w:t>
      </w:r>
      <w:bookmarkEnd w:id="96"/>
    </w:p>
    <w:p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Pursuant article 20(4) of the ENI-CBC Implementing Rules, the Joint Monitoring Committee may set up a project selection committee acting under its responsibility</w:t>
      </w:r>
      <w:r w:rsidR="00D64164">
        <w:rPr>
          <w:rFonts w:cs="ArialMT"/>
          <w:bCs/>
          <w:sz w:val="22"/>
          <w:szCs w:val="22"/>
          <w:lang w:val="en-GB"/>
        </w:rPr>
        <w:t xml:space="preserve"> for each call for proposals</w:t>
      </w:r>
      <w:r w:rsidRPr="00682784">
        <w:rPr>
          <w:rFonts w:cs="ArialMT"/>
          <w:bCs/>
          <w:sz w:val="22"/>
          <w:szCs w:val="22"/>
          <w:lang w:val="en-GB"/>
        </w:rPr>
        <w:t xml:space="preserve">. </w:t>
      </w:r>
    </w:p>
    <w:p w:rsidR="0028075A" w:rsidRPr="00682784" w:rsidRDefault="0028075A" w:rsidP="003574FD">
      <w:pPr>
        <w:spacing w:before="120" w:line="21" w:lineRule="atLeast"/>
        <w:jc w:val="both"/>
        <w:rPr>
          <w:rFonts w:cs="ArialMT"/>
          <w:bCs/>
          <w:sz w:val="22"/>
          <w:szCs w:val="22"/>
          <w:lang w:val="en-GB"/>
        </w:rPr>
      </w:pPr>
      <w:r w:rsidRPr="00682784">
        <w:rPr>
          <w:rFonts w:cs="ArialMT"/>
          <w:bCs/>
          <w:sz w:val="22"/>
          <w:szCs w:val="22"/>
          <w:lang w:val="en-GB"/>
        </w:rPr>
        <w:t xml:space="preserve">The SC is nominated by the JMC and composed as follows: </w:t>
      </w:r>
    </w:p>
    <w:p w:rsidR="0028075A" w:rsidRPr="00682784"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Chairperson</w:t>
      </w:r>
      <w:r w:rsidRPr="00682784">
        <w:rPr>
          <w:rFonts w:cs="ArialMT"/>
          <w:bCs/>
          <w:sz w:val="22"/>
          <w:szCs w:val="22"/>
          <w:lang w:val="en-GB"/>
        </w:rPr>
        <w:t xml:space="preserve"> (non-voting member): This function shall be assigned to the MA or JTS. The Chairperson is responsible for supervising and monitoring the work of the assessors (internal and external) and it is the only one that, when needed, can contact the applicants. </w:t>
      </w:r>
    </w:p>
    <w:p w:rsidR="0028075A" w:rsidRPr="00682784"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Secretary</w:t>
      </w:r>
      <w:r w:rsidRPr="00682784">
        <w:rPr>
          <w:rFonts w:cs="ArialMT"/>
          <w:bCs/>
          <w:sz w:val="22"/>
          <w:szCs w:val="22"/>
          <w:lang w:val="en-GB"/>
        </w:rPr>
        <w:t xml:space="preserve"> (non-voting member): This function shall be assigned to the JTS. The JTS representative performing this function shall be responsible for carrying out all logistic and administrative tasks connected with the evaluation procedures.</w:t>
      </w:r>
    </w:p>
    <w:p w:rsidR="0028075A" w:rsidRPr="00682784"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Voting members</w:t>
      </w:r>
      <w:r w:rsidRPr="00682784">
        <w:rPr>
          <w:rFonts w:cs="ArialMT"/>
          <w:bCs/>
          <w:sz w:val="22"/>
          <w:szCs w:val="22"/>
          <w:lang w:val="en-GB"/>
        </w:rPr>
        <w:t>: one member proposed by each participating country, they endorse the conclusions of the work of the internal assessors during Step 1, of the external assessors during Step 2 (see section 3.1 a);</w:t>
      </w:r>
    </w:p>
    <w:p w:rsidR="00AA5D7F" w:rsidRPr="002C454E"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2C454E">
        <w:rPr>
          <w:rFonts w:cs="ArialMT"/>
          <w:b/>
          <w:sz w:val="22"/>
          <w:szCs w:val="22"/>
          <w:lang w:val="en-GB"/>
        </w:rPr>
        <w:t>Observers</w:t>
      </w:r>
      <w:r w:rsidRPr="002C454E">
        <w:rPr>
          <w:rFonts w:cs="ArialMT"/>
          <w:bCs/>
          <w:sz w:val="22"/>
          <w:szCs w:val="22"/>
          <w:lang w:val="en-GB"/>
        </w:rPr>
        <w:t>: A representative of the European Commission shall be invited to the meetings of the SC as an observer and may attend SC meetings without decision-making power.</w:t>
      </w:r>
    </w:p>
    <w:p w:rsidR="0028075A" w:rsidRPr="00682784" w:rsidRDefault="0028075A" w:rsidP="002C454E">
      <w:pPr>
        <w:spacing w:before="120" w:line="21" w:lineRule="atLeast"/>
        <w:jc w:val="both"/>
        <w:rPr>
          <w:rFonts w:cs="ArialMT"/>
          <w:bCs/>
          <w:sz w:val="22"/>
          <w:szCs w:val="22"/>
          <w:lang w:val="en-GB"/>
        </w:rPr>
      </w:pPr>
      <w:r w:rsidRPr="00682784">
        <w:rPr>
          <w:rFonts w:cs="ArialMT"/>
          <w:bCs/>
          <w:sz w:val="22"/>
          <w:szCs w:val="22"/>
          <w:lang w:val="en-GB"/>
        </w:rPr>
        <w:t>In addition to the above, the following actors are also involved in the evaluation process of the Black Sea Basin Programme:</w:t>
      </w:r>
    </w:p>
    <w:p w:rsidR="0028075A" w:rsidRPr="00682784" w:rsidRDefault="0028075A" w:rsidP="003574FD">
      <w:pPr>
        <w:numPr>
          <w:ilvl w:val="0"/>
          <w:numId w:val="55"/>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External assessors</w:t>
      </w:r>
      <w:r w:rsidRPr="00682784">
        <w:rPr>
          <w:rFonts w:cs="ArialMT"/>
          <w:bCs/>
          <w:sz w:val="22"/>
          <w:szCs w:val="22"/>
          <w:lang w:val="en-GB"/>
        </w:rPr>
        <w:t>: independent external experts shall be recruited in accordance with the Terms of Reference approved by the JMC. They will work under the supervision of the Chairperson for the Technical and Financial Evaluation.</w:t>
      </w:r>
    </w:p>
    <w:p w:rsidR="0028075A" w:rsidRPr="00682784" w:rsidRDefault="0028075A" w:rsidP="003574FD">
      <w:pPr>
        <w:numPr>
          <w:ilvl w:val="0"/>
          <w:numId w:val="55"/>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Internal assessors</w:t>
      </w:r>
      <w:r w:rsidRPr="00682784">
        <w:rPr>
          <w:rFonts w:cs="ArialMT"/>
          <w:bCs/>
          <w:sz w:val="22"/>
          <w:szCs w:val="22"/>
          <w:lang w:val="en-GB"/>
        </w:rPr>
        <w:t>: they are appointed among the staff of JTS and MA in order to carry out the administrative check, as well as the quality check of the grids done by external assessors during the Technical and Financial Evaluation.</w:t>
      </w:r>
    </w:p>
    <w:p w:rsidR="0028075A" w:rsidRPr="00682784" w:rsidRDefault="0028075A" w:rsidP="003574FD">
      <w:pPr>
        <w:spacing w:line="21" w:lineRule="atLeast"/>
        <w:rPr>
          <w:rFonts w:cs="ArialMT"/>
          <w:bCs/>
          <w:lang w:val="en-GB"/>
        </w:rPr>
      </w:pPr>
    </w:p>
    <w:p w:rsidR="002E04C8" w:rsidRPr="00DD025B" w:rsidRDefault="00BF239E" w:rsidP="003574FD">
      <w:pPr>
        <w:pStyle w:val="Heading2"/>
        <w:spacing w:after="0" w:line="21" w:lineRule="atLeast"/>
        <w:jc w:val="left"/>
        <w:rPr>
          <w:sz w:val="10"/>
          <w:szCs w:val="10"/>
          <w:lang w:val="en-GB"/>
        </w:rPr>
      </w:pPr>
      <w:r>
        <w:rPr>
          <w:sz w:val="22"/>
          <w:szCs w:val="22"/>
          <w:lang w:val="en-GB"/>
        </w:rPr>
        <w:br w:type="column"/>
      </w:r>
    </w:p>
    <w:p w:rsidR="00A5635D" w:rsidRDefault="00A5635D" w:rsidP="005940EA">
      <w:pPr>
        <w:pStyle w:val="Heading1"/>
        <w:numPr>
          <w:ilvl w:val="1"/>
          <w:numId w:val="3"/>
        </w:numPr>
        <w:spacing w:before="120" w:after="0" w:line="264" w:lineRule="auto"/>
        <w:jc w:val="left"/>
        <w:rPr>
          <w:sz w:val="40"/>
          <w:szCs w:val="40"/>
          <w:lang w:val="en-GB"/>
        </w:rPr>
      </w:pPr>
      <w:bookmarkStart w:id="97" w:name="_Toc288133464"/>
      <w:r>
        <w:rPr>
          <w:sz w:val="40"/>
          <w:szCs w:val="40"/>
          <w:lang w:val="en-GB"/>
        </w:rPr>
        <w:t>Project evaluation and selection procedures</w:t>
      </w:r>
      <w:bookmarkEnd w:id="97"/>
    </w:p>
    <w:p w:rsidR="00A5635D" w:rsidRPr="00FD2990" w:rsidRDefault="00A5635D" w:rsidP="00DC5F7F">
      <w:pPr>
        <w:jc w:val="both"/>
        <w:rPr>
          <w:sz w:val="12"/>
          <w:szCs w:val="12"/>
        </w:rPr>
      </w:pPr>
    </w:p>
    <w:p w:rsidR="00A5635D" w:rsidRPr="00682784" w:rsidRDefault="00A5635D" w:rsidP="00DC5F7F">
      <w:pPr>
        <w:autoSpaceDE w:val="0"/>
        <w:spacing w:line="260" w:lineRule="exact"/>
        <w:jc w:val="both"/>
        <w:rPr>
          <w:rFonts w:cs="ArialMT"/>
          <w:sz w:val="22"/>
          <w:szCs w:val="22"/>
          <w:lang w:val="en-GB"/>
        </w:rPr>
      </w:pPr>
      <w:r w:rsidRPr="00682784">
        <w:rPr>
          <w:rFonts w:cs="ArialMT"/>
          <w:sz w:val="22"/>
          <w:szCs w:val="22"/>
          <w:lang w:val="en-GB"/>
        </w:rPr>
        <w:t xml:space="preserve">This procedure is </w:t>
      </w:r>
      <w:r w:rsidRPr="00682784">
        <w:rPr>
          <w:rFonts w:cs="ArialMT"/>
          <w:bCs/>
          <w:sz w:val="22"/>
          <w:szCs w:val="22"/>
          <w:lang w:val="en-GB"/>
        </w:rPr>
        <w:t>addressed to all actors involved in the preparation, management and execution of the evaluation and selection of projects in the framework of the Joint Operational Programme “Black Sea Basin 2014-2020”</w:t>
      </w:r>
      <w:r w:rsidR="007909FD" w:rsidRPr="00682784">
        <w:rPr>
          <w:rFonts w:cs="ArialMT"/>
          <w:bCs/>
          <w:sz w:val="22"/>
          <w:szCs w:val="22"/>
          <w:lang w:val="en-GB"/>
        </w:rPr>
        <w:t>.</w:t>
      </w:r>
    </w:p>
    <w:p w:rsidR="00A5635D" w:rsidRPr="00102CE7" w:rsidRDefault="00A5635D" w:rsidP="00102CE7">
      <w:pPr>
        <w:pStyle w:val="Heading3"/>
        <w:spacing w:before="240" w:after="240" w:line="264" w:lineRule="auto"/>
        <w:rPr>
          <w:b/>
          <w:sz w:val="28"/>
          <w:szCs w:val="28"/>
          <w:lang w:val="en-GB"/>
        </w:rPr>
      </w:pPr>
      <w:bookmarkStart w:id="98" w:name="_Toc310942061"/>
      <w:bookmarkStart w:id="99" w:name="_Toc288133465"/>
      <w:bookmarkStart w:id="100" w:name="_Toc241171242"/>
      <w:r w:rsidRPr="00102CE7">
        <w:rPr>
          <w:b/>
          <w:sz w:val="28"/>
          <w:szCs w:val="28"/>
          <w:lang w:val="en-GB"/>
        </w:rPr>
        <w:t>A</w:t>
      </w:r>
      <w:bookmarkEnd w:id="98"/>
      <w:r w:rsidR="00102CE7">
        <w:rPr>
          <w:b/>
          <w:sz w:val="28"/>
          <w:szCs w:val="28"/>
          <w:lang w:val="en-GB"/>
        </w:rPr>
        <w:t>ctors involved, roles and responsibilities</w:t>
      </w:r>
      <w:bookmarkEnd w:id="99"/>
    </w:p>
    <w:p w:rsidR="00A5635D" w:rsidRPr="00DC5F7F" w:rsidRDefault="00A5635D" w:rsidP="00DC5F7F">
      <w:pPr>
        <w:tabs>
          <w:tab w:val="left" w:pos="540"/>
        </w:tabs>
        <w:spacing w:line="260" w:lineRule="exact"/>
        <w:jc w:val="both"/>
        <w:rPr>
          <w:sz w:val="22"/>
          <w:szCs w:val="22"/>
        </w:rPr>
      </w:pPr>
      <w:r w:rsidRPr="00682784">
        <w:rPr>
          <w:sz w:val="22"/>
          <w:szCs w:val="22"/>
          <w:lang w:val="en-GB"/>
        </w:rPr>
        <w:t xml:space="preserve">Projects are evaluated and selected through an articulated process consisting of several steps and involving different actors. </w:t>
      </w:r>
      <w:r w:rsidRPr="00DC5F7F">
        <w:rPr>
          <w:sz w:val="22"/>
          <w:szCs w:val="22"/>
        </w:rPr>
        <w:t>The actors are the following:</w:t>
      </w:r>
    </w:p>
    <w:p w:rsidR="00A5635D" w:rsidRPr="00682784" w:rsidRDefault="00A5635D" w:rsidP="002E0D54">
      <w:pPr>
        <w:numPr>
          <w:ilvl w:val="0"/>
          <w:numId w:val="58"/>
        </w:numPr>
        <w:tabs>
          <w:tab w:val="left" w:pos="360"/>
          <w:tab w:val="left" w:pos="540"/>
        </w:tabs>
        <w:spacing w:before="120" w:after="120" w:line="260" w:lineRule="exact"/>
        <w:ind w:left="714" w:hanging="357"/>
        <w:jc w:val="both"/>
        <w:rPr>
          <w:sz w:val="22"/>
          <w:szCs w:val="22"/>
          <w:lang w:val="en-GB"/>
        </w:rPr>
      </w:pPr>
      <w:r w:rsidRPr="00682784">
        <w:rPr>
          <w:b/>
          <w:bCs/>
          <w:sz w:val="22"/>
          <w:szCs w:val="22"/>
          <w:lang w:val="en-GB"/>
        </w:rPr>
        <w:t>Joint Monitoring Committee (</w:t>
      </w:r>
      <w:r w:rsidRPr="00682784">
        <w:rPr>
          <w:b/>
          <w:bCs/>
          <w:i/>
          <w:sz w:val="22"/>
          <w:szCs w:val="22"/>
          <w:lang w:val="en-GB"/>
        </w:rPr>
        <w:t>hereinafter referred to as JMC):</w:t>
      </w:r>
      <w:r w:rsidRPr="00682784">
        <w:rPr>
          <w:b/>
          <w:bCs/>
          <w:sz w:val="22"/>
          <w:szCs w:val="22"/>
          <w:lang w:val="en-GB"/>
        </w:rPr>
        <w:t xml:space="preserve"> </w:t>
      </w:r>
      <w:r w:rsidRPr="00682784">
        <w:rPr>
          <w:bCs/>
          <w:sz w:val="22"/>
          <w:szCs w:val="22"/>
          <w:lang w:val="en-GB"/>
        </w:rPr>
        <w:t>in the context of the evaluation process, the main task of the JMC</w:t>
      </w:r>
      <w:r w:rsidRPr="00682784">
        <w:rPr>
          <w:b/>
          <w:bCs/>
          <w:sz w:val="22"/>
          <w:szCs w:val="22"/>
          <w:lang w:val="en-GB"/>
        </w:rPr>
        <w:t xml:space="preserve"> </w:t>
      </w:r>
      <w:r w:rsidRPr="00682784">
        <w:rPr>
          <w:bCs/>
          <w:sz w:val="22"/>
          <w:szCs w:val="22"/>
          <w:lang w:val="en-GB"/>
        </w:rPr>
        <w:t>shall be to</w:t>
      </w:r>
      <w:r w:rsidRPr="00682784">
        <w:rPr>
          <w:b/>
          <w:bCs/>
          <w:sz w:val="22"/>
          <w:szCs w:val="22"/>
          <w:lang w:val="en-GB"/>
        </w:rPr>
        <w:t xml:space="preserve"> </w:t>
      </w:r>
      <w:r w:rsidRPr="00682784">
        <w:rPr>
          <w:sz w:val="22"/>
          <w:szCs w:val="22"/>
          <w:lang w:val="en-GB"/>
        </w:rPr>
        <w:t xml:space="preserve">decide on the selection criteria for the projects and to take the final decision on projects to be approved and the amount granted to them; it also decides on the selection criteria for the external assessors; in addition, if the case may be, it appoints by name the voting and non-voting members of the Selection Committee: the Chairperson, the Secretary, the internal assessors and the observers; The JMC approves the Evaluation Reports submitted by the SC after each step. </w:t>
      </w:r>
    </w:p>
    <w:p w:rsidR="00A5635D" w:rsidRPr="00682784" w:rsidRDefault="00A5635D" w:rsidP="002E0D54">
      <w:pPr>
        <w:numPr>
          <w:ilvl w:val="0"/>
          <w:numId w:val="58"/>
        </w:numPr>
        <w:tabs>
          <w:tab w:val="left" w:pos="540"/>
        </w:tabs>
        <w:spacing w:before="120" w:after="120" w:line="260" w:lineRule="exact"/>
        <w:ind w:left="714" w:hanging="357"/>
        <w:jc w:val="both"/>
        <w:rPr>
          <w:sz w:val="22"/>
          <w:szCs w:val="22"/>
          <w:lang w:val="en-GB"/>
        </w:rPr>
      </w:pPr>
      <w:r w:rsidRPr="00682784">
        <w:rPr>
          <w:b/>
          <w:sz w:val="22"/>
          <w:szCs w:val="22"/>
          <w:lang w:val="en-GB"/>
        </w:rPr>
        <w:t>Managing Authority</w:t>
      </w:r>
      <w:r w:rsidRPr="00682784">
        <w:rPr>
          <w:sz w:val="22"/>
          <w:szCs w:val="22"/>
          <w:lang w:val="en-GB"/>
        </w:rPr>
        <w:t xml:space="preserve"> (</w:t>
      </w:r>
      <w:r w:rsidRPr="00682784">
        <w:rPr>
          <w:b/>
          <w:bCs/>
          <w:i/>
          <w:sz w:val="22"/>
          <w:szCs w:val="22"/>
          <w:lang w:val="en-GB"/>
        </w:rPr>
        <w:t xml:space="preserve">hereinafter referred to as MA): </w:t>
      </w:r>
      <w:r w:rsidRPr="00682784">
        <w:rPr>
          <w:bCs/>
          <w:sz w:val="22"/>
          <w:szCs w:val="22"/>
          <w:lang w:val="en-GB"/>
        </w:rPr>
        <w:t xml:space="preserve">in the context of the evaluation process, the tasks of the MA shall be to nominate the </w:t>
      </w:r>
      <w:r w:rsidRPr="00682784">
        <w:rPr>
          <w:b/>
          <w:bCs/>
          <w:sz w:val="22"/>
          <w:szCs w:val="22"/>
          <w:lang w:val="en-GB"/>
        </w:rPr>
        <w:t>Chairperson</w:t>
      </w:r>
      <w:r w:rsidRPr="00682784">
        <w:rPr>
          <w:bCs/>
          <w:sz w:val="22"/>
          <w:szCs w:val="22"/>
          <w:lang w:val="en-GB"/>
        </w:rPr>
        <w:t xml:space="preserve"> of the SC (non-voting member) from the MA/JTS staff, the </w:t>
      </w:r>
      <w:r w:rsidRPr="00682784">
        <w:rPr>
          <w:b/>
          <w:bCs/>
          <w:sz w:val="22"/>
          <w:szCs w:val="22"/>
          <w:lang w:val="en-GB"/>
        </w:rPr>
        <w:t>Secretary</w:t>
      </w:r>
      <w:r w:rsidRPr="00682784">
        <w:rPr>
          <w:bCs/>
          <w:sz w:val="22"/>
          <w:szCs w:val="22"/>
          <w:lang w:val="en-GB"/>
        </w:rPr>
        <w:t xml:space="preserve"> of the SC (non-voting member) from the JTS staff, the internal assessors and to endorse the Evaluation Reports. </w:t>
      </w:r>
    </w:p>
    <w:p w:rsidR="00A5635D" w:rsidRPr="00DC5F7F" w:rsidRDefault="00A5635D" w:rsidP="002E0D54">
      <w:pPr>
        <w:numPr>
          <w:ilvl w:val="0"/>
          <w:numId w:val="58"/>
        </w:numPr>
        <w:tabs>
          <w:tab w:val="left" w:pos="540"/>
        </w:tabs>
        <w:spacing w:before="120" w:after="120" w:line="260" w:lineRule="exact"/>
        <w:ind w:left="714" w:hanging="357"/>
        <w:jc w:val="both"/>
        <w:rPr>
          <w:rFonts w:cs="Arial"/>
          <w:sz w:val="22"/>
          <w:szCs w:val="22"/>
          <w:lang w:eastAsia="en-US"/>
        </w:rPr>
      </w:pPr>
      <w:r w:rsidRPr="00682784">
        <w:rPr>
          <w:b/>
          <w:sz w:val="22"/>
          <w:szCs w:val="22"/>
          <w:lang w:val="en-GB"/>
        </w:rPr>
        <w:t>Joint Technical Secretariat</w:t>
      </w:r>
      <w:r w:rsidRPr="00682784">
        <w:rPr>
          <w:sz w:val="22"/>
          <w:szCs w:val="22"/>
          <w:lang w:val="en-GB"/>
        </w:rPr>
        <w:t xml:space="preserve"> (</w:t>
      </w:r>
      <w:r w:rsidRPr="00682784">
        <w:rPr>
          <w:b/>
          <w:bCs/>
          <w:i/>
          <w:sz w:val="22"/>
          <w:szCs w:val="22"/>
          <w:lang w:val="en-GB"/>
        </w:rPr>
        <w:t xml:space="preserve">hereinafter referred to as JTS): </w:t>
      </w:r>
      <w:r w:rsidRPr="00682784">
        <w:rPr>
          <w:bCs/>
          <w:sz w:val="22"/>
          <w:szCs w:val="22"/>
          <w:lang w:val="en-GB"/>
        </w:rPr>
        <w:t xml:space="preserve">in the context of the evaluation process, </w:t>
      </w:r>
      <w:r w:rsidRPr="00682784">
        <w:rPr>
          <w:rFonts w:cs="Arial"/>
          <w:sz w:val="22"/>
          <w:szCs w:val="22"/>
          <w:lang w:val="en-GB" w:eastAsia="en-US"/>
        </w:rPr>
        <w:t xml:space="preserve">the functions of the Secretary of the SC shall be performed by a person nominated by the MA from the staff of the Joint Technical Secretariat and appointed by the JMC. </w:t>
      </w:r>
      <w:r w:rsidRPr="00DC5F7F">
        <w:rPr>
          <w:rFonts w:cs="Arial"/>
          <w:sz w:val="22"/>
          <w:szCs w:val="22"/>
          <w:lang w:eastAsia="en-US"/>
        </w:rPr>
        <w:t>Additionally, JTS staff may be appointed as internal assessors.</w:t>
      </w:r>
    </w:p>
    <w:p w:rsidR="00A5635D" w:rsidRPr="00682784" w:rsidRDefault="00A5635D" w:rsidP="00BC6B70">
      <w:pPr>
        <w:numPr>
          <w:ilvl w:val="0"/>
          <w:numId w:val="58"/>
        </w:numPr>
        <w:spacing w:before="120" w:after="120" w:line="260" w:lineRule="exact"/>
        <w:ind w:left="567" w:hanging="210"/>
        <w:jc w:val="both"/>
        <w:rPr>
          <w:sz w:val="22"/>
          <w:szCs w:val="22"/>
          <w:lang w:val="en-GB"/>
        </w:rPr>
      </w:pPr>
      <w:r w:rsidRPr="00682784">
        <w:rPr>
          <w:b/>
          <w:sz w:val="22"/>
          <w:szCs w:val="22"/>
          <w:lang w:val="en-GB"/>
        </w:rPr>
        <w:t xml:space="preserve">National Authorities </w:t>
      </w:r>
      <w:r w:rsidRPr="00682784">
        <w:rPr>
          <w:b/>
          <w:i/>
          <w:sz w:val="22"/>
          <w:szCs w:val="22"/>
          <w:lang w:val="en-GB"/>
        </w:rPr>
        <w:t>(hereinafter referred to as NA):</w:t>
      </w:r>
      <w:r w:rsidRPr="00682784">
        <w:rPr>
          <w:sz w:val="22"/>
          <w:szCs w:val="22"/>
          <w:lang w:val="en-GB"/>
        </w:rPr>
        <w:t xml:space="preserve"> in the context of the evaluation process, the tasks of the NA shall be to carry out the eligibility checks.</w:t>
      </w:r>
    </w:p>
    <w:p w:rsidR="00A5635D" w:rsidRPr="00682784" w:rsidRDefault="00A5635D" w:rsidP="002E0D54">
      <w:pPr>
        <w:pStyle w:val="ListParagraph"/>
        <w:numPr>
          <w:ilvl w:val="0"/>
          <w:numId w:val="58"/>
        </w:numPr>
        <w:tabs>
          <w:tab w:val="left" w:pos="540"/>
        </w:tabs>
        <w:spacing w:before="120" w:after="120" w:line="260" w:lineRule="exact"/>
        <w:ind w:left="714" w:hanging="357"/>
        <w:jc w:val="both"/>
        <w:rPr>
          <w:sz w:val="22"/>
          <w:szCs w:val="22"/>
          <w:lang w:val="en-GB"/>
        </w:rPr>
      </w:pPr>
      <w:r w:rsidRPr="00682784">
        <w:rPr>
          <w:b/>
          <w:bCs/>
          <w:sz w:val="22"/>
          <w:szCs w:val="22"/>
          <w:lang w:val="en-GB"/>
        </w:rPr>
        <w:t>Selection</w:t>
      </w:r>
      <w:r w:rsidRPr="00682784">
        <w:rPr>
          <w:b/>
          <w:sz w:val="22"/>
          <w:szCs w:val="22"/>
          <w:lang w:val="en-GB"/>
        </w:rPr>
        <w:t xml:space="preserve"> Committee </w:t>
      </w:r>
      <w:r w:rsidRPr="00682784">
        <w:rPr>
          <w:b/>
          <w:i/>
          <w:sz w:val="22"/>
          <w:szCs w:val="22"/>
          <w:lang w:val="en-GB"/>
        </w:rPr>
        <w:t>(hereinafter referred to as SC)</w:t>
      </w:r>
      <w:r w:rsidRPr="00682784">
        <w:rPr>
          <w:b/>
          <w:sz w:val="22"/>
          <w:szCs w:val="22"/>
          <w:lang w:val="en-GB"/>
        </w:rPr>
        <w:t xml:space="preserve">: </w:t>
      </w:r>
      <w:r w:rsidRPr="00682784">
        <w:rPr>
          <w:bCs/>
          <w:sz w:val="22"/>
          <w:szCs w:val="22"/>
          <w:lang w:val="en-GB"/>
        </w:rPr>
        <w:t>its main task will</w:t>
      </w:r>
      <w:r w:rsidRPr="00682784">
        <w:rPr>
          <w:rFonts w:cs="Arial"/>
          <w:sz w:val="22"/>
          <w:szCs w:val="22"/>
          <w:lang w:val="en-GB" w:eastAsia="en-US"/>
        </w:rPr>
        <w:t xml:space="preserve"> be to validate the results of the work of the assessors (internal and external), in particular revising and complementing the comments for the recommended projects, which will be the basis for negotiations by MA in the contracting phase. It shall also supervise the administrative check the technical and financial evaluation and the eligibility check</w:t>
      </w:r>
      <w:r w:rsidRPr="00682784" w:rsidDel="008F352C">
        <w:rPr>
          <w:sz w:val="22"/>
          <w:szCs w:val="22"/>
          <w:lang w:val="en-GB"/>
        </w:rPr>
        <w:t xml:space="preserve"> </w:t>
      </w:r>
    </w:p>
    <w:p w:rsidR="00A5635D" w:rsidRPr="007C6F9D" w:rsidRDefault="00A5635D" w:rsidP="007C6F9D">
      <w:pPr>
        <w:pStyle w:val="Heading3"/>
        <w:spacing w:before="240" w:after="240" w:line="264" w:lineRule="auto"/>
        <w:rPr>
          <w:b/>
          <w:sz w:val="28"/>
          <w:szCs w:val="28"/>
          <w:lang w:val="en-GB"/>
        </w:rPr>
      </w:pPr>
      <w:bookmarkStart w:id="101" w:name="_Toc310942063"/>
      <w:bookmarkStart w:id="102" w:name="_Toc288133466"/>
      <w:bookmarkEnd w:id="100"/>
      <w:r w:rsidRPr="007C6F9D">
        <w:rPr>
          <w:b/>
          <w:sz w:val="28"/>
          <w:szCs w:val="28"/>
          <w:lang w:val="en-GB"/>
        </w:rPr>
        <w:t>D</w:t>
      </w:r>
      <w:bookmarkEnd w:id="101"/>
      <w:r w:rsidR="007C6F9D">
        <w:rPr>
          <w:b/>
          <w:sz w:val="28"/>
          <w:szCs w:val="28"/>
          <w:lang w:val="en-GB"/>
        </w:rPr>
        <w:t>escription of the evaluation and selection process</w:t>
      </w:r>
      <w:bookmarkEnd w:id="102"/>
      <w:r w:rsidRPr="007C6F9D">
        <w:rPr>
          <w:b/>
          <w:sz w:val="28"/>
          <w:szCs w:val="28"/>
          <w:lang w:val="en-GB"/>
        </w:rPr>
        <w:t xml:space="preserve"> </w:t>
      </w:r>
    </w:p>
    <w:p w:rsidR="00A5635D" w:rsidRPr="001368E0" w:rsidRDefault="00A5635D" w:rsidP="00A73EBF">
      <w:pPr>
        <w:pStyle w:val="Quadrculamitjana1mfasi21"/>
        <w:spacing w:before="120" w:line="240" w:lineRule="auto"/>
        <w:ind w:left="0"/>
        <w:rPr>
          <w:rFonts w:ascii="Calisto MT" w:hAnsi="Calisto MT"/>
          <w:sz w:val="22"/>
          <w:szCs w:val="22"/>
        </w:rPr>
      </w:pPr>
      <w:r w:rsidRPr="001368E0">
        <w:rPr>
          <w:rFonts w:ascii="Calisto MT" w:hAnsi="Calisto MT"/>
          <w:sz w:val="22"/>
          <w:szCs w:val="22"/>
        </w:rPr>
        <w:t>All persons involved in the different steps of the evaluation process have to strictly adhere to the following principles:</w:t>
      </w:r>
    </w:p>
    <w:p w:rsidR="00A5635D" w:rsidRPr="001368E0" w:rsidRDefault="00A5635D" w:rsidP="00A73EBF">
      <w:pPr>
        <w:pStyle w:val="Quadrculamitjana1mfasi21"/>
        <w:numPr>
          <w:ilvl w:val="0"/>
          <w:numId w:val="72"/>
        </w:numPr>
        <w:spacing w:before="120" w:line="240" w:lineRule="auto"/>
        <w:ind w:left="567" w:hanging="141"/>
        <w:rPr>
          <w:rFonts w:ascii="Calisto MT" w:hAnsi="Calisto MT"/>
          <w:sz w:val="22"/>
          <w:szCs w:val="22"/>
        </w:rPr>
      </w:pPr>
      <w:r w:rsidRPr="001368E0">
        <w:rPr>
          <w:rFonts w:ascii="Calisto MT" w:hAnsi="Calisto MT"/>
          <w:b/>
          <w:sz w:val="22"/>
          <w:szCs w:val="22"/>
        </w:rPr>
        <w:t>Confidentiality:</w:t>
      </w:r>
      <w:r w:rsidRPr="001368E0">
        <w:rPr>
          <w:rFonts w:ascii="Calisto MT" w:hAnsi="Calisto MT"/>
          <w:sz w:val="22"/>
          <w:szCs w:val="22"/>
        </w:rPr>
        <w:t xml:space="preserve"> information made available to persons involved in the evaluation process is to be treated as strictly confidential; </w:t>
      </w:r>
    </w:p>
    <w:p w:rsidR="00A5635D" w:rsidRPr="001368E0" w:rsidRDefault="00A5635D" w:rsidP="00A73EBF">
      <w:pPr>
        <w:pStyle w:val="Quadrculamitjana1mfasi21"/>
        <w:numPr>
          <w:ilvl w:val="0"/>
          <w:numId w:val="72"/>
        </w:numPr>
        <w:spacing w:before="120" w:line="240" w:lineRule="auto"/>
        <w:ind w:left="567" w:hanging="141"/>
        <w:rPr>
          <w:rFonts w:ascii="Calisto MT" w:hAnsi="Calisto MT"/>
          <w:bCs/>
          <w:sz w:val="22"/>
          <w:szCs w:val="22"/>
        </w:rPr>
      </w:pPr>
      <w:r w:rsidRPr="001368E0">
        <w:rPr>
          <w:rFonts w:ascii="Calisto MT" w:hAnsi="Calisto MT"/>
          <w:b/>
          <w:bCs/>
          <w:sz w:val="22"/>
          <w:szCs w:val="22"/>
        </w:rPr>
        <w:t>Objectivity, impartiality and equality of treatment</w:t>
      </w:r>
      <w:r w:rsidRPr="001368E0">
        <w:rPr>
          <w:rFonts w:ascii="Calisto MT" w:hAnsi="Calisto MT"/>
          <w:bCs/>
          <w:sz w:val="22"/>
          <w:szCs w:val="22"/>
        </w:rPr>
        <w:t xml:space="preserve">: </w:t>
      </w:r>
      <w:r w:rsidRPr="001368E0">
        <w:rPr>
          <w:rFonts w:ascii="Calisto MT" w:hAnsi="Calisto MT"/>
          <w:sz w:val="22"/>
          <w:szCs w:val="22"/>
        </w:rPr>
        <w:t>Projects have to be assessed alike and treated impartially on their merits, following a review strictly based upon the information they contain and the published selection criteria. Any case of possible conflict of interest has to be reported to the SC Chairperson, and the respective person should withdraw immediately from the selection process</w:t>
      </w:r>
      <w:r w:rsidRPr="001368E0">
        <w:rPr>
          <w:rFonts w:ascii="Calisto MT" w:hAnsi="Calisto MT"/>
          <w:bCs/>
          <w:sz w:val="22"/>
          <w:szCs w:val="22"/>
        </w:rPr>
        <w:t xml:space="preserve">. </w:t>
      </w:r>
      <w:r w:rsidRPr="001368E0">
        <w:rPr>
          <w:rFonts w:ascii="Calisto MT" w:hAnsi="Calisto MT" w:cs="Arial"/>
          <w:sz w:val="22"/>
          <w:szCs w:val="22"/>
        </w:rPr>
        <w:t>All SC</w:t>
      </w:r>
      <w:r w:rsidRPr="001368E0">
        <w:rPr>
          <w:rFonts w:ascii="Calisto MT" w:hAnsi="Calisto MT"/>
          <w:bCs/>
          <w:sz w:val="22"/>
          <w:szCs w:val="22"/>
        </w:rPr>
        <w:t xml:space="preserve"> </w:t>
      </w:r>
      <w:r w:rsidRPr="001368E0">
        <w:rPr>
          <w:rFonts w:ascii="Calisto MT" w:hAnsi="Calisto MT" w:cs="Arial"/>
          <w:bCs/>
          <w:sz w:val="22"/>
          <w:szCs w:val="22"/>
        </w:rPr>
        <w:t xml:space="preserve">members (voting and non-voting members) as well as all internal and external assessors </w:t>
      </w:r>
      <w:r w:rsidRPr="001368E0">
        <w:rPr>
          <w:rFonts w:ascii="Calisto MT" w:hAnsi="Calisto MT" w:cs="Arial"/>
          <w:sz w:val="22"/>
          <w:szCs w:val="22"/>
        </w:rPr>
        <w:t xml:space="preserve">must sign a </w:t>
      </w:r>
      <w:r w:rsidRPr="001368E0">
        <w:rPr>
          <w:rFonts w:ascii="Calisto MT" w:hAnsi="Calisto MT" w:cs="Arial"/>
          <w:bCs/>
          <w:sz w:val="22"/>
          <w:szCs w:val="22"/>
        </w:rPr>
        <w:t>Declaration of Impartiality and Confidentiality;</w:t>
      </w:r>
    </w:p>
    <w:p w:rsidR="00A5635D" w:rsidRPr="001368E0" w:rsidRDefault="00125488" w:rsidP="00A73EBF">
      <w:pPr>
        <w:pStyle w:val="Quadrculamitjana1mfasi21"/>
        <w:numPr>
          <w:ilvl w:val="0"/>
          <w:numId w:val="72"/>
        </w:numPr>
        <w:spacing w:before="120" w:line="240" w:lineRule="auto"/>
        <w:ind w:left="567" w:hanging="141"/>
        <w:rPr>
          <w:rFonts w:ascii="Calisto MT" w:hAnsi="Calisto MT"/>
          <w:b/>
          <w:bCs/>
          <w:sz w:val="22"/>
          <w:szCs w:val="22"/>
        </w:rPr>
      </w:pPr>
      <w:r w:rsidRPr="001368E0">
        <w:rPr>
          <w:rFonts w:ascii="Calisto MT" w:hAnsi="Calisto MT"/>
          <w:b/>
          <w:bCs/>
          <w:sz w:val="22"/>
          <w:szCs w:val="22"/>
        </w:rPr>
        <w:t>Transparency and clarity.</w:t>
      </w:r>
    </w:p>
    <w:p w:rsidR="00125488" w:rsidRPr="001368E0" w:rsidRDefault="00125488" w:rsidP="00DC5F7F">
      <w:pPr>
        <w:pStyle w:val="Quadrculamitjana1mfasi21"/>
        <w:spacing w:line="240" w:lineRule="auto"/>
        <w:rPr>
          <w:rFonts w:ascii="Calisto MT" w:hAnsi="Calisto MT"/>
          <w:b/>
          <w:sz w:val="22"/>
          <w:szCs w:val="22"/>
        </w:rPr>
      </w:pPr>
    </w:p>
    <w:p w:rsidR="00B32095" w:rsidRDefault="006102F6" w:rsidP="00B32095">
      <w:pPr>
        <w:spacing w:line="240" w:lineRule="auto"/>
        <w:jc w:val="both"/>
        <w:rPr>
          <w:rFonts w:ascii="Trebuchet MS" w:eastAsia="Times New Roman" w:hAnsi="Trebuchet MS" w:cs="Calibri"/>
          <w:sz w:val="22"/>
          <w:szCs w:val="22"/>
          <w:lang w:val="en-GB" w:eastAsia="ar-SA"/>
        </w:rPr>
      </w:pPr>
      <w:r>
        <w:rPr>
          <w:noProof/>
          <w:lang w:val="ro-RO" w:eastAsia="ro-RO"/>
        </w:rPr>
        <w:drawing>
          <wp:anchor distT="0" distB="0" distL="114300" distR="114300" simplePos="0" relativeHeight="251656704" behindDoc="0" locked="0" layoutInCell="1" allowOverlap="1">
            <wp:simplePos x="0" y="0"/>
            <wp:positionH relativeFrom="column">
              <wp:posOffset>3886200</wp:posOffset>
            </wp:positionH>
            <wp:positionV relativeFrom="paragraph">
              <wp:posOffset>403225</wp:posOffset>
            </wp:positionV>
            <wp:extent cx="1397000" cy="1270000"/>
            <wp:effectExtent l="19050" t="0" r="0" b="0"/>
            <wp:wrapThrough wrapText="bothSides">
              <wp:wrapPolygon edited="0">
                <wp:start x="-295" y="0"/>
                <wp:lineTo x="-295" y="21384"/>
                <wp:lineTo x="21502" y="21384"/>
                <wp:lineTo x="21502" y="0"/>
                <wp:lineTo x="-295" y="0"/>
              </wp:wrapPolygon>
            </wp:wrapThrough>
            <wp:docPr id="4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69"/>
                    <a:srcRect/>
                    <a:stretch>
                      <a:fillRect/>
                    </a:stretch>
                  </pic:blipFill>
                  <pic:spPr bwMode="auto">
                    <a:xfrm>
                      <a:off x="0" y="0"/>
                      <a:ext cx="1397000" cy="1270000"/>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53632" behindDoc="0" locked="0" layoutInCell="1" allowOverlap="1">
            <wp:simplePos x="0" y="0"/>
            <wp:positionH relativeFrom="column">
              <wp:posOffset>-114300</wp:posOffset>
            </wp:positionH>
            <wp:positionV relativeFrom="paragraph">
              <wp:posOffset>474345</wp:posOffset>
            </wp:positionV>
            <wp:extent cx="1397000" cy="1106170"/>
            <wp:effectExtent l="19050" t="0" r="0" b="0"/>
            <wp:wrapThrough wrapText="bothSides">
              <wp:wrapPolygon edited="0">
                <wp:start x="-295" y="0"/>
                <wp:lineTo x="-295" y="21203"/>
                <wp:lineTo x="21502" y="21203"/>
                <wp:lineTo x="21502" y="0"/>
                <wp:lineTo x="-295" y="0"/>
              </wp:wrapPolygon>
            </wp:wrapThrough>
            <wp:docPr id="4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70"/>
                    <a:srcRect/>
                    <a:stretch>
                      <a:fillRect/>
                    </a:stretch>
                  </pic:blipFill>
                  <pic:spPr bwMode="auto">
                    <a:xfrm>
                      <a:off x="0" y="0"/>
                      <a:ext cx="1397000" cy="1106170"/>
                    </a:xfrm>
                    <a:prstGeom prst="rect">
                      <a:avLst/>
                    </a:prstGeom>
                    <a:noFill/>
                    <a:ln w="9525">
                      <a:noFill/>
                      <a:miter lim="800000"/>
                      <a:headEnd/>
                      <a:tailEnd/>
                    </a:ln>
                  </pic:spPr>
                </pic:pic>
              </a:graphicData>
            </a:graphic>
          </wp:anchor>
        </w:drawing>
      </w:r>
      <w:r w:rsidR="00A5635D" w:rsidRPr="00682784">
        <w:rPr>
          <w:sz w:val="22"/>
          <w:szCs w:val="22"/>
          <w:lang w:val="en-GB"/>
        </w:rPr>
        <w:t>The different steps of the assessment process in the framework of the Black Sea Basin Programme can be summarized as follows:</w:t>
      </w:r>
      <w:bookmarkStart w:id="103" w:name="_Toc310942065"/>
      <w:r w:rsidR="00B32095" w:rsidRPr="00B32095">
        <w:rPr>
          <w:rFonts w:ascii="Trebuchet MS" w:eastAsia="Times New Roman" w:hAnsi="Trebuchet MS" w:cs="Calibri"/>
          <w:sz w:val="22"/>
          <w:szCs w:val="22"/>
          <w:lang w:val="en-GB" w:eastAsia="ar-SA"/>
        </w:rPr>
        <w:t xml:space="preserve"> </w:t>
      </w:r>
    </w:p>
    <w:p w:rsidR="001B2808" w:rsidRPr="00B32095" w:rsidRDefault="006102F6" w:rsidP="00B32095">
      <w:pPr>
        <w:spacing w:line="240" w:lineRule="auto"/>
        <w:jc w:val="both"/>
        <w:rPr>
          <w:rFonts w:ascii="Trebuchet MS" w:eastAsia="Times New Roman" w:hAnsi="Trebuchet MS" w:cs="Arial"/>
          <w:b/>
          <w:bCs/>
          <w:iCs/>
          <w:color w:val="8DB3E2"/>
          <w:sz w:val="22"/>
          <w:szCs w:val="22"/>
          <w:lang w:val="en-GB" w:eastAsia="ar-SA"/>
        </w:rPr>
      </w:pPr>
      <w:r>
        <w:rPr>
          <w:noProof/>
          <w:lang w:val="ro-RO" w:eastAsia="ro-RO"/>
        </w:rPr>
        <w:drawing>
          <wp:anchor distT="0" distB="0" distL="114300" distR="114300" simplePos="0" relativeHeight="251655680" behindDoc="0" locked="0" layoutInCell="1" allowOverlap="1">
            <wp:simplePos x="0" y="0"/>
            <wp:positionH relativeFrom="column">
              <wp:posOffset>1372235</wp:posOffset>
            </wp:positionH>
            <wp:positionV relativeFrom="paragraph">
              <wp:posOffset>42545</wp:posOffset>
            </wp:positionV>
            <wp:extent cx="1168400" cy="1016000"/>
            <wp:effectExtent l="19050" t="0" r="0" b="0"/>
            <wp:wrapThrough wrapText="bothSides">
              <wp:wrapPolygon edited="0">
                <wp:start x="-352" y="0"/>
                <wp:lineTo x="-352" y="21060"/>
                <wp:lineTo x="21483" y="21060"/>
                <wp:lineTo x="21483" y="0"/>
                <wp:lineTo x="-352" y="0"/>
              </wp:wrapPolygon>
            </wp:wrapThrough>
            <wp:docPr id="4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71"/>
                    <a:srcRect/>
                    <a:stretch>
                      <a:fillRect/>
                    </a:stretch>
                  </pic:blipFill>
                  <pic:spPr bwMode="auto">
                    <a:xfrm>
                      <a:off x="0" y="0"/>
                      <a:ext cx="1168400" cy="1016000"/>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54656" behindDoc="0" locked="0" layoutInCell="1" allowOverlap="1">
            <wp:simplePos x="0" y="0"/>
            <wp:positionH relativeFrom="column">
              <wp:posOffset>-113665</wp:posOffset>
            </wp:positionH>
            <wp:positionV relativeFrom="paragraph">
              <wp:posOffset>42545</wp:posOffset>
            </wp:positionV>
            <wp:extent cx="1460500" cy="1016000"/>
            <wp:effectExtent l="19050" t="0" r="6350" b="0"/>
            <wp:wrapThrough wrapText="bothSides">
              <wp:wrapPolygon edited="0">
                <wp:start x="-282" y="0"/>
                <wp:lineTo x="-282" y="21060"/>
                <wp:lineTo x="21694" y="21060"/>
                <wp:lineTo x="21694" y="0"/>
                <wp:lineTo x="-282" y="0"/>
              </wp:wrapPolygon>
            </wp:wrapThrough>
            <wp:docPr id="4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72"/>
                    <a:srcRect/>
                    <a:stretch>
                      <a:fillRect/>
                    </a:stretch>
                  </pic:blipFill>
                  <pic:spPr bwMode="auto">
                    <a:xfrm>
                      <a:off x="0" y="0"/>
                      <a:ext cx="1460500" cy="1016000"/>
                    </a:xfrm>
                    <a:prstGeom prst="rect">
                      <a:avLst/>
                    </a:prstGeom>
                    <a:noFill/>
                    <a:ln w="9525">
                      <a:noFill/>
                      <a:miter lim="800000"/>
                      <a:headEnd/>
                      <a:tailEnd/>
                    </a:ln>
                  </pic:spPr>
                </pic:pic>
              </a:graphicData>
            </a:graphic>
          </wp:anchor>
        </w:drawing>
      </w:r>
    </w:p>
    <w:p w:rsidR="00B32095" w:rsidRPr="00B32095" w:rsidRDefault="00B32095" w:rsidP="00B32095">
      <w:pPr>
        <w:keepNext/>
        <w:suppressAutoHyphens/>
        <w:spacing w:before="240" w:after="60" w:line="312" w:lineRule="auto"/>
        <w:jc w:val="both"/>
        <w:outlineLvl w:val="1"/>
        <w:rPr>
          <w:rFonts w:ascii="Trebuchet MS" w:eastAsia="Times New Roman" w:hAnsi="Trebuchet MS" w:cs="Arial"/>
          <w:b/>
          <w:bCs/>
          <w:iCs/>
          <w:color w:val="8DB3E2"/>
          <w:sz w:val="22"/>
          <w:szCs w:val="22"/>
          <w:lang w:val="en-GB" w:eastAsia="ar-SA"/>
        </w:rPr>
      </w:pPr>
    </w:p>
    <w:p w:rsidR="00B32095" w:rsidRPr="001368E0" w:rsidRDefault="001368E0" w:rsidP="00DC5F7F">
      <w:pPr>
        <w:pStyle w:val="Heading2"/>
        <w:jc w:val="both"/>
        <w:rPr>
          <w:i/>
          <w:color w:val="8DB3E2"/>
          <w:sz w:val="22"/>
          <w:szCs w:val="22"/>
          <w:lang w:val="en-GB"/>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170" o:spid="_x0000_s1030" type="#_x0000_t13" style="position:absolute;left:0;text-align:left;margin-left:9.05pt;margin-top:4pt;width:30.75pt;height:12.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7+SgIAAKUEAAAOAAAAZHJzL2Uyb0RvYy54bWysVF1uEzEQfkfiDpbfye6mSdqNsqmqlCKk&#10;ApUKB3Bsb9bgP8ZONuVEvQcXY+zdlgBvFXmwPDueb+abbyary6PR5CAhKGcbWk1KSqTlTii7a+iX&#10;zzdvLigJkVnBtLOyoQ8y0Mv161er3i/l1HVOCwkEQWxY9r6hXYx+WRSBd9KwMHFeWnS2DgyLaMKu&#10;EMB6RDe6mJblougdCA+OyxDw6/XgpOuM37aSx09tG2QkuqFYW8wn5HObzmK9YssdMN8pPpbBXlCF&#10;Ycpi0meoaxYZ2YP6B8ooDi64Nk64M4VrW8Vl5oBsqvIvNvcd8zJzweYE/9ym8P9g+cfDHRAlULvq&#10;HBtkmUGVbvTPR1QgC0s0IwKcipLkJ9ix3oclBt77O0icg791/Fsg1m06ZnfyCsD1nWQC66xSh4s/&#10;ApIRMJRs+w9OYDa2jy4379iCSYDYFnLMGj08aySPkXD8eFaX8+mcEo6ualHVeE8Z2PIp2EOI76Qz&#10;JF0aCmrXxVxRTsEOtyFmocTIlYmvFSWt0aj7gWkyL/E3zsXJm+npm0U5rWdj3hERK3jKnHvitBI3&#10;SutswG670UAQHvmUZ2d1PQaH02fakr6hdaL3UgiDMgHRyjT0IvEYiSQx3lqRhz0ypYc7lqztqE4S&#10;ZBB268QDigNu2BXcbbx0Dn5Q0uOeNDR83zOQlOj3FgWuq9ksLVY2ZvPzKRpw6tmeepjlCNXQSMlw&#10;3cRhGfc+C5UGJnG37gqHolXxaXqGqsZicRey5OPepmU7tfOr3/8u618AAAD//wMAUEsDBBQABgAI&#10;AAAAIQA1mUti2wAAAAYBAAAPAAAAZHJzL2Rvd25yZXYueG1sTI+xTsNAEER7JP7htEh05OxECcb4&#10;HCEQoqEhpKBc+za2hW/P8l0ck69nqUg5mtHMm2I7u15NNIbOs4F0kYAirr3tuDGw/3y9y0CFiGyx&#10;90wGfijAtry+KjC3/sQfNO1io6SEQ44G2hiHXOtQt+QwLPxALN7Bjw6jyLHRdsSTlLteL5Nkox12&#10;LAstDvTcUv29OzoD1fQ2nc8DHdYxfdd6v/x6SaM35vZmfnoEFWmO/2H4wxd0KIWp8ke2QfWis1SS&#10;BjJ5JPb9wwZUZWC1WoMuC32JX/4CAAD//wMAUEsBAi0AFAAGAAgAAAAhALaDOJL+AAAA4QEAABMA&#10;AAAAAAAAAAAAAAAAAAAAAFtDb250ZW50X1R5cGVzXS54bWxQSwECLQAUAAYACAAAACEAOP0h/9YA&#10;AACUAQAACwAAAAAAAAAAAAAAAAAvAQAAX3JlbHMvLnJlbHNQSwECLQAUAAYACAAAACEAHJCe/koC&#10;AAClBAAADgAAAAAAAAAAAAAAAAAuAgAAZHJzL2Uyb0RvYy54bWxQSwECLQAUAAYACAAAACEANZlL&#10;YtsAAAAGAQAADwAAAAAAAAAAAAAAAACkBAAAZHJzL2Rvd25yZXYueG1sUEsFBgAAAAAEAAQA8wAA&#10;AKwFAAAAAA==&#10;" fillcolor="#039" strokecolor="#039">
            <w10:wrap type="through"/>
          </v:shape>
        </w:pict>
      </w:r>
    </w:p>
    <w:p w:rsidR="00B32095" w:rsidRPr="001368E0" w:rsidRDefault="006102F6" w:rsidP="00DC5F7F">
      <w:pPr>
        <w:pStyle w:val="Heading2"/>
        <w:jc w:val="both"/>
        <w:rPr>
          <w:i/>
          <w:color w:val="8DB3E2"/>
          <w:sz w:val="22"/>
          <w:szCs w:val="22"/>
          <w:lang w:val="en-GB"/>
        </w:rPr>
      </w:pPr>
      <w:r>
        <w:rPr>
          <w:noProof/>
          <w:lang w:val="ro-RO" w:eastAsia="ro-RO"/>
        </w:rPr>
        <w:drawing>
          <wp:anchor distT="0" distB="0" distL="114300" distR="114300" simplePos="0" relativeHeight="251661824" behindDoc="0" locked="0" layoutInCell="1" allowOverlap="1">
            <wp:simplePos x="0" y="0"/>
            <wp:positionH relativeFrom="column">
              <wp:posOffset>4800600</wp:posOffset>
            </wp:positionH>
            <wp:positionV relativeFrom="paragraph">
              <wp:posOffset>220980</wp:posOffset>
            </wp:positionV>
            <wp:extent cx="1231900" cy="1168400"/>
            <wp:effectExtent l="19050" t="0" r="6350" b="0"/>
            <wp:wrapThrough wrapText="bothSides">
              <wp:wrapPolygon edited="0">
                <wp:start x="-334" y="0"/>
                <wp:lineTo x="-334" y="21130"/>
                <wp:lineTo x="21711" y="21130"/>
                <wp:lineTo x="21711" y="0"/>
                <wp:lineTo x="-334" y="0"/>
              </wp:wrapPolygon>
            </wp:wrapThrough>
            <wp:docPr id="4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73"/>
                    <a:srcRect/>
                    <a:stretch>
                      <a:fillRect/>
                    </a:stretch>
                  </pic:blipFill>
                  <pic:spPr bwMode="auto">
                    <a:xfrm>
                      <a:off x="0" y="0"/>
                      <a:ext cx="1231900" cy="1168400"/>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60800" behindDoc="0" locked="0" layoutInCell="1" allowOverlap="1">
            <wp:simplePos x="0" y="0"/>
            <wp:positionH relativeFrom="column">
              <wp:posOffset>2514600</wp:posOffset>
            </wp:positionH>
            <wp:positionV relativeFrom="paragraph">
              <wp:posOffset>137795</wp:posOffset>
            </wp:positionV>
            <wp:extent cx="1397000" cy="1257300"/>
            <wp:effectExtent l="19050" t="0" r="0" b="0"/>
            <wp:wrapThrough wrapText="bothSides">
              <wp:wrapPolygon edited="0">
                <wp:start x="-295" y="0"/>
                <wp:lineTo x="-295" y="21273"/>
                <wp:lineTo x="21502" y="21273"/>
                <wp:lineTo x="21502" y="0"/>
                <wp:lineTo x="-295" y="0"/>
              </wp:wrapPolygon>
            </wp:wrapThrough>
            <wp:docPr id="4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74"/>
                    <a:srcRect/>
                    <a:stretch>
                      <a:fillRect/>
                    </a:stretch>
                  </pic:blipFill>
                  <pic:spPr bwMode="auto">
                    <a:xfrm>
                      <a:off x="0" y="0"/>
                      <a:ext cx="1397000" cy="1257300"/>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59776" behindDoc="0" locked="0" layoutInCell="1" allowOverlap="1">
            <wp:simplePos x="0" y="0"/>
            <wp:positionH relativeFrom="column">
              <wp:posOffset>1371600</wp:posOffset>
            </wp:positionH>
            <wp:positionV relativeFrom="paragraph">
              <wp:posOffset>252095</wp:posOffset>
            </wp:positionV>
            <wp:extent cx="1168400" cy="1016000"/>
            <wp:effectExtent l="19050" t="0" r="0" b="0"/>
            <wp:wrapThrough wrapText="bothSides">
              <wp:wrapPolygon edited="0">
                <wp:start x="-352" y="0"/>
                <wp:lineTo x="-352" y="21060"/>
                <wp:lineTo x="21483" y="21060"/>
                <wp:lineTo x="21483" y="0"/>
                <wp:lineTo x="-352" y="0"/>
              </wp:wrapPolygon>
            </wp:wrapThrough>
            <wp:docPr id="43"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75"/>
                    <a:srcRect/>
                    <a:stretch>
                      <a:fillRect/>
                    </a:stretch>
                  </pic:blipFill>
                  <pic:spPr bwMode="auto">
                    <a:xfrm>
                      <a:off x="0" y="0"/>
                      <a:ext cx="1168400" cy="1016000"/>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58752" behindDoc="0" locked="0" layoutInCell="1" allowOverlap="1">
            <wp:simplePos x="0" y="0"/>
            <wp:positionH relativeFrom="column">
              <wp:posOffset>0</wp:posOffset>
            </wp:positionH>
            <wp:positionV relativeFrom="paragraph">
              <wp:posOffset>252095</wp:posOffset>
            </wp:positionV>
            <wp:extent cx="1333500" cy="1016000"/>
            <wp:effectExtent l="19050" t="0" r="0" b="0"/>
            <wp:wrapThrough wrapText="bothSides">
              <wp:wrapPolygon edited="0">
                <wp:start x="-309" y="0"/>
                <wp:lineTo x="-309" y="21060"/>
                <wp:lineTo x="21600" y="21060"/>
                <wp:lineTo x="21600" y="0"/>
                <wp:lineTo x="-309" y="0"/>
              </wp:wrapPolygon>
            </wp:wrapThrough>
            <wp:docPr id="4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76"/>
                    <a:srcRect/>
                    <a:stretch>
                      <a:fillRect/>
                    </a:stretch>
                  </pic:blipFill>
                  <pic:spPr bwMode="auto">
                    <a:xfrm>
                      <a:off x="0" y="0"/>
                      <a:ext cx="1333500" cy="1016000"/>
                    </a:xfrm>
                    <a:prstGeom prst="rect">
                      <a:avLst/>
                    </a:prstGeom>
                    <a:noFill/>
                    <a:ln w="9525">
                      <a:noFill/>
                      <a:miter lim="800000"/>
                      <a:headEnd/>
                      <a:tailEnd/>
                    </a:ln>
                  </pic:spPr>
                </pic:pic>
              </a:graphicData>
            </a:graphic>
          </wp:anchor>
        </w:drawing>
      </w:r>
    </w:p>
    <w:p w:rsidR="00B32095" w:rsidRPr="001368E0" w:rsidRDefault="00B32095" w:rsidP="00DC5F7F">
      <w:pPr>
        <w:pStyle w:val="Heading2"/>
        <w:jc w:val="both"/>
        <w:rPr>
          <w:i/>
          <w:color w:val="8DB3E2"/>
          <w:sz w:val="22"/>
          <w:szCs w:val="22"/>
          <w:lang w:val="en-GB"/>
        </w:rPr>
      </w:pPr>
    </w:p>
    <w:p w:rsidR="00734C40" w:rsidRPr="001368E0" w:rsidRDefault="006102F6" w:rsidP="00DC5F7F">
      <w:pPr>
        <w:pStyle w:val="Heading2"/>
        <w:jc w:val="both"/>
        <w:rPr>
          <w:bCs w:val="0"/>
          <w:color w:val="auto"/>
          <w:sz w:val="24"/>
          <w:szCs w:val="24"/>
          <w:lang w:val="en-GB"/>
        </w:rPr>
      </w:pPr>
      <w:r>
        <w:rPr>
          <w:rFonts w:ascii="Trebuchet MS" w:hAnsi="Trebuchet MS"/>
          <w:i/>
          <w:noProof/>
          <w:color w:val="8DB3E2"/>
          <w:sz w:val="22"/>
          <w:szCs w:val="22"/>
          <w:lang w:val="ro-RO" w:eastAsia="ro-RO"/>
        </w:rPr>
        <w:drawing>
          <wp:inline distT="0" distB="0" distL="0" distR="0">
            <wp:extent cx="457200" cy="219075"/>
            <wp:effectExtent l="19050" t="0" r="0" b="0"/>
            <wp:docPr id="4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77"/>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005D41F6" w:rsidRPr="001368E0">
        <w:rPr>
          <w:bCs w:val="0"/>
          <w:color w:val="auto"/>
          <w:sz w:val="24"/>
          <w:szCs w:val="24"/>
          <w:lang w:val="en-GB"/>
        </w:rPr>
        <w:t xml:space="preserve"> </w:t>
      </w:r>
    </w:p>
    <w:p w:rsidR="00734C40" w:rsidRPr="001368E0" w:rsidRDefault="00734C40" w:rsidP="00DC5F7F">
      <w:pPr>
        <w:pStyle w:val="Heading2"/>
        <w:jc w:val="both"/>
        <w:rPr>
          <w:bCs w:val="0"/>
          <w:color w:val="auto"/>
          <w:sz w:val="24"/>
          <w:szCs w:val="24"/>
          <w:lang w:val="en-GB"/>
        </w:rPr>
      </w:pPr>
    </w:p>
    <w:bookmarkEnd w:id="103"/>
    <w:p w:rsidR="00A5635D" w:rsidRPr="00717A56" w:rsidRDefault="00717A56" w:rsidP="00717A56">
      <w:pPr>
        <w:spacing w:before="240" w:after="120"/>
        <w:jc w:val="both"/>
        <w:rPr>
          <w:b/>
          <w:lang w:val="en-GB"/>
        </w:rPr>
      </w:pPr>
      <w:r>
        <w:rPr>
          <w:b/>
          <w:lang w:val="en-GB"/>
        </w:rPr>
        <w:t>Administrative check (step 1)</w:t>
      </w:r>
    </w:p>
    <w:p w:rsidR="00A5635D" w:rsidRPr="00682784" w:rsidRDefault="00A5635D" w:rsidP="00DD0F44">
      <w:pPr>
        <w:spacing w:after="120" w:line="264" w:lineRule="auto"/>
        <w:jc w:val="both"/>
        <w:rPr>
          <w:b/>
          <w:bCs/>
          <w:sz w:val="22"/>
          <w:szCs w:val="22"/>
          <w:lang w:val="en-GB"/>
        </w:rPr>
      </w:pPr>
      <w:r w:rsidRPr="00682784">
        <w:rPr>
          <w:sz w:val="22"/>
          <w:szCs w:val="22"/>
          <w:lang w:val="en-GB"/>
        </w:rPr>
        <w:t xml:space="preserve">The administrative check will be </w:t>
      </w:r>
      <w:r w:rsidRPr="00682784">
        <w:rPr>
          <w:bCs/>
          <w:sz w:val="22"/>
          <w:szCs w:val="22"/>
          <w:lang w:val="en-GB"/>
        </w:rPr>
        <w:t>carried out</w:t>
      </w:r>
      <w:r w:rsidRPr="00682784">
        <w:rPr>
          <w:b/>
          <w:bCs/>
          <w:sz w:val="22"/>
          <w:szCs w:val="22"/>
          <w:lang w:val="en-GB"/>
        </w:rPr>
        <w:t xml:space="preserve"> by internal assessors nominated from the MA and JTS staff under the supervision of the SC Chairperson and Secretary</w:t>
      </w:r>
      <w:r w:rsidRPr="00682784">
        <w:rPr>
          <w:sz w:val="22"/>
          <w:szCs w:val="22"/>
          <w:lang w:val="en-GB"/>
        </w:rPr>
        <w:t xml:space="preserve">. Each project proposal will be examined by 2 internal assessors: both assessors shall fill in the </w:t>
      </w:r>
      <w:r w:rsidRPr="00682784">
        <w:rPr>
          <w:b/>
          <w:bCs/>
          <w:sz w:val="22"/>
          <w:szCs w:val="22"/>
          <w:lang w:val="en-GB"/>
        </w:rPr>
        <w:t>administrative check grids.</w:t>
      </w:r>
      <w:r w:rsidRPr="00682784">
        <w:rPr>
          <w:sz w:val="22"/>
          <w:szCs w:val="22"/>
          <w:lang w:val="en-GB"/>
        </w:rPr>
        <w:t xml:space="preserve"> </w:t>
      </w:r>
    </w:p>
    <w:p w:rsidR="00A5635D" w:rsidRPr="00682784" w:rsidRDefault="00A5635D" w:rsidP="00DD0F44">
      <w:pPr>
        <w:spacing w:after="120" w:line="264" w:lineRule="auto"/>
        <w:jc w:val="both"/>
        <w:rPr>
          <w:b/>
          <w:bCs/>
          <w:sz w:val="22"/>
          <w:szCs w:val="22"/>
          <w:lang w:val="en-GB"/>
        </w:rPr>
      </w:pPr>
      <w:r w:rsidRPr="00682784">
        <w:rPr>
          <w:sz w:val="22"/>
          <w:szCs w:val="22"/>
          <w:lang w:val="en-GB"/>
        </w:rPr>
        <w:t xml:space="preserve">Once the administrative check is complete, the </w:t>
      </w:r>
      <w:r w:rsidRPr="00682784">
        <w:rPr>
          <w:bCs/>
          <w:sz w:val="22"/>
          <w:szCs w:val="22"/>
          <w:lang w:val="en-GB"/>
        </w:rPr>
        <w:t>Chairperson</w:t>
      </w:r>
      <w:r w:rsidRPr="00682784">
        <w:rPr>
          <w:sz w:val="22"/>
          <w:szCs w:val="22"/>
          <w:lang w:val="en-GB"/>
        </w:rPr>
        <w:t xml:space="preserve">, with the support of the Secretary, will </w:t>
      </w:r>
      <w:r w:rsidRPr="00682784">
        <w:rPr>
          <w:b/>
          <w:bCs/>
          <w:sz w:val="22"/>
          <w:szCs w:val="22"/>
          <w:lang w:val="en-GB"/>
        </w:rPr>
        <w:t>establish a list of all the proposals satisfying the criteria and a list of proposals not satisfying the criteria.</w:t>
      </w:r>
    </w:p>
    <w:p w:rsidR="00A5635D" w:rsidRPr="00682784" w:rsidRDefault="00A5635D" w:rsidP="00DD0F44">
      <w:pPr>
        <w:spacing w:after="120" w:line="264" w:lineRule="auto"/>
        <w:jc w:val="both"/>
        <w:rPr>
          <w:sz w:val="22"/>
          <w:szCs w:val="22"/>
          <w:lang w:val="en-GB"/>
        </w:rPr>
      </w:pPr>
      <w:r w:rsidRPr="00682784">
        <w:rPr>
          <w:sz w:val="22"/>
          <w:szCs w:val="22"/>
          <w:lang w:val="en-GB"/>
        </w:rPr>
        <w:t>These lists and the administrative grids for all the applications submitted will be presented to the SC voting members for endorsement.</w:t>
      </w:r>
    </w:p>
    <w:p w:rsidR="00A5635D" w:rsidRPr="00682784" w:rsidRDefault="00A5635D" w:rsidP="00DD0F44">
      <w:pPr>
        <w:autoSpaceDE w:val="0"/>
        <w:spacing w:after="120" w:line="264" w:lineRule="auto"/>
        <w:jc w:val="both"/>
        <w:rPr>
          <w:bCs/>
          <w:sz w:val="22"/>
          <w:szCs w:val="22"/>
          <w:lang w:val="en-GB"/>
        </w:rPr>
      </w:pPr>
      <w:r w:rsidRPr="00682784">
        <w:rPr>
          <w:sz w:val="22"/>
          <w:szCs w:val="22"/>
          <w:lang w:val="en-GB"/>
        </w:rPr>
        <w:t>Once the voting members of the SC have agreed on the outcome of Step 1,</w:t>
      </w:r>
      <w:r w:rsidRPr="00682784">
        <w:rPr>
          <w:color w:val="FF0000"/>
          <w:sz w:val="22"/>
          <w:szCs w:val="22"/>
          <w:lang w:val="en-GB"/>
        </w:rPr>
        <w:t xml:space="preserve"> </w:t>
      </w:r>
      <w:r w:rsidRPr="00682784">
        <w:rPr>
          <w:sz w:val="22"/>
          <w:szCs w:val="22"/>
          <w:lang w:val="en-GB"/>
        </w:rPr>
        <w:t xml:space="preserve">the report and the minutes of the SC meeting will be signed by all members of the Committee (voting and non-voting) and the </w:t>
      </w:r>
      <w:r w:rsidRPr="00682784">
        <w:rPr>
          <w:i/>
          <w:sz w:val="22"/>
          <w:szCs w:val="22"/>
          <w:lang w:val="en-GB"/>
        </w:rPr>
        <w:t>Administrative Check Report</w:t>
      </w:r>
      <w:r w:rsidRPr="00682784">
        <w:rPr>
          <w:sz w:val="22"/>
          <w:szCs w:val="22"/>
          <w:lang w:val="en-GB"/>
        </w:rPr>
        <w:t xml:space="preserve"> </w:t>
      </w:r>
      <w:r w:rsidRPr="00682784">
        <w:rPr>
          <w:bCs/>
          <w:sz w:val="22"/>
          <w:szCs w:val="22"/>
          <w:lang w:val="en-GB"/>
        </w:rPr>
        <w:t>is</w:t>
      </w:r>
      <w:r w:rsidRPr="00682784">
        <w:rPr>
          <w:b/>
          <w:bCs/>
          <w:sz w:val="22"/>
          <w:szCs w:val="22"/>
          <w:lang w:val="en-GB"/>
        </w:rPr>
        <w:t xml:space="preserve"> submitted to the MA for endorsement of the evaluation procedure</w:t>
      </w:r>
      <w:r w:rsidRPr="00682784">
        <w:rPr>
          <w:bCs/>
          <w:i/>
          <w:iCs/>
          <w:color w:val="0000FF"/>
          <w:sz w:val="22"/>
          <w:szCs w:val="22"/>
          <w:lang w:val="en-GB"/>
        </w:rPr>
        <w:t xml:space="preserve">. </w:t>
      </w:r>
      <w:r w:rsidRPr="00682784">
        <w:rPr>
          <w:bCs/>
          <w:sz w:val="22"/>
          <w:szCs w:val="22"/>
          <w:lang w:val="en-GB"/>
        </w:rPr>
        <w:t xml:space="preserve">The </w:t>
      </w:r>
      <w:r w:rsidRPr="00682784">
        <w:rPr>
          <w:b/>
          <w:bCs/>
          <w:sz w:val="22"/>
          <w:szCs w:val="22"/>
          <w:lang w:val="en-GB"/>
        </w:rPr>
        <w:t>MA</w:t>
      </w:r>
      <w:r w:rsidRPr="00682784">
        <w:rPr>
          <w:bCs/>
          <w:sz w:val="22"/>
          <w:szCs w:val="22"/>
          <w:lang w:val="en-GB"/>
        </w:rPr>
        <w:t xml:space="preserve"> will verify whether the evaluation process took place according to the regulations and provisions in force, identify any possible irregularities in the procedure and inform the JMC accordingly. </w:t>
      </w:r>
    </w:p>
    <w:p w:rsidR="00A5635D" w:rsidRPr="00682784" w:rsidRDefault="00A5635D" w:rsidP="00DD0F44">
      <w:pPr>
        <w:spacing w:after="120" w:line="264" w:lineRule="auto"/>
        <w:jc w:val="both"/>
        <w:rPr>
          <w:b/>
          <w:bCs/>
          <w:sz w:val="22"/>
          <w:szCs w:val="22"/>
          <w:lang w:val="en-GB"/>
        </w:rPr>
      </w:pPr>
      <w:r w:rsidRPr="00682784">
        <w:rPr>
          <w:bCs/>
          <w:sz w:val="22"/>
          <w:szCs w:val="22"/>
          <w:lang w:val="en-GB"/>
        </w:rPr>
        <w:t xml:space="preserve">The endorsed </w:t>
      </w:r>
      <w:r w:rsidRPr="00682784">
        <w:rPr>
          <w:i/>
          <w:sz w:val="22"/>
          <w:szCs w:val="22"/>
          <w:lang w:val="en-GB"/>
        </w:rPr>
        <w:t>Administrative Check Report</w:t>
      </w:r>
      <w:r w:rsidRPr="00682784">
        <w:rPr>
          <w:sz w:val="22"/>
          <w:szCs w:val="22"/>
          <w:lang w:val="en-GB"/>
        </w:rPr>
        <w:t xml:space="preserve"> </w:t>
      </w:r>
      <w:r w:rsidRPr="00682784">
        <w:rPr>
          <w:bCs/>
          <w:sz w:val="22"/>
          <w:szCs w:val="22"/>
          <w:lang w:val="en-GB"/>
        </w:rPr>
        <w:t>will be</w:t>
      </w:r>
      <w:r w:rsidRPr="00682784">
        <w:rPr>
          <w:b/>
          <w:bCs/>
          <w:sz w:val="22"/>
          <w:szCs w:val="22"/>
          <w:lang w:val="en-GB"/>
        </w:rPr>
        <w:t xml:space="preserve"> submitted to the JMC for approval.</w:t>
      </w:r>
    </w:p>
    <w:p w:rsidR="00A5635D" w:rsidRPr="00717A56" w:rsidRDefault="00A5635D" w:rsidP="00D67190">
      <w:pPr>
        <w:spacing w:before="240" w:after="120" w:line="264" w:lineRule="auto"/>
        <w:jc w:val="both"/>
        <w:rPr>
          <w:b/>
          <w:lang w:val="en-GB"/>
        </w:rPr>
      </w:pPr>
      <w:bookmarkStart w:id="104" w:name="_Toc310942068"/>
      <w:r w:rsidRPr="00717A56">
        <w:rPr>
          <w:b/>
          <w:lang w:val="en-GB"/>
        </w:rPr>
        <w:t>T</w:t>
      </w:r>
      <w:bookmarkEnd w:id="104"/>
      <w:r w:rsidR="00717A56">
        <w:rPr>
          <w:b/>
          <w:lang w:val="en-GB"/>
        </w:rPr>
        <w:t>echnical and financial evaluation (step 2)</w:t>
      </w:r>
    </w:p>
    <w:p w:rsidR="00A5635D" w:rsidRPr="00682784" w:rsidRDefault="00A5635D" w:rsidP="00DD0F44">
      <w:pPr>
        <w:spacing w:after="120" w:line="264" w:lineRule="auto"/>
        <w:jc w:val="both"/>
        <w:rPr>
          <w:sz w:val="22"/>
          <w:szCs w:val="22"/>
          <w:lang w:val="en-GB"/>
        </w:rPr>
      </w:pPr>
      <w:r w:rsidRPr="00682784">
        <w:rPr>
          <w:sz w:val="22"/>
          <w:szCs w:val="22"/>
          <w:lang w:val="en-GB"/>
        </w:rPr>
        <w:t>The technical and financial evaluation will be carried out by external assessors.</w:t>
      </w:r>
    </w:p>
    <w:p w:rsidR="00A5635D" w:rsidRPr="00682784" w:rsidRDefault="00A5635D" w:rsidP="00DD0F44">
      <w:pPr>
        <w:spacing w:after="120" w:line="264" w:lineRule="auto"/>
        <w:jc w:val="both"/>
        <w:rPr>
          <w:rFonts w:cs="Arial"/>
          <w:sz w:val="22"/>
          <w:szCs w:val="22"/>
          <w:lang w:val="en-GB"/>
        </w:rPr>
      </w:pPr>
      <w:r w:rsidRPr="00682784">
        <w:rPr>
          <w:rFonts w:cs="Arial"/>
          <w:sz w:val="22"/>
          <w:szCs w:val="22"/>
          <w:lang w:val="en-GB"/>
        </w:rPr>
        <w:t xml:space="preserve">The </w:t>
      </w:r>
      <w:r w:rsidRPr="00682784">
        <w:rPr>
          <w:rFonts w:cs="Arial"/>
          <w:b/>
          <w:sz w:val="22"/>
          <w:szCs w:val="22"/>
          <w:lang w:val="en-GB"/>
        </w:rPr>
        <w:t>assessors shall work under the supervision of the Chairperson of the SC</w:t>
      </w:r>
      <w:r w:rsidRPr="00682784">
        <w:rPr>
          <w:rFonts w:cs="Arial"/>
          <w:sz w:val="22"/>
          <w:szCs w:val="22"/>
          <w:lang w:val="en-GB"/>
        </w:rPr>
        <w:t>.</w:t>
      </w:r>
      <w:r w:rsidRPr="00682784">
        <w:rPr>
          <w:lang w:val="en-GB"/>
        </w:rPr>
        <w:t xml:space="preserve"> </w:t>
      </w:r>
      <w:r w:rsidRPr="00682784">
        <w:rPr>
          <w:rFonts w:cs="Arial"/>
          <w:sz w:val="22"/>
          <w:szCs w:val="22"/>
          <w:lang w:val="en-GB"/>
        </w:rPr>
        <w:t>Two external assessors must be appointed to evaluate each project proposal.</w:t>
      </w:r>
    </w:p>
    <w:p w:rsidR="00A5635D" w:rsidRPr="00682784" w:rsidRDefault="00A5635D" w:rsidP="00DD0F44">
      <w:pPr>
        <w:spacing w:after="0" w:line="264" w:lineRule="auto"/>
        <w:jc w:val="both"/>
        <w:rPr>
          <w:rFonts w:cs="Arial"/>
          <w:sz w:val="22"/>
          <w:szCs w:val="22"/>
          <w:lang w:val="en-GB"/>
        </w:rPr>
      </w:pPr>
      <w:r w:rsidRPr="00682784">
        <w:rPr>
          <w:rFonts w:cs="Arial"/>
          <w:sz w:val="22"/>
          <w:szCs w:val="22"/>
          <w:lang w:val="en-GB"/>
        </w:rPr>
        <w:t xml:space="preserve">An additional assessment done by another independent assessor, may be carried out when: </w:t>
      </w:r>
    </w:p>
    <w:p w:rsidR="00A5635D" w:rsidRPr="00682784" w:rsidRDefault="00A5635D" w:rsidP="002E0D54">
      <w:pPr>
        <w:numPr>
          <w:ilvl w:val="0"/>
          <w:numId w:val="57"/>
        </w:numPr>
        <w:suppressAutoHyphens/>
        <w:spacing w:after="0" w:line="264" w:lineRule="auto"/>
        <w:jc w:val="both"/>
        <w:rPr>
          <w:rFonts w:cs="Arial"/>
          <w:sz w:val="22"/>
          <w:szCs w:val="22"/>
          <w:lang w:val="en-GB"/>
        </w:rPr>
      </w:pPr>
      <w:r w:rsidRPr="00682784">
        <w:rPr>
          <w:rFonts w:cs="Arial"/>
          <w:sz w:val="22"/>
          <w:szCs w:val="22"/>
          <w:lang w:val="en-GB"/>
        </w:rPr>
        <w:t xml:space="preserve"> the total scores given by the initial two assessors diverge by more than 20 points and</w:t>
      </w:r>
    </w:p>
    <w:p w:rsidR="00A5635D" w:rsidRPr="00682784" w:rsidRDefault="00A5635D" w:rsidP="002E0D54">
      <w:pPr>
        <w:numPr>
          <w:ilvl w:val="0"/>
          <w:numId w:val="57"/>
        </w:numPr>
        <w:suppressAutoHyphens/>
        <w:spacing w:after="0" w:line="264" w:lineRule="auto"/>
        <w:jc w:val="both"/>
        <w:rPr>
          <w:rFonts w:cs="Arial"/>
          <w:sz w:val="22"/>
          <w:szCs w:val="22"/>
          <w:lang w:val="en-GB"/>
        </w:rPr>
      </w:pPr>
      <w:r w:rsidRPr="00682784">
        <w:rPr>
          <w:rFonts w:cs="Arial"/>
          <w:sz w:val="22"/>
          <w:szCs w:val="22"/>
          <w:lang w:val="en-GB"/>
        </w:rPr>
        <w:t xml:space="preserve"> only one of the total initial scores is above the threshold for overall admissibility of the proposals. </w:t>
      </w:r>
    </w:p>
    <w:p w:rsidR="00A5635D" w:rsidRPr="00682784" w:rsidRDefault="00A5635D" w:rsidP="00DD0F44">
      <w:pPr>
        <w:spacing w:after="120" w:line="264" w:lineRule="auto"/>
        <w:jc w:val="both"/>
        <w:rPr>
          <w:rFonts w:cs="Arial"/>
          <w:sz w:val="22"/>
          <w:szCs w:val="22"/>
          <w:lang w:val="en-GB"/>
        </w:rPr>
      </w:pPr>
      <w:bookmarkStart w:id="105" w:name="_Toc310942074"/>
      <w:r w:rsidRPr="00682784">
        <w:rPr>
          <w:rFonts w:cs="Arial"/>
          <w:sz w:val="22"/>
          <w:szCs w:val="22"/>
          <w:lang w:val="en-GB"/>
        </w:rPr>
        <w:t>The decision on the need of a third assessment will be taken by the SC members.</w:t>
      </w:r>
    </w:p>
    <w:bookmarkEnd w:id="105"/>
    <w:p w:rsidR="00D4631F" w:rsidRPr="00717A56" w:rsidRDefault="00D4631F" w:rsidP="00D4631F">
      <w:pPr>
        <w:spacing w:before="240" w:after="120"/>
        <w:jc w:val="both"/>
        <w:rPr>
          <w:b/>
          <w:lang w:val="en-GB"/>
        </w:rPr>
      </w:pPr>
      <w:r>
        <w:rPr>
          <w:b/>
          <w:lang w:val="en-GB"/>
        </w:rPr>
        <w:t>Quality check by the SC Chairperson</w:t>
      </w:r>
    </w:p>
    <w:p w:rsidR="00A5635D" w:rsidRPr="00682784" w:rsidRDefault="00A5635D" w:rsidP="00DC5F7F">
      <w:pPr>
        <w:autoSpaceDE w:val="0"/>
        <w:spacing w:line="260" w:lineRule="exact"/>
        <w:jc w:val="both"/>
        <w:rPr>
          <w:rFonts w:eastAsia="Arial" w:cs="Arial"/>
          <w:sz w:val="22"/>
          <w:szCs w:val="22"/>
          <w:lang w:val="en-GB"/>
        </w:rPr>
      </w:pPr>
      <w:r w:rsidRPr="00682784">
        <w:rPr>
          <w:rFonts w:eastAsia="Arial" w:cs="Arial"/>
          <w:b/>
          <w:sz w:val="22"/>
          <w:szCs w:val="22"/>
          <w:lang w:val="en-GB"/>
        </w:rPr>
        <w:t>To ensure the quality of the work carried out by the assessors</w:t>
      </w:r>
      <w:r w:rsidRPr="00682784">
        <w:rPr>
          <w:rFonts w:eastAsia="Arial" w:cs="Arial"/>
          <w:sz w:val="22"/>
          <w:szCs w:val="22"/>
          <w:lang w:val="en-GB"/>
        </w:rPr>
        <w:t>, the SC Chairperson – with the help of the Secretary and internal assessors – shall preliminarily review all completed evaluation grids before the SC meeting.</w:t>
      </w:r>
      <w:r w:rsidRPr="00682784">
        <w:rPr>
          <w:rFonts w:eastAsia="Arial" w:cs="Arial"/>
          <w:color w:val="000000"/>
          <w:sz w:val="22"/>
          <w:szCs w:val="22"/>
          <w:lang w:val="en-GB"/>
        </w:rPr>
        <w:t xml:space="preserve"> </w:t>
      </w:r>
    </w:p>
    <w:p w:rsidR="00A5635D" w:rsidRPr="00682784" w:rsidRDefault="00A5635D" w:rsidP="00211C68">
      <w:pPr>
        <w:spacing w:before="120" w:after="120" w:line="260" w:lineRule="exact"/>
        <w:jc w:val="both"/>
        <w:rPr>
          <w:rFonts w:cs="Arial"/>
          <w:sz w:val="22"/>
          <w:szCs w:val="22"/>
          <w:lang w:val="en-GB"/>
        </w:rPr>
      </w:pPr>
      <w:r w:rsidRPr="00682784">
        <w:rPr>
          <w:rFonts w:cs="Arial"/>
          <w:sz w:val="22"/>
          <w:szCs w:val="22"/>
          <w:lang w:val="en-GB"/>
        </w:rPr>
        <w:t>The outcome of this step will be:</w:t>
      </w:r>
    </w:p>
    <w:p w:rsidR="00A5635D" w:rsidRPr="00682784" w:rsidRDefault="00A5635D" w:rsidP="002E0D54">
      <w:pPr>
        <w:numPr>
          <w:ilvl w:val="5"/>
          <w:numId w:val="56"/>
        </w:numPr>
        <w:tabs>
          <w:tab w:val="left" w:pos="360"/>
        </w:tabs>
        <w:suppressAutoHyphens/>
        <w:spacing w:before="120" w:after="120" w:line="260" w:lineRule="exact"/>
        <w:jc w:val="both"/>
        <w:rPr>
          <w:rFonts w:cs="Arial"/>
          <w:sz w:val="22"/>
          <w:szCs w:val="22"/>
          <w:shd w:val="clear" w:color="auto" w:fill="00FFFF"/>
          <w:lang w:val="en-GB"/>
        </w:rPr>
      </w:pPr>
      <w:r w:rsidRPr="00682784">
        <w:rPr>
          <w:rFonts w:cs="Arial"/>
          <w:sz w:val="22"/>
          <w:szCs w:val="22"/>
          <w:lang w:val="en-GB"/>
        </w:rPr>
        <w:t xml:space="preserve">a list of applications </w:t>
      </w:r>
      <w:r w:rsidRPr="00682784">
        <w:rPr>
          <w:rFonts w:cs="Arial"/>
          <w:b/>
          <w:sz w:val="22"/>
          <w:szCs w:val="22"/>
          <w:lang w:val="en-GB"/>
        </w:rPr>
        <w:t>proposed for selection,</w:t>
      </w:r>
      <w:r w:rsidRPr="00682784">
        <w:rPr>
          <w:rFonts w:cs="Arial"/>
          <w:sz w:val="22"/>
          <w:szCs w:val="22"/>
          <w:lang w:val="en-GB"/>
        </w:rPr>
        <w:t xml:space="preserve"> ranked in descending order per Thematic Objective according with their average scores, until the maximum amount available for each Thematic Objective under this call for proposals is reached;</w:t>
      </w:r>
    </w:p>
    <w:p w:rsidR="00A5635D" w:rsidRPr="00682784" w:rsidRDefault="00A5635D" w:rsidP="002E0D54">
      <w:pPr>
        <w:numPr>
          <w:ilvl w:val="5"/>
          <w:numId w:val="56"/>
        </w:numPr>
        <w:tabs>
          <w:tab w:val="left" w:pos="360"/>
        </w:tabs>
        <w:suppressAutoHyphens/>
        <w:spacing w:before="120" w:after="120" w:line="260" w:lineRule="exact"/>
        <w:jc w:val="both"/>
        <w:rPr>
          <w:rFonts w:cs="Arial"/>
          <w:sz w:val="22"/>
          <w:szCs w:val="22"/>
          <w:shd w:val="clear" w:color="auto" w:fill="00FFFF"/>
          <w:lang w:val="en-GB"/>
        </w:rPr>
      </w:pPr>
      <w:r w:rsidRPr="00682784">
        <w:rPr>
          <w:rFonts w:cs="Arial"/>
          <w:b/>
          <w:sz w:val="22"/>
          <w:szCs w:val="22"/>
          <w:lang w:val="en-GB"/>
        </w:rPr>
        <w:t>reserve</w:t>
      </w:r>
      <w:r w:rsidRPr="00682784">
        <w:rPr>
          <w:rFonts w:cs="Arial"/>
          <w:sz w:val="22"/>
          <w:szCs w:val="22"/>
          <w:lang w:val="en-GB"/>
        </w:rPr>
        <w:t xml:space="preserve"> list of applications that cannot be funded for budgetary reasons; </w:t>
      </w:r>
    </w:p>
    <w:p w:rsidR="00A5635D" w:rsidRPr="00682784" w:rsidRDefault="00A5635D" w:rsidP="002E0D54">
      <w:pPr>
        <w:numPr>
          <w:ilvl w:val="5"/>
          <w:numId w:val="56"/>
        </w:numPr>
        <w:tabs>
          <w:tab w:val="left" w:pos="360"/>
        </w:tabs>
        <w:suppressAutoHyphens/>
        <w:spacing w:before="120" w:after="120" w:line="260" w:lineRule="exact"/>
        <w:jc w:val="both"/>
        <w:rPr>
          <w:rFonts w:cs="Arial"/>
          <w:sz w:val="22"/>
          <w:szCs w:val="22"/>
          <w:lang w:val="en-GB"/>
        </w:rPr>
      </w:pPr>
      <w:r w:rsidRPr="00682784">
        <w:rPr>
          <w:rFonts w:cs="Arial"/>
          <w:sz w:val="22"/>
          <w:szCs w:val="22"/>
          <w:lang w:val="en-GB"/>
        </w:rPr>
        <w:t xml:space="preserve">a list of </w:t>
      </w:r>
      <w:r w:rsidRPr="00682784">
        <w:rPr>
          <w:rFonts w:cs="Arial"/>
          <w:b/>
          <w:sz w:val="22"/>
          <w:szCs w:val="22"/>
          <w:lang w:val="en-GB"/>
        </w:rPr>
        <w:t>rejected</w:t>
      </w:r>
      <w:r w:rsidRPr="00682784">
        <w:rPr>
          <w:rFonts w:cs="Arial"/>
          <w:sz w:val="22"/>
          <w:szCs w:val="22"/>
          <w:lang w:val="en-GB"/>
        </w:rPr>
        <w:t xml:space="preserve"> applications. </w:t>
      </w:r>
    </w:p>
    <w:p w:rsidR="00A5635D" w:rsidRPr="00682784" w:rsidRDefault="00A5635D" w:rsidP="00DD0F44">
      <w:pPr>
        <w:spacing w:after="120" w:line="264" w:lineRule="auto"/>
        <w:jc w:val="both"/>
        <w:rPr>
          <w:sz w:val="12"/>
          <w:szCs w:val="12"/>
          <w:lang w:val="en-GB"/>
        </w:rPr>
      </w:pPr>
    </w:p>
    <w:p w:rsidR="00A5635D" w:rsidRPr="00682784" w:rsidRDefault="00A5635D" w:rsidP="00DD0F44">
      <w:pPr>
        <w:spacing w:after="120" w:line="264" w:lineRule="auto"/>
        <w:jc w:val="both"/>
        <w:rPr>
          <w:sz w:val="22"/>
          <w:szCs w:val="22"/>
          <w:lang w:val="en-GB"/>
        </w:rPr>
      </w:pPr>
      <w:r w:rsidRPr="00682784">
        <w:rPr>
          <w:sz w:val="22"/>
          <w:szCs w:val="22"/>
          <w:lang w:val="en-GB"/>
        </w:rPr>
        <w:t>During its deliberation, the SC members are not allowed to change the external assessors' scores and/or to alter the evaluation grids completed by the external assessors and/or the list of the applications provisionally selected. The SC will revise the conclusions made for the projects recommended for funding and will endorse or complement the recommendations made by the assessors.</w:t>
      </w:r>
    </w:p>
    <w:p w:rsidR="00A5635D" w:rsidRPr="00682784" w:rsidRDefault="00A5635D" w:rsidP="00DD0F44">
      <w:pPr>
        <w:spacing w:after="120" w:line="264" w:lineRule="auto"/>
        <w:jc w:val="both"/>
        <w:rPr>
          <w:iCs/>
          <w:sz w:val="22"/>
          <w:szCs w:val="22"/>
          <w:lang w:val="en-GB"/>
        </w:rPr>
      </w:pPr>
      <w:r w:rsidRPr="00682784">
        <w:rPr>
          <w:sz w:val="22"/>
          <w:szCs w:val="22"/>
          <w:lang w:val="en-GB"/>
        </w:rPr>
        <w:t xml:space="preserve">Once the voting members of the SC have agreed on the outcome of Step 2, the report and the minutes of the SC meeting are duly signed by all members of the Committee (voting and non-voting) and the </w:t>
      </w:r>
      <w:r w:rsidRPr="00682784">
        <w:rPr>
          <w:i/>
          <w:iCs/>
          <w:sz w:val="22"/>
          <w:szCs w:val="22"/>
          <w:lang w:val="en-GB"/>
        </w:rPr>
        <w:t xml:space="preserve">Technical and Financial </w:t>
      </w:r>
      <w:r w:rsidRPr="00682784">
        <w:rPr>
          <w:i/>
          <w:sz w:val="22"/>
          <w:szCs w:val="22"/>
          <w:lang w:val="en-GB"/>
        </w:rPr>
        <w:t>Report</w:t>
      </w:r>
      <w:r w:rsidRPr="00682784">
        <w:rPr>
          <w:bCs/>
          <w:sz w:val="22"/>
          <w:szCs w:val="22"/>
          <w:lang w:val="en-GB"/>
        </w:rPr>
        <w:t xml:space="preserve"> is</w:t>
      </w:r>
      <w:r w:rsidRPr="00682784">
        <w:rPr>
          <w:b/>
          <w:bCs/>
          <w:sz w:val="22"/>
          <w:szCs w:val="22"/>
          <w:lang w:val="en-GB"/>
        </w:rPr>
        <w:t xml:space="preserve"> submitted to the MA for endorsement</w:t>
      </w:r>
      <w:r w:rsidRPr="00682784">
        <w:rPr>
          <w:bCs/>
          <w:i/>
          <w:iCs/>
          <w:sz w:val="22"/>
          <w:szCs w:val="22"/>
          <w:lang w:val="en-GB"/>
        </w:rPr>
        <w:t xml:space="preserve">. </w:t>
      </w:r>
      <w:r w:rsidRPr="00682784">
        <w:rPr>
          <w:bCs/>
          <w:sz w:val="22"/>
          <w:szCs w:val="22"/>
          <w:lang w:val="en-GB"/>
        </w:rPr>
        <w:t xml:space="preserve">The </w:t>
      </w:r>
      <w:r w:rsidRPr="00682784">
        <w:rPr>
          <w:b/>
          <w:bCs/>
          <w:sz w:val="22"/>
          <w:szCs w:val="22"/>
          <w:lang w:val="en-GB"/>
        </w:rPr>
        <w:t>MA</w:t>
      </w:r>
      <w:r w:rsidRPr="00682784">
        <w:rPr>
          <w:bCs/>
          <w:sz w:val="22"/>
          <w:szCs w:val="22"/>
          <w:lang w:val="en-GB"/>
        </w:rPr>
        <w:t xml:space="preserve"> will verify whether the evaluation process took place according to the regulations and provisions in force, identifying any possible irregularities in the procedure and informing JMC accordingly. </w:t>
      </w:r>
    </w:p>
    <w:p w:rsidR="00A5635D" w:rsidRPr="00682784" w:rsidRDefault="00A5635D" w:rsidP="00DD0F44">
      <w:pPr>
        <w:spacing w:after="120" w:line="264" w:lineRule="auto"/>
        <w:jc w:val="both"/>
        <w:rPr>
          <w:iCs/>
          <w:sz w:val="22"/>
          <w:szCs w:val="22"/>
          <w:lang w:val="en-GB"/>
        </w:rPr>
      </w:pPr>
      <w:r w:rsidRPr="00682784">
        <w:rPr>
          <w:bCs/>
          <w:sz w:val="22"/>
          <w:szCs w:val="22"/>
          <w:lang w:val="en-GB"/>
        </w:rPr>
        <w:t xml:space="preserve">The endorsed </w:t>
      </w:r>
      <w:r w:rsidRPr="00682784">
        <w:rPr>
          <w:i/>
          <w:iCs/>
          <w:sz w:val="22"/>
          <w:szCs w:val="22"/>
          <w:lang w:val="en-GB"/>
        </w:rPr>
        <w:t xml:space="preserve">Technical and Financial </w:t>
      </w:r>
      <w:r w:rsidRPr="00682784">
        <w:rPr>
          <w:bCs/>
          <w:i/>
          <w:sz w:val="22"/>
          <w:szCs w:val="22"/>
          <w:lang w:val="en-GB"/>
        </w:rPr>
        <w:t>Report</w:t>
      </w:r>
      <w:r w:rsidRPr="00682784">
        <w:rPr>
          <w:sz w:val="22"/>
          <w:szCs w:val="22"/>
          <w:lang w:val="en-GB"/>
        </w:rPr>
        <w:t xml:space="preserve"> </w:t>
      </w:r>
      <w:r w:rsidRPr="00682784">
        <w:rPr>
          <w:bCs/>
          <w:sz w:val="22"/>
          <w:szCs w:val="22"/>
          <w:lang w:val="en-GB"/>
        </w:rPr>
        <w:t>will be</w:t>
      </w:r>
      <w:r w:rsidRPr="00682784">
        <w:rPr>
          <w:b/>
          <w:bCs/>
          <w:sz w:val="22"/>
          <w:szCs w:val="22"/>
          <w:lang w:val="en-GB"/>
        </w:rPr>
        <w:t xml:space="preserve"> submitted to the JMC for approval.</w:t>
      </w:r>
    </w:p>
    <w:p w:rsidR="00A5635D" w:rsidRPr="00C35368" w:rsidRDefault="00C35368" w:rsidP="00D67190">
      <w:pPr>
        <w:spacing w:before="240" w:after="120" w:line="264" w:lineRule="auto"/>
        <w:jc w:val="both"/>
        <w:rPr>
          <w:b/>
          <w:lang w:val="en-GB"/>
        </w:rPr>
      </w:pPr>
      <w:r>
        <w:rPr>
          <w:b/>
          <w:lang w:val="en-GB"/>
        </w:rPr>
        <w:t>Verification of eligibility</w:t>
      </w:r>
    </w:p>
    <w:p w:rsidR="00A5635D" w:rsidRPr="00682784" w:rsidRDefault="00A5635D" w:rsidP="007B10D5">
      <w:pPr>
        <w:spacing w:after="120" w:line="264" w:lineRule="auto"/>
        <w:jc w:val="both"/>
        <w:rPr>
          <w:snapToGrid w:val="0"/>
          <w:sz w:val="22"/>
          <w:szCs w:val="22"/>
          <w:lang w:val="en-GB" w:eastAsia="en-US"/>
        </w:rPr>
      </w:pPr>
      <w:r w:rsidRPr="00682784">
        <w:rPr>
          <w:snapToGrid w:val="0"/>
          <w:sz w:val="22"/>
          <w:szCs w:val="22"/>
          <w:lang w:val="en-GB" w:eastAsia="en-US"/>
        </w:rPr>
        <w:t xml:space="preserve">The verification of eligibility will </w:t>
      </w:r>
      <w:r w:rsidRPr="00682784">
        <w:rPr>
          <w:snapToGrid w:val="0"/>
          <w:sz w:val="22"/>
          <w:szCs w:val="22"/>
          <w:u w:val="single"/>
          <w:lang w:val="en-GB" w:eastAsia="en-US"/>
        </w:rPr>
        <w:t>only</w:t>
      </w:r>
      <w:r w:rsidRPr="00682784">
        <w:rPr>
          <w:snapToGrid w:val="0"/>
          <w:sz w:val="22"/>
          <w:szCs w:val="22"/>
          <w:lang w:val="en-GB" w:eastAsia="en-US"/>
        </w:rPr>
        <w:t xml:space="preserve"> be performed for the applications that have been proposed for selection according to their score and within the available financial envelope. However, the JMC may approve the extension of the verification of eligibility to projects on the reserve list.</w:t>
      </w:r>
    </w:p>
    <w:p w:rsidR="00A5635D" w:rsidRPr="00682784" w:rsidRDefault="00A5635D" w:rsidP="007B10D5">
      <w:pPr>
        <w:spacing w:after="120" w:line="264" w:lineRule="auto"/>
        <w:jc w:val="both"/>
        <w:rPr>
          <w:sz w:val="22"/>
          <w:szCs w:val="22"/>
          <w:lang w:val="en-GB"/>
        </w:rPr>
      </w:pPr>
      <w:r w:rsidRPr="00682784">
        <w:rPr>
          <w:sz w:val="22"/>
          <w:szCs w:val="22"/>
          <w:lang w:val="en-GB"/>
        </w:rPr>
        <w:t xml:space="preserve">The verification of eligibility will be </w:t>
      </w:r>
      <w:r w:rsidRPr="00682784">
        <w:rPr>
          <w:bCs/>
          <w:sz w:val="22"/>
          <w:szCs w:val="22"/>
          <w:lang w:val="en-GB"/>
        </w:rPr>
        <w:t>carried out by the National Authority in each participating country. The chairperson shall send the list of the applicants/partners from each country to the respective NA. The NA will provide opinions in relation to the eligibility of the applicants/partners in their country based on the eligibility documents provided by the applicants/partners. E</w:t>
      </w:r>
      <w:r w:rsidRPr="00682784">
        <w:rPr>
          <w:sz w:val="22"/>
          <w:szCs w:val="22"/>
          <w:lang w:val="en-GB"/>
        </w:rPr>
        <w:t>ach NA will make a list of eligible entities and a list of entities which fail to meet the eligibility criteria.</w:t>
      </w:r>
    </w:p>
    <w:p w:rsidR="00A5635D" w:rsidRPr="00682784" w:rsidRDefault="00A5635D" w:rsidP="007B10D5">
      <w:pPr>
        <w:spacing w:after="120" w:line="264" w:lineRule="auto"/>
        <w:jc w:val="both"/>
        <w:rPr>
          <w:sz w:val="22"/>
          <w:szCs w:val="22"/>
          <w:lang w:val="en-GB"/>
        </w:rPr>
      </w:pPr>
      <w:r w:rsidRPr="00682784">
        <w:rPr>
          <w:sz w:val="22"/>
          <w:szCs w:val="22"/>
          <w:lang w:val="en-GB"/>
        </w:rPr>
        <w:t xml:space="preserve">These lists shall be sent to the Chairperson who will prepare the </w:t>
      </w:r>
      <w:r w:rsidRPr="00682784">
        <w:rPr>
          <w:bCs/>
          <w:i/>
          <w:sz w:val="22"/>
          <w:szCs w:val="22"/>
          <w:lang w:val="en-GB"/>
        </w:rPr>
        <w:t xml:space="preserve">Verification of </w:t>
      </w:r>
      <w:r w:rsidRPr="00682784">
        <w:rPr>
          <w:i/>
          <w:sz w:val="22"/>
          <w:szCs w:val="22"/>
          <w:lang w:val="en-GB"/>
        </w:rPr>
        <w:t xml:space="preserve">Eligibility </w:t>
      </w:r>
      <w:r w:rsidRPr="00682784">
        <w:rPr>
          <w:bCs/>
          <w:i/>
          <w:sz w:val="22"/>
          <w:szCs w:val="22"/>
          <w:lang w:val="en-GB"/>
        </w:rPr>
        <w:t>Report,</w:t>
      </w:r>
      <w:r w:rsidRPr="00682784">
        <w:rPr>
          <w:i/>
          <w:sz w:val="22"/>
          <w:szCs w:val="22"/>
          <w:lang w:val="en-GB"/>
        </w:rPr>
        <w:t xml:space="preserve"> </w:t>
      </w:r>
      <w:r w:rsidRPr="00682784">
        <w:rPr>
          <w:sz w:val="22"/>
          <w:szCs w:val="22"/>
          <w:lang w:val="en-GB"/>
        </w:rPr>
        <w:t xml:space="preserve">which shall be </w:t>
      </w:r>
      <w:r w:rsidRPr="00682784">
        <w:rPr>
          <w:b/>
          <w:bCs/>
          <w:sz w:val="22"/>
          <w:szCs w:val="22"/>
          <w:lang w:val="en-GB"/>
        </w:rPr>
        <w:t>submitted to the SC and MA for endorsement.</w:t>
      </w:r>
      <w:r w:rsidRPr="00682784">
        <w:rPr>
          <w:lang w:val="en-GB"/>
        </w:rPr>
        <w:t xml:space="preserve"> </w:t>
      </w:r>
      <w:r w:rsidRPr="00682784">
        <w:rPr>
          <w:bCs/>
          <w:sz w:val="22"/>
          <w:szCs w:val="22"/>
          <w:lang w:val="en-GB"/>
        </w:rPr>
        <w:t>The MA will verify whether the evaluation process took place according to the regulations and provisions in force, identifying any possible irregularities in the procedure and informing JMC accordingly.</w:t>
      </w:r>
    </w:p>
    <w:p w:rsidR="00A5635D" w:rsidRPr="00682784" w:rsidRDefault="00A5635D" w:rsidP="007B10D5">
      <w:pPr>
        <w:spacing w:after="120" w:line="264" w:lineRule="auto"/>
        <w:jc w:val="both"/>
        <w:rPr>
          <w:b/>
          <w:bCs/>
          <w:sz w:val="22"/>
          <w:szCs w:val="22"/>
          <w:lang w:val="en-GB"/>
        </w:rPr>
      </w:pPr>
      <w:r w:rsidRPr="00682784">
        <w:rPr>
          <w:bCs/>
          <w:sz w:val="22"/>
          <w:szCs w:val="22"/>
          <w:lang w:val="en-GB"/>
        </w:rPr>
        <w:t xml:space="preserve">The endorsed </w:t>
      </w:r>
      <w:r w:rsidRPr="00682784">
        <w:rPr>
          <w:bCs/>
          <w:i/>
          <w:sz w:val="22"/>
          <w:szCs w:val="22"/>
          <w:lang w:val="en-GB"/>
        </w:rPr>
        <w:t xml:space="preserve">Verification of </w:t>
      </w:r>
      <w:r w:rsidRPr="00682784">
        <w:rPr>
          <w:i/>
          <w:sz w:val="22"/>
          <w:szCs w:val="22"/>
          <w:lang w:val="en-GB"/>
        </w:rPr>
        <w:t xml:space="preserve">Eligibility </w:t>
      </w:r>
      <w:r w:rsidRPr="00682784">
        <w:rPr>
          <w:bCs/>
          <w:i/>
          <w:sz w:val="22"/>
          <w:szCs w:val="22"/>
          <w:lang w:val="en-GB"/>
        </w:rPr>
        <w:t>Report</w:t>
      </w:r>
      <w:r w:rsidRPr="00682784">
        <w:rPr>
          <w:bCs/>
          <w:sz w:val="22"/>
          <w:szCs w:val="22"/>
          <w:lang w:val="en-GB"/>
        </w:rPr>
        <w:t xml:space="preserve"> will be</w:t>
      </w:r>
      <w:r w:rsidRPr="00682784">
        <w:rPr>
          <w:b/>
          <w:bCs/>
          <w:sz w:val="22"/>
          <w:szCs w:val="22"/>
          <w:lang w:val="en-GB"/>
        </w:rPr>
        <w:t xml:space="preserve"> submitted to the JMC for approval.</w:t>
      </w:r>
    </w:p>
    <w:p w:rsidR="00A5635D" w:rsidRPr="001F4390" w:rsidRDefault="00A5635D" w:rsidP="00D67190">
      <w:pPr>
        <w:spacing w:before="240" w:after="120" w:line="264" w:lineRule="auto"/>
        <w:jc w:val="both"/>
        <w:rPr>
          <w:b/>
          <w:lang w:val="en-GB"/>
        </w:rPr>
      </w:pPr>
      <w:bookmarkStart w:id="106" w:name="_Toc310942081"/>
      <w:r w:rsidRPr="001F4390">
        <w:rPr>
          <w:b/>
          <w:lang w:val="en-GB"/>
        </w:rPr>
        <w:t>A</w:t>
      </w:r>
      <w:bookmarkEnd w:id="106"/>
      <w:r w:rsidR="005A3BA1" w:rsidRPr="001F4390">
        <w:rPr>
          <w:b/>
          <w:lang w:val="en-GB"/>
        </w:rPr>
        <w:t>ppeals</w:t>
      </w:r>
    </w:p>
    <w:p w:rsidR="00A5635D" w:rsidRPr="00682784" w:rsidRDefault="00A5635D" w:rsidP="00DC5F7F">
      <w:pPr>
        <w:spacing w:after="120" w:line="240" w:lineRule="auto"/>
        <w:jc w:val="both"/>
        <w:rPr>
          <w:sz w:val="22"/>
          <w:szCs w:val="22"/>
          <w:lang w:val="en-GB" w:eastAsia="en-GB"/>
        </w:rPr>
      </w:pPr>
      <w:r w:rsidRPr="00682784">
        <w:rPr>
          <w:sz w:val="22"/>
          <w:szCs w:val="22"/>
          <w:lang w:val="en-GB" w:eastAsia="en-GB"/>
        </w:rPr>
        <w:t xml:space="preserve">Applicants believing that they have been harmed by an error or irregularity during one of the steps (administrative, technical and financial or verification of eligibility) of the evaluation and selection process </w:t>
      </w:r>
      <w:r w:rsidRPr="00682784">
        <w:rPr>
          <w:bCs/>
          <w:sz w:val="22"/>
          <w:szCs w:val="22"/>
          <w:lang w:val="en-GB" w:eastAsia="en-GB"/>
        </w:rPr>
        <w:t>may file an appeal</w:t>
      </w:r>
      <w:r w:rsidRPr="00682784">
        <w:rPr>
          <w:sz w:val="22"/>
          <w:szCs w:val="22"/>
          <w:lang w:val="en-GB" w:eastAsia="en-GB"/>
        </w:rPr>
        <w:t xml:space="preserve"> directly to the MA. The </w:t>
      </w:r>
      <w:r w:rsidRPr="00682784">
        <w:rPr>
          <w:bCs/>
          <w:sz w:val="22"/>
          <w:szCs w:val="22"/>
          <w:lang w:val="en-GB" w:eastAsia="en-GB"/>
        </w:rPr>
        <w:t>applicant should substantiate its appeal by arguing why the decision of the Selection Committee/Joint Monitoring Committee infringes the provisions of the Guidelines for Grant Applicants or other applicable rules</w:t>
      </w:r>
      <w:r w:rsidRPr="00682784">
        <w:rPr>
          <w:sz w:val="22"/>
          <w:szCs w:val="22"/>
          <w:lang w:val="en-GB" w:eastAsia="en-GB"/>
        </w:rPr>
        <w:t>.</w:t>
      </w:r>
    </w:p>
    <w:p w:rsidR="00F37432" w:rsidRPr="00DD025B" w:rsidRDefault="00A5635D" w:rsidP="00F37432">
      <w:pPr>
        <w:pStyle w:val="Heading2"/>
        <w:spacing w:after="0" w:line="252" w:lineRule="auto"/>
        <w:jc w:val="left"/>
        <w:rPr>
          <w:sz w:val="10"/>
          <w:szCs w:val="10"/>
          <w:lang w:val="en-GB"/>
        </w:rPr>
      </w:pPr>
      <w:r>
        <w:rPr>
          <w:sz w:val="40"/>
          <w:szCs w:val="40"/>
          <w:lang w:val="en-GB"/>
        </w:rPr>
        <w:br w:type="column"/>
      </w:r>
    </w:p>
    <w:p w:rsidR="00EE745F" w:rsidRDefault="00EE745F" w:rsidP="005940EA">
      <w:pPr>
        <w:pStyle w:val="Heading1"/>
        <w:numPr>
          <w:ilvl w:val="1"/>
          <w:numId w:val="3"/>
        </w:numPr>
        <w:spacing w:before="120" w:after="0" w:line="264" w:lineRule="auto"/>
        <w:jc w:val="left"/>
        <w:rPr>
          <w:sz w:val="40"/>
          <w:szCs w:val="40"/>
          <w:lang w:val="en-GB"/>
        </w:rPr>
      </w:pPr>
      <w:bookmarkStart w:id="107" w:name="_Toc288133467"/>
      <w:r>
        <w:rPr>
          <w:sz w:val="40"/>
          <w:szCs w:val="40"/>
          <w:lang w:val="en-GB"/>
        </w:rPr>
        <w:t>Programme implementation</w:t>
      </w:r>
      <w:bookmarkEnd w:id="87"/>
      <w:bookmarkEnd w:id="107"/>
    </w:p>
    <w:p w:rsidR="00EE745F" w:rsidRPr="00A5382E" w:rsidRDefault="00EE745F" w:rsidP="00EE745F">
      <w:pPr>
        <w:rPr>
          <w:lang w:val="en-GB"/>
        </w:rPr>
      </w:pPr>
    </w:p>
    <w:p w:rsidR="00EE745F" w:rsidRPr="00197A31" w:rsidRDefault="00EE745F" w:rsidP="00EE745F">
      <w:pPr>
        <w:pStyle w:val="Heading3"/>
        <w:spacing w:before="200" w:line="264" w:lineRule="auto"/>
        <w:rPr>
          <w:b/>
          <w:sz w:val="28"/>
          <w:szCs w:val="28"/>
          <w:lang w:val="en-GB"/>
        </w:rPr>
      </w:pPr>
      <w:bookmarkStart w:id="108" w:name="_Toc402864386"/>
      <w:bookmarkStart w:id="109" w:name="_Toc288133468"/>
      <w:bookmarkStart w:id="110" w:name="_Toc273563315"/>
      <w:bookmarkStart w:id="111" w:name="_Toc273788697"/>
      <w:r w:rsidRPr="00197A31">
        <w:rPr>
          <w:b/>
          <w:sz w:val="28"/>
          <w:szCs w:val="28"/>
          <w:lang w:val="en-GB"/>
        </w:rPr>
        <w:t>Description of the management and control systems</w:t>
      </w:r>
      <w:bookmarkEnd w:id="108"/>
      <w:bookmarkEnd w:id="109"/>
    </w:p>
    <w:p w:rsidR="00EE745F" w:rsidRPr="001368E0" w:rsidRDefault="00EE745F" w:rsidP="00EE745F">
      <w:pPr>
        <w:spacing w:after="60" w:line="264" w:lineRule="auto"/>
        <w:jc w:val="both"/>
        <w:rPr>
          <w:i/>
          <w:color w:val="983620"/>
          <w:sz w:val="22"/>
          <w:szCs w:val="22"/>
          <w:lang w:val="en-GB"/>
        </w:rPr>
      </w:pPr>
      <w:r w:rsidRPr="001368E0">
        <w:rPr>
          <w:i/>
          <w:color w:val="983620"/>
          <w:sz w:val="22"/>
          <w:szCs w:val="22"/>
          <w:lang w:val="en-GB"/>
        </w:rPr>
        <w:t>A summary description of the</w:t>
      </w:r>
      <w:r w:rsidR="00D43EC7" w:rsidRPr="001368E0">
        <w:rPr>
          <w:i/>
          <w:color w:val="983620"/>
          <w:sz w:val="22"/>
          <w:szCs w:val="22"/>
          <w:lang w:val="en-GB"/>
        </w:rPr>
        <w:t xml:space="preserve"> management and control systems </w:t>
      </w:r>
      <w:r w:rsidR="00AE05EA" w:rsidRPr="001368E0">
        <w:rPr>
          <w:i/>
          <w:color w:val="983620"/>
          <w:sz w:val="22"/>
          <w:szCs w:val="22"/>
          <w:lang w:val="en-GB"/>
        </w:rPr>
        <w:t>(DMCS) will be insert</w:t>
      </w:r>
      <w:r w:rsidR="00D2495B" w:rsidRPr="001368E0">
        <w:rPr>
          <w:i/>
          <w:color w:val="983620"/>
          <w:sz w:val="22"/>
          <w:szCs w:val="22"/>
          <w:lang w:val="en-GB"/>
        </w:rPr>
        <w:t>ed after approval of the DMCS</w:t>
      </w:r>
    </w:p>
    <w:p w:rsidR="00EE745F" w:rsidRPr="00F838AF" w:rsidRDefault="00EE745F" w:rsidP="00EE745F">
      <w:pPr>
        <w:pStyle w:val="Heading3"/>
        <w:spacing w:before="200" w:after="240" w:line="264" w:lineRule="auto"/>
        <w:rPr>
          <w:b/>
          <w:sz w:val="28"/>
          <w:szCs w:val="28"/>
          <w:lang w:val="en-GB"/>
        </w:rPr>
      </w:pPr>
      <w:bookmarkStart w:id="112" w:name="_Toc402864387"/>
      <w:bookmarkStart w:id="113" w:name="_Toc288133469"/>
      <w:r w:rsidRPr="00F838AF">
        <w:rPr>
          <w:b/>
          <w:sz w:val="28"/>
          <w:szCs w:val="28"/>
          <w:lang w:val="en-GB"/>
        </w:rPr>
        <w:t>Time-frame for programme implementation</w:t>
      </w:r>
      <w:bookmarkEnd w:id="110"/>
      <w:bookmarkEnd w:id="111"/>
      <w:bookmarkEnd w:id="112"/>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433"/>
        <w:gridCol w:w="454"/>
        <w:gridCol w:w="434"/>
        <w:gridCol w:w="454"/>
        <w:gridCol w:w="434"/>
        <w:gridCol w:w="454"/>
        <w:gridCol w:w="433"/>
        <w:gridCol w:w="454"/>
        <w:gridCol w:w="433"/>
        <w:gridCol w:w="454"/>
        <w:gridCol w:w="433"/>
        <w:gridCol w:w="454"/>
        <w:gridCol w:w="433"/>
        <w:gridCol w:w="454"/>
        <w:gridCol w:w="433"/>
        <w:gridCol w:w="454"/>
        <w:gridCol w:w="433"/>
        <w:gridCol w:w="454"/>
        <w:gridCol w:w="433"/>
        <w:gridCol w:w="454"/>
      </w:tblGrid>
      <w:tr w:rsidR="00EE745F" w:rsidRPr="001368E0" w:rsidTr="001368E0">
        <w:tc>
          <w:tcPr>
            <w:tcW w:w="10869" w:type="dxa"/>
            <w:gridSpan w:val="21"/>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r w:rsidRPr="001368E0">
              <w:rPr>
                <w:b/>
                <w:sz w:val="20"/>
                <w:szCs w:val="20"/>
                <w:lang w:val="en-GB"/>
              </w:rPr>
              <w:t>Provisional indicative time-frame for programme implementation</w:t>
            </w:r>
          </w:p>
        </w:tc>
      </w:tr>
      <w:tr w:rsidR="00EE745F" w:rsidRPr="001368E0" w:rsidTr="001368E0">
        <w:tc>
          <w:tcPr>
            <w:tcW w:w="1997" w:type="dxa"/>
            <w:vMerge w:val="restart"/>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p>
        </w:tc>
        <w:tc>
          <w:tcPr>
            <w:tcW w:w="887" w:type="dxa"/>
            <w:gridSpan w:val="2"/>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r w:rsidRPr="001368E0">
              <w:rPr>
                <w:b/>
                <w:sz w:val="20"/>
                <w:szCs w:val="20"/>
                <w:lang w:val="en-GB"/>
              </w:rPr>
              <w:t>2015</w:t>
            </w:r>
          </w:p>
        </w:tc>
        <w:tc>
          <w:tcPr>
            <w:tcW w:w="888" w:type="dxa"/>
            <w:gridSpan w:val="2"/>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r w:rsidRPr="001368E0">
              <w:rPr>
                <w:b/>
                <w:sz w:val="20"/>
                <w:szCs w:val="20"/>
                <w:lang w:val="en-GB"/>
              </w:rPr>
              <w:t>2016</w:t>
            </w:r>
          </w:p>
        </w:tc>
        <w:tc>
          <w:tcPr>
            <w:tcW w:w="888" w:type="dxa"/>
            <w:gridSpan w:val="2"/>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r w:rsidRPr="001368E0">
              <w:rPr>
                <w:b/>
                <w:sz w:val="20"/>
                <w:szCs w:val="20"/>
                <w:lang w:val="en-GB"/>
              </w:rPr>
              <w:t>2017</w:t>
            </w:r>
          </w:p>
        </w:tc>
        <w:tc>
          <w:tcPr>
            <w:tcW w:w="887" w:type="dxa"/>
            <w:gridSpan w:val="2"/>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r w:rsidRPr="001368E0">
              <w:rPr>
                <w:b/>
                <w:sz w:val="20"/>
                <w:szCs w:val="20"/>
                <w:lang w:val="en-GB"/>
              </w:rPr>
              <w:t>2018</w:t>
            </w:r>
          </w:p>
        </w:tc>
        <w:tc>
          <w:tcPr>
            <w:tcW w:w="887" w:type="dxa"/>
            <w:gridSpan w:val="2"/>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r w:rsidRPr="001368E0">
              <w:rPr>
                <w:b/>
                <w:sz w:val="20"/>
                <w:szCs w:val="20"/>
                <w:lang w:val="en-GB"/>
              </w:rPr>
              <w:t>2019</w:t>
            </w:r>
          </w:p>
        </w:tc>
        <w:tc>
          <w:tcPr>
            <w:tcW w:w="887" w:type="dxa"/>
            <w:gridSpan w:val="2"/>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r w:rsidRPr="001368E0">
              <w:rPr>
                <w:b/>
                <w:sz w:val="20"/>
                <w:szCs w:val="20"/>
                <w:lang w:val="en-GB"/>
              </w:rPr>
              <w:t>2020</w:t>
            </w:r>
          </w:p>
        </w:tc>
        <w:tc>
          <w:tcPr>
            <w:tcW w:w="887" w:type="dxa"/>
            <w:gridSpan w:val="2"/>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r w:rsidRPr="001368E0">
              <w:rPr>
                <w:b/>
                <w:sz w:val="20"/>
                <w:szCs w:val="20"/>
                <w:lang w:val="en-GB"/>
              </w:rPr>
              <w:t>2021</w:t>
            </w:r>
          </w:p>
        </w:tc>
        <w:tc>
          <w:tcPr>
            <w:tcW w:w="887" w:type="dxa"/>
            <w:gridSpan w:val="2"/>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r w:rsidRPr="001368E0">
              <w:rPr>
                <w:b/>
                <w:sz w:val="20"/>
                <w:szCs w:val="20"/>
                <w:lang w:val="en-GB"/>
              </w:rPr>
              <w:t>2022</w:t>
            </w:r>
          </w:p>
        </w:tc>
        <w:tc>
          <w:tcPr>
            <w:tcW w:w="887" w:type="dxa"/>
            <w:gridSpan w:val="2"/>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r w:rsidRPr="001368E0">
              <w:rPr>
                <w:b/>
                <w:sz w:val="20"/>
                <w:szCs w:val="20"/>
                <w:lang w:val="en-GB"/>
              </w:rPr>
              <w:t>2023</w:t>
            </w:r>
          </w:p>
        </w:tc>
        <w:tc>
          <w:tcPr>
            <w:tcW w:w="887" w:type="dxa"/>
            <w:gridSpan w:val="2"/>
            <w:shd w:val="clear" w:color="auto" w:fill="auto"/>
          </w:tcPr>
          <w:p w:rsidR="00EE745F" w:rsidRPr="001368E0" w:rsidRDefault="00EE745F" w:rsidP="001368E0">
            <w:pPr>
              <w:autoSpaceDE w:val="0"/>
              <w:autoSpaceDN w:val="0"/>
              <w:adjustRightInd w:val="0"/>
              <w:spacing w:after="60" w:line="264" w:lineRule="auto"/>
              <w:jc w:val="center"/>
              <w:rPr>
                <w:b/>
                <w:sz w:val="20"/>
                <w:szCs w:val="20"/>
                <w:lang w:val="en-GB"/>
              </w:rPr>
            </w:pPr>
            <w:r w:rsidRPr="001368E0">
              <w:rPr>
                <w:b/>
                <w:sz w:val="20"/>
                <w:szCs w:val="20"/>
                <w:lang w:val="en-GB"/>
              </w:rPr>
              <w:t>2024</w:t>
            </w:r>
          </w:p>
        </w:tc>
      </w:tr>
      <w:tr w:rsidR="00EE745F" w:rsidRPr="001368E0" w:rsidTr="001368E0">
        <w:tc>
          <w:tcPr>
            <w:tcW w:w="1997" w:type="dxa"/>
            <w:vMerge/>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w:t>
            </w:r>
          </w:p>
        </w:tc>
        <w:tc>
          <w:tcPr>
            <w:tcW w:w="45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II</w:t>
            </w:r>
          </w:p>
        </w:tc>
        <w:tc>
          <w:tcPr>
            <w:tcW w:w="43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w:t>
            </w:r>
          </w:p>
        </w:tc>
        <w:tc>
          <w:tcPr>
            <w:tcW w:w="45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II</w:t>
            </w:r>
          </w:p>
        </w:tc>
        <w:tc>
          <w:tcPr>
            <w:tcW w:w="43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w:t>
            </w:r>
          </w:p>
        </w:tc>
        <w:tc>
          <w:tcPr>
            <w:tcW w:w="45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II</w:t>
            </w:r>
          </w:p>
        </w:tc>
        <w:tc>
          <w:tcPr>
            <w:tcW w:w="433"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w:t>
            </w:r>
          </w:p>
        </w:tc>
        <w:tc>
          <w:tcPr>
            <w:tcW w:w="45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II</w:t>
            </w:r>
          </w:p>
        </w:tc>
        <w:tc>
          <w:tcPr>
            <w:tcW w:w="433"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w:t>
            </w:r>
          </w:p>
        </w:tc>
        <w:tc>
          <w:tcPr>
            <w:tcW w:w="45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II</w:t>
            </w:r>
          </w:p>
        </w:tc>
        <w:tc>
          <w:tcPr>
            <w:tcW w:w="433"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w:t>
            </w:r>
          </w:p>
        </w:tc>
        <w:tc>
          <w:tcPr>
            <w:tcW w:w="45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II</w:t>
            </w:r>
          </w:p>
        </w:tc>
        <w:tc>
          <w:tcPr>
            <w:tcW w:w="433"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w:t>
            </w:r>
          </w:p>
        </w:tc>
        <w:tc>
          <w:tcPr>
            <w:tcW w:w="45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II</w:t>
            </w:r>
          </w:p>
        </w:tc>
        <w:tc>
          <w:tcPr>
            <w:tcW w:w="433"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w:t>
            </w:r>
          </w:p>
        </w:tc>
        <w:tc>
          <w:tcPr>
            <w:tcW w:w="45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II</w:t>
            </w:r>
          </w:p>
        </w:tc>
        <w:tc>
          <w:tcPr>
            <w:tcW w:w="433"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w:t>
            </w:r>
          </w:p>
        </w:tc>
        <w:tc>
          <w:tcPr>
            <w:tcW w:w="45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II</w:t>
            </w:r>
          </w:p>
        </w:tc>
        <w:tc>
          <w:tcPr>
            <w:tcW w:w="433"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w:t>
            </w:r>
          </w:p>
        </w:tc>
        <w:tc>
          <w:tcPr>
            <w:tcW w:w="454" w:type="dxa"/>
            <w:shd w:val="clear" w:color="auto" w:fill="auto"/>
          </w:tcPr>
          <w:p w:rsidR="00EE745F" w:rsidRPr="001368E0" w:rsidRDefault="00EE745F" w:rsidP="001368E0">
            <w:pPr>
              <w:autoSpaceDE w:val="0"/>
              <w:autoSpaceDN w:val="0"/>
              <w:adjustRightInd w:val="0"/>
              <w:spacing w:after="60" w:line="264" w:lineRule="auto"/>
              <w:jc w:val="center"/>
              <w:rPr>
                <w:sz w:val="20"/>
                <w:szCs w:val="20"/>
                <w:lang w:val="en-GB"/>
              </w:rPr>
            </w:pPr>
            <w:r w:rsidRPr="001368E0">
              <w:rPr>
                <w:sz w:val="20"/>
                <w:szCs w:val="20"/>
                <w:lang w:val="en-GB"/>
              </w:rPr>
              <w:t>II</w:t>
            </w:r>
          </w:p>
        </w:tc>
      </w:tr>
      <w:tr w:rsidR="00EE745F" w:rsidRPr="001368E0" w:rsidTr="001368E0">
        <w:tc>
          <w:tcPr>
            <w:tcW w:w="1997"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r w:rsidRPr="001368E0">
              <w:rPr>
                <w:sz w:val="20"/>
                <w:szCs w:val="20"/>
                <w:lang w:val="en-GB"/>
              </w:rPr>
              <w:t>Submission to EC</w:t>
            </w: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r>
      <w:tr w:rsidR="00EE745F" w:rsidRPr="001368E0" w:rsidTr="001368E0">
        <w:tc>
          <w:tcPr>
            <w:tcW w:w="1997"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r w:rsidRPr="001368E0">
              <w:rPr>
                <w:sz w:val="20"/>
                <w:szCs w:val="20"/>
                <w:lang w:val="en-GB"/>
              </w:rPr>
              <w:t>Adoption by EC</w:t>
            </w: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r>
      <w:tr w:rsidR="00EE745F" w:rsidRPr="001368E0" w:rsidTr="001368E0">
        <w:tc>
          <w:tcPr>
            <w:tcW w:w="1997"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r w:rsidRPr="001368E0">
              <w:rPr>
                <w:sz w:val="20"/>
                <w:szCs w:val="20"/>
                <w:lang w:val="en-GB"/>
              </w:rPr>
              <w:t>Period of execution</w:t>
            </w:r>
            <w:r w:rsidRPr="001368E0">
              <w:rPr>
                <w:rStyle w:val="FootnoteReference"/>
                <w:sz w:val="20"/>
                <w:szCs w:val="20"/>
                <w:lang w:val="en-GB"/>
              </w:rPr>
              <w:footnoteReference w:id="92"/>
            </w: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r>
      <w:tr w:rsidR="00EE745F" w:rsidRPr="001368E0" w:rsidTr="001368E0">
        <w:tc>
          <w:tcPr>
            <w:tcW w:w="1997"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r w:rsidRPr="001368E0">
              <w:rPr>
                <w:sz w:val="20"/>
                <w:szCs w:val="20"/>
                <w:lang w:val="en-GB"/>
              </w:rPr>
              <w:t>Signature of Fin. Agreement</w:t>
            </w:r>
            <w:r w:rsidR="00563509" w:rsidRPr="001368E0">
              <w:rPr>
                <w:sz w:val="20"/>
                <w:szCs w:val="20"/>
                <w:lang w:val="en-GB"/>
              </w:rPr>
              <w:t>s</w:t>
            </w:r>
            <w:r w:rsidRPr="001368E0">
              <w:rPr>
                <w:sz w:val="20"/>
                <w:szCs w:val="20"/>
                <w:lang w:val="en-GB"/>
              </w:rPr>
              <w:t>.</w:t>
            </w:r>
            <w:r w:rsidRPr="001368E0">
              <w:rPr>
                <w:rStyle w:val="FootnoteReference"/>
                <w:sz w:val="20"/>
                <w:szCs w:val="20"/>
                <w:lang w:val="en-GB"/>
              </w:rPr>
              <w:footnoteReference w:id="93"/>
            </w: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r>
      <w:tr w:rsidR="00EE745F" w:rsidRPr="001368E0" w:rsidTr="001368E0">
        <w:tc>
          <w:tcPr>
            <w:tcW w:w="1997"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r w:rsidRPr="001368E0">
              <w:rPr>
                <w:sz w:val="20"/>
                <w:szCs w:val="20"/>
                <w:lang w:val="en-GB"/>
              </w:rPr>
              <w:t>JMC meetings</w:t>
            </w: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r>
      <w:tr w:rsidR="00EE745F" w:rsidRPr="001368E0" w:rsidTr="001368E0">
        <w:tc>
          <w:tcPr>
            <w:tcW w:w="1997"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r w:rsidRPr="001368E0">
              <w:rPr>
                <w:sz w:val="20"/>
                <w:szCs w:val="20"/>
                <w:lang w:val="en-GB"/>
              </w:rPr>
              <w:t>Launching of the calls</w:t>
            </w: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r>
      <w:tr w:rsidR="00EE745F" w:rsidRPr="001368E0" w:rsidTr="001368E0">
        <w:tc>
          <w:tcPr>
            <w:tcW w:w="1997"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r w:rsidRPr="001368E0">
              <w:rPr>
                <w:sz w:val="20"/>
                <w:szCs w:val="20"/>
                <w:lang w:val="en-GB"/>
              </w:rPr>
              <w:t>Evaluation/selection of projects</w:t>
            </w: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r>
      <w:tr w:rsidR="00EE745F" w:rsidRPr="001368E0" w:rsidTr="001368E0">
        <w:tc>
          <w:tcPr>
            <w:tcW w:w="1997"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r w:rsidRPr="001368E0">
              <w:rPr>
                <w:sz w:val="20"/>
                <w:szCs w:val="20"/>
                <w:lang w:val="en-GB"/>
              </w:rPr>
              <w:t>Contracting phase</w:t>
            </w: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r>
      <w:tr w:rsidR="00EE745F" w:rsidRPr="001368E0" w:rsidTr="001368E0">
        <w:tc>
          <w:tcPr>
            <w:tcW w:w="1997"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r w:rsidRPr="001368E0">
              <w:rPr>
                <w:sz w:val="20"/>
                <w:szCs w:val="20"/>
                <w:lang w:val="en-GB"/>
              </w:rPr>
              <w:t>Implementation of projects</w:t>
            </w: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r>
      <w:tr w:rsidR="00EE745F" w:rsidRPr="001368E0" w:rsidTr="001368E0">
        <w:tc>
          <w:tcPr>
            <w:tcW w:w="1997"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r w:rsidRPr="001368E0">
              <w:rPr>
                <w:sz w:val="20"/>
                <w:szCs w:val="20"/>
                <w:lang w:val="en-GB"/>
              </w:rPr>
              <w:t>Programme closure</w:t>
            </w: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33"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c>
          <w:tcPr>
            <w:tcW w:w="454" w:type="dxa"/>
            <w:shd w:val="clear" w:color="auto" w:fill="auto"/>
          </w:tcPr>
          <w:p w:rsidR="00EE745F" w:rsidRPr="001368E0" w:rsidRDefault="00EE745F" w:rsidP="001368E0">
            <w:pPr>
              <w:autoSpaceDE w:val="0"/>
              <w:autoSpaceDN w:val="0"/>
              <w:adjustRightInd w:val="0"/>
              <w:spacing w:after="60" w:line="264" w:lineRule="auto"/>
              <w:jc w:val="both"/>
              <w:rPr>
                <w:sz w:val="20"/>
                <w:szCs w:val="20"/>
                <w:lang w:val="en-GB"/>
              </w:rPr>
            </w:pPr>
          </w:p>
        </w:tc>
      </w:tr>
    </w:tbl>
    <w:p w:rsidR="00EE745F" w:rsidRDefault="00EE745F" w:rsidP="00EE745F">
      <w:pPr>
        <w:autoSpaceDE w:val="0"/>
        <w:autoSpaceDN w:val="0"/>
        <w:adjustRightInd w:val="0"/>
        <w:spacing w:after="60" w:line="264" w:lineRule="auto"/>
        <w:jc w:val="both"/>
        <w:rPr>
          <w:sz w:val="22"/>
          <w:szCs w:val="22"/>
          <w:lang w:val="en-GB"/>
        </w:rPr>
      </w:pPr>
    </w:p>
    <w:p w:rsidR="00EE745F" w:rsidRPr="00197A31" w:rsidRDefault="00EE745F" w:rsidP="00EE745F">
      <w:pPr>
        <w:pStyle w:val="Heading3"/>
        <w:spacing w:before="200" w:line="264" w:lineRule="auto"/>
        <w:rPr>
          <w:b/>
          <w:sz w:val="28"/>
          <w:szCs w:val="28"/>
          <w:lang w:val="en-GB"/>
        </w:rPr>
      </w:pPr>
      <w:bookmarkStart w:id="114" w:name="_Toc273563317"/>
      <w:bookmarkStart w:id="115" w:name="_Toc273788699"/>
      <w:bookmarkStart w:id="116" w:name="_Toc402864390"/>
      <w:bookmarkStart w:id="117" w:name="_Toc288133470"/>
      <w:r w:rsidRPr="00197A31">
        <w:rPr>
          <w:b/>
          <w:sz w:val="28"/>
          <w:szCs w:val="28"/>
          <w:lang w:val="en-GB"/>
        </w:rPr>
        <w:t>Technical assistance</w:t>
      </w:r>
      <w:bookmarkEnd w:id="114"/>
      <w:bookmarkEnd w:id="115"/>
      <w:bookmarkEnd w:id="116"/>
      <w:r w:rsidR="002C0004" w:rsidRPr="00197A31">
        <w:rPr>
          <w:b/>
          <w:sz w:val="28"/>
          <w:szCs w:val="28"/>
          <w:lang w:val="en-GB"/>
        </w:rPr>
        <w:t xml:space="preserve"> (TA)</w:t>
      </w:r>
      <w:bookmarkEnd w:id="117"/>
    </w:p>
    <w:p w:rsidR="008D40A7" w:rsidRPr="008D40A7" w:rsidRDefault="008D40A7" w:rsidP="00C30CD2">
      <w:pPr>
        <w:rPr>
          <w:sz w:val="4"/>
          <w:szCs w:val="4"/>
          <w:highlight w:val="green"/>
          <w:lang w:val="en-GB"/>
        </w:rPr>
      </w:pPr>
    </w:p>
    <w:p w:rsidR="004E311C" w:rsidRPr="001368E0" w:rsidRDefault="004E311C" w:rsidP="00A75CE5">
      <w:pPr>
        <w:spacing w:after="120" w:line="240" w:lineRule="auto"/>
        <w:ind w:right="-58"/>
        <w:jc w:val="both"/>
        <w:rPr>
          <w:rFonts w:eastAsia="Times New Roman"/>
          <w:sz w:val="22"/>
          <w:szCs w:val="22"/>
          <w:lang w:val="en-GB" w:eastAsia="en-US"/>
        </w:rPr>
      </w:pPr>
      <w:r w:rsidRPr="001368E0">
        <w:rPr>
          <w:rFonts w:eastAsia="Times New Roman"/>
          <w:sz w:val="22"/>
          <w:szCs w:val="22"/>
          <w:lang w:val="en-GB" w:eastAsia="en-US"/>
        </w:rPr>
        <w:t xml:space="preserve">According with art. 34 of Regulation (EU) No.897/2014, </w:t>
      </w:r>
      <w:r w:rsidR="006718A3" w:rsidRPr="001368E0">
        <w:rPr>
          <w:rFonts w:eastAsia="Times New Roman"/>
          <w:sz w:val="22"/>
          <w:szCs w:val="22"/>
          <w:lang w:val="en-GB" w:eastAsia="en-US"/>
        </w:rPr>
        <w:t>a maximum of 10 % of the Union's total contribution may be allocated to technical assistance</w:t>
      </w:r>
    </w:p>
    <w:p w:rsidR="004E311C" w:rsidRPr="001368E0" w:rsidRDefault="004E311C" w:rsidP="00A75CE5">
      <w:pPr>
        <w:spacing w:after="120" w:line="240" w:lineRule="auto"/>
        <w:ind w:right="-58"/>
        <w:jc w:val="both"/>
        <w:rPr>
          <w:rFonts w:eastAsia="Times New Roman"/>
          <w:sz w:val="22"/>
          <w:szCs w:val="22"/>
          <w:lang w:val="en-GB" w:eastAsia="en-US"/>
        </w:rPr>
      </w:pPr>
      <w:r w:rsidRPr="001368E0">
        <w:rPr>
          <w:rFonts w:eastAsia="Times New Roman"/>
          <w:sz w:val="22"/>
          <w:szCs w:val="22"/>
          <w:lang w:val="en-GB" w:eastAsia="en-US"/>
        </w:rPr>
        <w:t xml:space="preserve">Although the vastness of the eligible territory and the large number of partners expected to be involved in the projects makes programme implementation very demanding in </w:t>
      </w:r>
      <w:r w:rsidR="006718A3" w:rsidRPr="001368E0">
        <w:rPr>
          <w:rFonts w:eastAsia="Times New Roman"/>
          <w:sz w:val="22"/>
          <w:szCs w:val="22"/>
          <w:lang w:val="en-GB" w:eastAsia="en-US"/>
        </w:rPr>
        <w:t>terms of</w:t>
      </w:r>
      <w:r w:rsidRPr="001368E0">
        <w:rPr>
          <w:rFonts w:eastAsia="Times New Roman"/>
          <w:sz w:val="22"/>
          <w:szCs w:val="22"/>
          <w:lang w:val="en-GB" w:eastAsia="en-US"/>
        </w:rPr>
        <w:t xml:space="preserve"> financial </w:t>
      </w:r>
      <w:r w:rsidR="006718A3" w:rsidRPr="001368E0">
        <w:rPr>
          <w:rFonts w:eastAsia="Times New Roman"/>
          <w:sz w:val="22"/>
          <w:szCs w:val="22"/>
          <w:lang w:val="en-GB" w:eastAsia="en-US"/>
        </w:rPr>
        <w:t>resources</w:t>
      </w:r>
      <w:r w:rsidRPr="001368E0">
        <w:rPr>
          <w:rFonts w:eastAsia="Times New Roman"/>
          <w:sz w:val="22"/>
          <w:szCs w:val="22"/>
          <w:lang w:val="en-GB" w:eastAsia="en-US"/>
        </w:rPr>
        <w:t>, in order to give priority to projects, initially</w:t>
      </w:r>
      <w:r w:rsidR="00A75CE5" w:rsidRPr="001368E0">
        <w:rPr>
          <w:rFonts w:eastAsia="Times New Roman"/>
          <w:sz w:val="22"/>
          <w:szCs w:val="22"/>
          <w:lang w:val="en-GB" w:eastAsia="en-US"/>
        </w:rPr>
        <w:t>, a 10 % of the Union's total contribution shall be allocated to techni</w:t>
      </w:r>
      <w:r w:rsidRPr="001368E0">
        <w:rPr>
          <w:rFonts w:eastAsia="Times New Roman"/>
          <w:sz w:val="22"/>
          <w:szCs w:val="22"/>
          <w:lang w:val="en-GB" w:eastAsia="en-US"/>
        </w:rPr>
        <w:t xml:space="preserve">cal assistance of the programme. </w:t>
      </w:r>
    </w:p>
    <w:p w:rsidR="00A75CE5" w:rsidRPr="001368E0" w:rsidRDefault="004E311C" w:rsidP="00A75CE5">
      <w:pPr>
        <w:spacing w:after="120" w:line="240" w:lineRule="auto"/>
        <w:ind w:right="-58"/>
        <w:jc w:val="both"/>
        <w:rPr>
          <w:rFonts w:eastAsia="Times New Roman"/>
          <w:sz w:val="22"/>
          <w:szCs w:val="22"/>
          <w:lang w:val="en-GB" w:eastAsia="en-US"/>
        </w:rPr>
      </w:pPr>
      <w:r w:rsidRPr="001368E0">
        <w:rPr>
          <w:rFonts w:eastAsia="Times New Roman"/>
          <w:sz w:val="22"/>
          <w:szCs w:val="22"/>
          <w:lang w:val="en-GB" w:eastAsia="en-US"/>
        </w:rPr>
        <w:t>Nevertheless,</w:t>
      </w:r>
      <w:r w:rsidR="00A75CE5" w:rsidRPr="001368E0">
        <w:rPr>
          <w:rFonts w:eastAsia="Times New Roman"/>
          <w:sz w:val="22"/>
          <w:szCs w:val="22"/>
          <w:lang w:val="en-GB" w:eastAsia="en-US"/>
        </w:rPr>
        <w:t xml:space="preserve"> during the implementation stage</w:t>
      </w:r>
      <w:r w:rsidRPr="001368E0">
        <w:rPr>
          <w:rFonts w:eastAsia="Times New Roman"/>
          <w:sz w:val="22"/>
          <w:szCs w:val="22"/>
          <w:lang w:val="en-GB" w:eastAsia="en-US"/>
        </w:rPr>
        <w:t xml:space="preserve">, based on the budget execution at projects level and also taking into account the final deadline for contracting, </w:t>
      </w:r>
      <w:r w:rsidR="00A75CE5" w:rsidRPr="001368E0">
        <w:rPr>
          <w:rFonts w:eastAsia="Times New Roman"/>
          <w:sz w:val="22"/>
          <w:szCs w:val="22"/>
          <w:lang w:val="en-GB" w:eastAsia="en-US"/>
        </w:rPr>
        <w:t xml:space="preserve">upon </w:t>
      </w:r>
      <w:r w:rsidR="00563509" w:rsidRPr="001368E0">
        <w:rPr>
          <w:rFonts w:eastAsia="Times New Roman"/>
          <w:sz w:val="22"/>
          <w:szCs w:val="22"/>
          <w:lang w:val="en-GB" w:eastAsia="en-US"/>
        </w:rPr>
        <w:t>a</w:t>
      </w:r>
      <w:r w:rsidR="00A75CE5" w:rsidRPr="001368E0">
        <w:rPr>
          <w:rFonts w:eastAsia="Times New Roman"/>
          <w:sz w:val="22"/>
          <w:szCs w:val="22"/>
          <w:lang w:val="en-GB" w:eastAsia="en-US"/>
        </w:rPr>
        <w:t xml:space="preserve"> needs analysis, the amount may be modified, according with art. 6 of Regulation (EU) No.897/2014. </w:t>
      </w:r>
    </w:p>
    <w:p w:rsidR="000446F6" w:rsidRPr="001368E0" w:rsidRDefault="002C0004" w:rsidP="00A75CE5">
      <w:pPr>
        <w:spacing w:after="120" w:line="240" w:lineRule="auto"/>
        <w:ind w:right="-58"/>
        <w:jc w:val="both"/>
        <w:rPr>
          <w:rFonts w:eastAsia="Times New Roman"/>
          <w:sz w:val="22"/>
          <w:szCs w:val="22"/>
          <w:lang w:val="en-GB" w:eastAsia="en-US"/>
        </w:rPr>
      </w:pPr>
      <w:r w:rsidRPr="001368E0">
        <w:rPr>
          <w:rFonts w:eastAsia="Times New Roman"/>
          <w:sz w:val="22"/>
          <w:szCs w:val="22"/>
          <w:lang w:val="en-GB" w:eastAsia="en-US"/>
        </w:rPr>
        <w:t xml:space="preserve">On the other hand, </w:t>
      </w:r>
      <w:r w:rsidR="000446F6" w:rsidRPr="001368E0">
        <w:rPr>
          <w:rFonts w:eastAsia="Times New Roman"/>
          <w:sz w:val="22"/>
          <w:szCs w:val="22"/>
          <w:lang w:val="en-GB" w:eastAsia="en-US"/>
        </w:rPr>
        <w:t>the EC has indicated that there will be an EU Techical Assistance project for the 2014-2020 programmes</w:t>
      </w:r>
      <w:r w:rsidRPr="001368E0">
        <w:rPr>
          <w:rFonts w:eastAsia="Times New Roman"/>
          <w:sz w:val="22"/>
          <w:szCs w:val="22"/>
          <w:lang w:val="en-GB" w:eastAsia="en-US"/>
        </w:rPr>
        <w:t xml:space="preserve">, </w:t>
      </w:r>
      <w:r w:rsidR="006718A3" w:rsidRPr="001368E0">
        <w:rPr>
          <w:rFonts w:eastAsia="Times New Roman"/>
          <w:sz w:val="22"/>
          <w:szCs w:val="22"/>
          <w:lang w:val="en-GB" w:eastAsia="en-US"/>
        </w:rPr>
        <w:t xml:space="preserve">therefore </w:t>
      </w:r>
      <w:r w:rsidR="000446F6" w:rsidRPr="001368E0">
        <w:rPr>
          <w:rFonts w:eastAsia="Times New Roman"/>
          <w:sz w:val="22"/>
          <w:szCs w:val="22"/>
          <w:lang w:val="en-GB" w:eastAsia="en-US"/>
        </w:rPr>
        <w:t xml:space="preserve">it is anticipated that support will be provided </w:t>
      </w:r>
      <w:r w:rsidRPr="001368E0">
        <w:rPr>
          <w:rFonts w:eastAsia="Times New Roman"/>
          <w:sz w:val="22"/>
          <w:szCs w:val="22"/>
          <w:lang w:val="en-GB" w:eastAsia="en-US"/>
        </w:rPr>
        <w:t xml:space="preserve">also </w:t>
      </w:r>
      <w:r w:rsidR="000446F6" w:rsidRPr="001368E0">
        <w:rPr>
          <w:rFonts w:eastAsia="Times New Roman"/>
          <w:sz w:val="22"/>
          <w:szCs w:val="22"/>
          <w:lang w:val="en-GB" w:eastAsia="en-US"/>
        </w:rPr>
        <w:t>by this project</w:t>
      </w:r>
      <w:r w:rsidRPr="001368E0">
        <w:rPr>
          <w:rFonts w:eastAsia="Times New Roman"/>
          <w:sz w:val="22"/>
          <w:szCs w:val="22"/>
          <w:lang w:val="en-GB" w:eastAsia="en-US"/>
        </w:rPr>
        <w:t xml:space="preserve">, especially for communication and training activities. </w:t>
      </w:r>
    </w:p>
    <w:p w:rsidR="00A75CE5" w:rsidRPr="001368E0" w:rsidRDefault="00A75CE5" w:rsidP="00A75CE5">
      <w:pPr>
        <w:spacing w:after="120" w:line="240" w:lineRule="auto"/>
        <w:ind w:right="-58"/>
        <w:jc w:val="both"/>
        <w:rPr>
          <w:rFonts w:eastAsia="Times New Roman"/>
          <w:sz w:val="22"/>
          <w:szCs w:val="22"/>
          <w:lang w:val="en-GB" w:eastAsia="en-US"/>
        </w:rPr>
      </w:pPr>
      <w:r w:rsidRPr="001368E0">
        <w:rPr>
          <w:rFonts w:eastAsia="Times New Roman"/>
          <w:sz w:val="22"/>
          <w:szCs w:val="22"/>
          <w:lang w:val="en-GB" w:eastAsia="en-US"/>
        </w:rPr>
        <w:t>In accordance with art.35(1) of the Regulation (EU) No.897/2014, the TA budget shall support the preparation, management, monitoring, evaluation, information, communication, networking, complaint resolution, control and audit activities related to the implementation of the programme and activities to strengthen the administrative capacity for implementing the programme.</w:t>
      </w:r>
    </w:p>
    <w:p w:rsidR="00A75CE5" w:rsidRPr="001368E0" w:rsidRDefault="00A75CE5" w:rsidP="00A75CE5">
      <w:pPr>
        <w:spacing w:after="120" w:line="240" w:lineRule="auto"/>
        <w:ind w:right="-58"/>
        <w:jc w:val="both"/>
        <w:rPr>
          <w:rFonts w:eastAsia="Times New Roman"/>
          <w:sz w:val="22"/>
          <w:szCs w:val="22"/>
          <w:lang w:val="en-GB" w:eastAsia="en-US"/>
        </w:rPr>
      </w:pPr>
      <w:r w:rsidRPr="001368E0">
        <w:rPr>
          <w:rFonts w:eastAsia="Times New Roman"/>
          <w:sz w:val="22"/>
          <w:szCs w:val="22"/>
          <w:lang w:val="en-GB" w:eastAsia="en-US"/>
        </w:rPr>
        <w:t>Technical assistance shall be used for the needs of both programme structures and beneficiaries.</w:t>
      </w:r>
    </w:p>
    <w:p w:rsidR="00A75CE5" w:rsidRPr="001368E0" w:rsidRDefault="00A75CE5" w:rsidP="00A75CE5">
      <w:pPr>
        <w:spacing w:after="120" w:line="240" w:lineRule="auto"/>
        <w:ind w:right="-58"/>
        <w:jc w:val="both"/>
        <w:rPr>
          <w:rFonts w:eastAsia="Times New Roman"/>
          <w:sz w:val="22"/>
          <w:szCs w:val="22"/>
          <w:lang w:val="en-GB" w:eastAsia="en-US"/>
        </w:rPr>
      </w:pPr>
      <w:r w:rsidRPr="001368E0">
        <w:rPr>
          <w:rFonts w:eastAsia="Times New Roman"/>
          <w:sz w:val="22"/>
          <w:szCs w:val="22"/>
          <w:lang w:val="en-GB" w:eastAsia="en-US"/>
        </w:rPr>
        <w:t>The main indicative activities planned to be implemented from the technical assistance budget are described below:</w:t>
      </w:r>
    </w:p>
    <w:p w:rsidR="00A75CE5" w:rsidRPr="001368E0" w:rsidRDefault="00A75CE5" w:rsidP="00424EC1">
      <w:pPr>
        <w:numPr>
          <w:ilvl w:val="0"/>
          <w:numId w:val="75"/>
        </w:numPr>
        <w:spacing w:before="60" w:after="0" w:line="240" w:lineRule="auto"/>
        <w:ind w:left="357" w:right="-57" w:hanging="357"/>
        <w:jc w:val="both"/>
        <w:rPr>
          <w:rFonts w:eastAsia="Times New Roman"/>
          <w:sz w:val="22"/>
          <w:szCs w:val="22"/>
          <w:lang w:val="en-GB" w:eastAsia="en-US"/>
        </w:rPr>
      </w:pPr>
      <w:r w:rsidRPr="001368E0">
        <w:rPr>
          <w:rFonts w:eastAsia="Times New Roman"/>
          <w:sz w:val="22"/>
          <w:szCs w:val="22"/>
          <w:lang w:val="en-GB" w:eastAsia="en-US"/>
        </w:rPr>
        <w:t xml:space="preserve">Support </w:t>
      </w:r>
      <w:r w:rsidR="0047766E" w:rsidRPr="001368E0">
        <w:rPr>
          <w:rFonts w:eastAsia="Times New Roman"/>
          <w:sz w:val="22"/>
          <w:szCs w:val="22"/>
          <w:lang w:val="en-GB" w:eastAsia="en-US"/>
        </w:rPr>
        <w:t xml:space="preserve">to </w:t>
      </w:r>
      <w:r w:rsidRPr="001368E0">
        <w:rPr>
          <w:rFonts w:eastAsia="Times New Roman"/>
          <w:sz w:val="22"/>
          <w:szCs w:val="22"/>
          <w:lang w:val="en-GB" w:eastAsia="en-US"/>
        </w:rPr>
        <w:t xml:space="preserve">the programme’s bodies (JMC, MA, NAs, AA&amp;GoA, CCP and SC) for fulfilling their tasks related to the management, implementation, monitoring, evaluation, audit and control of the programme, </w:t>
      </w:r>
    </w:p>
    <w:p w:rsidR="00A75CE5" w:rsidRPr="001368E0" w:rsidRDefault="00A75CE5" w:rsidP="00424EC1">
      <w:pPr>
        <w:numPr>
          <w:ilvl w:val="0"/>
          <w:numId w:val="75"/>
        </w:numPr>
        <w:spacing w:before="60" w:after="0" w:line="240" w:lineRule="auto"/>
        <w:ind w:left="357" w:right="-57" w:hanging="357"/>
        <w:jc w:val="both"/>
        <w:rPr>
          <w:rFonts w:eastAsia="Times New Roman"/>
          <w:sz w:val="22"/>
          <w:szCs w:val="22"/>
          <w:lang w:val="en-GB" w:eastAsia="en-US"/>
        </w:rPr>
      </w:pPr>
      <w:r w:rsidRPr="001368E0">
        <w:rPr>
          <w:rFonts w:eastAsia="Times New Roman"/>
          <w:sz w:val="22"/>
          <w:szCs w:val="22"/>
          <w:lang w:val="en-GB" w:eastAsia="en-US"/>
        </w:rPr>
        <w:t>Establishment and functioning of the Joint Technical Secretariat;</w:t>
      </w:r>
    </w:p>
    <w:p w:rsidR="00A75CE5" w:rsidRPr="001368E0" w:rsidRDefault="00A75CE5" w:rsidP="00424EC1">
      <w:pPr>
        <w:numPr>
          <w:ilvl w:val="0"/>
          <w:numId w:val="75"/>
        </w:numPr>
        <w:spacing w:before="60" w:after="0" w:line="240" w:lineRule="auto"/>
        <w:ind w:left="357" w:right="-57" w:hanging="357"/>
        <w:jc w:val="both"/>
        <w:rPr>
          <w:rFonts w:eastAsia="Times New Roman"/>
          <w:sz w:val="22"/>
          <w:szCs w:val="22"/>
          <w:lang w:val="en-GB" w:eastAsia="en-US"/>
        </w:rPr>
      </w:pPr>
      <w:r w:rsidRPr="001368E0">
        <w:rPr>
          <w:rFonts w:eastAsia="Times New Roman"/>
          <w:sz w:val="22"/>
          <w:szCs w:val="22"/>
          <w:lang w:val="en-GB" w:eastAsia="en-US"/>
        </w:rPr>
        <w:t>Supporting partner search initiatives and the enhancement of the potential applicants’ capacity to submit relevant project</w:t>
      </w:r>
      <w:r w:rsidR="0047766E" w:rsidRPr="001368E0">
        <w:rPr>
          <w:rFonts w:eastAsia="Times New Roman"/>
          <w:sz w:val="22"/>
          <w:szCs w:val="22"/>
          <w:lang w:val="en-GB" w:eastAsia="en-US"/>
        </w:rPr>
        <w:t xml:space="preserve"> applications</w:t>
      </w:r>
      <w:r w:rsidRPr="001368E0">
        <w:rPr>
          <w:rFonts w:eastAsia="Times New Roman"/>
          <w:sz w:val="22"/>
          <w:szCs w:val="22"/>
          <w:lang w:val="en-GB" w:eastAsia="en-US"/>
        </w:rPr>
        <w:t>, contributing to the programme objectives and expected results;</w:t>
      </w:r>
    </w:p>
    <w:p w:rsidR="00A75CE5" w:rsidRPr="001368E0" w:rsidRDefault="00A75CE5" w:rsidP="00424EC1">
      <w:pPr>
        <w:numPr>
          <w:ilvl w:val="0"/>
          <w:numId w:val="75"/>
        </w:numPr>
        <w:spacing w:before="60" w:after="0" w:line="240" w:lineRule="auto"/>
        <w:ind w:left="357" w:right="-57" w:hanging="357"/>
        <w:jc w:val="both"/>
        <w:rPr>
          <w:rFonts w:eastAsia="Times New Roman"/>
          <w:sz w:val="22"/>
          <w:szCs w:val="22"/>
          <w:lang w:val="en-GB" w:eastAsia="en-US"/>
        </w:rPr>
      </w:pPr>
      <w:r w:rsidRPr="001368E0">
        <w:rPr>
          <w:rFonts w:eastAsia="Times New Roman"/>
          <w:sz w:val="22"/>
          <w:szCs w:val="22"/>
          <w:lang w:val="en-GB" w:eastAsia="en-US"/>
        </w:rPr>
        <w:t>Strengthening beneficiaries’ capacity for an efficient and effective management of the projects;</w:t>
      </w:r>
    </w:p>
    <w:p w:rsidR="00A75CE5" w:rsidRPr="001368E0" w:rsidRDefault="00A75CE5" w:rsidP="00424EC1">
      <w:pPr>
        <w:numPr>
          <w:ilvl w:val="0"/>
          <w:numId w:val="75"/>
        </w:numPr>
        <w:spacing w:before="60" w:after="0" w:line="240" w:lineRule="auto"/>
        <w:ind w:left="357" w:right="-57" w:hanging="357"/>
        <w:jc w:val="both"/>
        <w:rPr>
          <w:rFonts w:eastAsia="Times New Roman"/>
          <w:sz w:val="22"/>
          <w:szCs w:val="22"/>
          <w:lang w:val="en-GB" w:eastAsia="en-US"/>
        </w:rPr>
      </w:pPr>
      <w:r w:rsidRPr="001368E0">
        <w:rPr>
          <w:rFonts w:eastAsia="Times New Roman"/>
          <w:sz w:val="22"/>
          <w:szCs w:val="22"/>
          <w:lang w:val="en-GB" w:eastAsia="en-US"/>
        </w:rPr>
        <w:t xml:space="preserve">Supporting the activities related to information and promotion of the programme and capitalization of its results, as they are presented in the </w:t>
      </w:r>
      <w:r w:rsidRPr="001368E0">
        <w:rPr>
          <w:rFonts w:eastAsia="Times New Roman"/>
          <w:i/>
          <w:sz w:val="22"/>
          <w:szCs w:val="22"/>
          <w:lang w:val="en-GB" w:eastAsia="en-US"/>
        </w:rPr>
        <w:t>Communication Strategy</w:t>
      </w:r>
      <w:r w:rsidRPr="001368E0">
        <w:rPr>
          <w:rFonts w:eastAsia="Times New Roman"/>
          <w:sz w:val="22"/>
          <w:szCs w:val="22"/>
          <w:lang w:val="en-GB" w:eastAsia="en-US"/>
        </w:rPr>
        <w:t xml:space="preserve">. </w:t>
      </w:r>
    </w:p>
    <w:p w:rsidR="00A75CE5" w:rsidRPr="001368E0" w:rsidRDefault="00A75CE5" w:rsidP="00424EC1">
      <w:pPr>
        <w:tabs>
          <w:tab w:val="left" w:pos="540"/>
          <w:tab w:val="right" w:pos="7560"/>
        </w:tabs>
        <w:spacing w:before="120" w:after="0" w:line="240" w:lineRule="auto"/>
        <w:ind w:right="-57"/>
        <w:jc w:val="both"/>
        <w:rPr>
          <w:rFonts w:eastAsia="Times New Roman"/>
          <w:sz w:val="22"/>
          <w:szCs w:val="22"/>
          <w:lang w:val="en-GB" w:eastAsia="en-US"/>
        </w:rPr>
      </w:pPr>
      <w:r w:rsidRPr="001368E0">
        <w:rPr>
          <w:rFonts w:eastAsia="Times New Roman"/>
          <w:sz w:val="22"/>
          <w:szCs w:val="22"/>
          <w:lang w:val="en-GB" w:eastAsia="en-US"/>
        </w:rPr>
        <w:t xml:space="preserve">The TA activities will be implemented by the MA, JTS and AA and the related contracts shall be awarded according with the national public procurement legislation of </w:t>
      </w:r>
      <w:r w:rsidR="0047766E" w:rsidRPr="001368E0">
        <w:rPr>
          <w:rFonts w:eastAsia="Times New Roman"/>
          <w:sz w:val="22"/>
          <w:szCs w:val="22"/>
          <w:lang w:val="en-GB" w:eastAsia="en-US"/>
        </w:rPr>
        <w:t xml:space="preserve">Romania, </w:t>
      </w:r>
      <w:r w:rsidRPr="001368E0">
        <w:rPr>
          <w:rFonts w:eastAsia="Times New Roman"/>
          <w:sz w:val="22"/>
          <w:szCs w:val="22"/>
          <w:lang w:val="en-GB" w:eastAsia="en-US"/>
        </w:rPr>
        <w:t>the country hosting the MA, JTS and AA, which is in line with EU public procurement requirements.</w:t>
      </w:r>
    </w:p>
    <w:p w:rsidR="00A75CE5" w:rsidRPr="001368E0" w:rsidRDefault="00A75CE5" w:rsidP="00A75CE5">
      <w:pPr>
        <w:spacing w:after="120" w:line="240" w:lineRule="auto"/>
        <w:ind w:right="-58"/>
        <w:jc w:val="both"/>
        <w:rPr>
          <w:rFonts w:eastAsia="Times New Roman"/>
          <w:color w:val="0070C0"/>
          <w:sz w:val="22"/>
          <w:szCs w:val="22"/>
          <w:lang w:val="en-GB" w:eastAsia="en-US"/>
        </w:rPr>
      </w:pPr>
      <w:r w:rsidRPr="001368E0">
        <w:rPr>
          <w:rFonts w:eastAsia="Times New Roman"/>
          <w:sz w:val="22"/>
          <w:szCs w:val="22"/>
          <w:lang w:val="en-GB" w:eastAsia="en-US"/>
        </w:rPr>
        <w:t>However, if during the programme implementation, the circumstances will require the implementation of TA activities by other programme bodies, the procurement procedures applicable shall be those described in art. 37(1) of the Regulation (EU) No.897/2014.</w:t>
      </w:r>
    </w:p>
    <w:p w:rsidR="00A75CE5" w:rsidRPr="001368E0" w:rsidRDefault="00A75CE5" w:rsidP="00A75CE5">
      <w:pPr>
        <w:tabs>
          <w:tab w:val="left" w:pos="540"/>
          <w:tab w:val="right" w:pos="7560"/>
        </w:tabs>
        <w:spacing w:after="120" w:line="240" w:lineRule="auto"/>
        <w:ind w:right="-58"/>
        <w:jc w:val="both"/>
        <w:rPr>
          <w:rFonts w:eastAsia="Times New Roman"/>
          <w:sz w:val="22"/>
          <w:szCs w:val="22"/>
          <w:lang w:val="en-GB" w:eastAsia="en-US"/>
        </w:rPr>
      </w:pPr>
      <w:r w:rsidRPr="001368E0">
        <w:rPr>
          <w:rFonts w:eastAsia="Times New Roman"/>
          <w:sz w:val="22"/>
          <w:szCs w:val="22"/>
          <w:lang w:val="en-GB" w:eastAsia="en-US"/>
        </w:rPr>
        <w:t xml:space="preserve">Eligibility requirements set out in Article 48 of the Regulation (EU) No.897/2014 apply mutatis mutandis to technical assistance costs. </w:t>
      </w:r>
    </w:p>
    <w:p w:rsidR="00A75CE5" w:rsidRPr="001368E0" w:rsidRDefault="00A75CE5" w:rsidP="00A75CE5">
      <w:pPr>
        <w:tabs>
          <w:tab w:val="left" w:pos="540"/>
          <w:tab w:val="right" w:pos="7560"/>
        </w:tabs>
        <w:spacing w:after="120" w:line="240" w:lineRule="auto"/>
        <w:ind w:right="-54"/>
        <w:jc w:val="both"/>
        <w:rPr>
          <w:rFonts w:eastAsia="Times New Roman"/>
          <w:sz w:val="22"/>
          <w:szCs w:val="22"/>
          <w:lang w:val="en-GB" w:eastAsia="en-US"/>
        </w:rPr>
      </w:pPr>
      <w:r w:rsidRPr="001368E0">
        <w:rPr>
          <w:rFonts w:eastAsia="Times New Roman"/>
          <w:sz w:val="22"/>
          <w:szCs w:val="22"/>
          <w:lang w:val="en-GB" w:eastAsia="en-US"/>
        </w:rPr>
        <w:t>Costs referred to in Article 49 of the Regulation (EU) No.897/2014 shall not be considered eligible as technical assistance costs.</w:t>
      </w:r>
    </w:p>
    <w:p w:rsidR="00A75CE5" w:rsidRPr="001368E0" w:rsidRDefault="00A75CE5" w:rsidP="00A75CE5">
      <w:pPr>
        <w:tabs>
          <w:tab w:val="left" w:pos="540"/>
          <w:tab w:val="right" w:pos="7560"/>
        </w:tabs>
        <w:spacing w:after="120" w:line="240" w:lineRule="auto"/>
        <w:ind w:right="-54"/>
        <w:jc w:val="both"/>
        <w:rPr>
          <w:rFonts w:eastAsia="Times New Roman"/>
          <w:sz w:val="22"/>
          <w:szCs w:val="22"/>
          <w:lang w:val="en-GB" w:eastAsia="en-US"/>
        </w:rPr>
      </w:pPr>
      <w:r w:rsidRPr="001368E0">
        <w:rPr>
          <w:rFonts w:eastAsia="Times New Roman"/>
          <w:sz w:val="22"/>
          <w:szCs w:val="22"/>
          <w:lang w:val="en-GB" w:eastAsia="en-US"/>
        </w:rPr>
        <w:t xml:space="preserve">Costs for preparatory actions shall be eligible upon submission of the programme to the Commission, provided the programme is approved by the Commission. </w:t>
      </w:r>
    </w:p>
    <w:p w:rsidR="00D818B3" w:rsidRDefault="008C3B54" w:rsidP="009479CB">
      <w:pPr>
        <w:spacing w:after="120" w:line="240" w:lineRule="auto"/>
        <w:jc w:val="both"/>
        <w:rPr>
          <w:sz w:val="22"/>
          <w:szCs w:val="22"/>
          <w:lang w:val="en-GB" w:eastAsia="en-GB"/>
        </w:rPr>
      </w:pPr>
      <w:bookmarkStart w:id="118" w:name="_Toc402864391"/>
      <w:bookmarkStart w:id="119" w:name="_Toc273563318"/>
      <w:bookmarkStart w:id="120" w:name="_Toc273788700"/>
      <w:r w:rsidRPr="00682784">
        <w:rPr>
          <w:sz w:val="22"/>
          <w:szCs w:val="22"/>
          <w:lang w:val="en-GB" w:eastAsia="en-GB"/>
        </w:rPr>
        <w:t>The overall indicative TA budget is inserted below.</w:t>
      </w:r>
    </w:p>
    <w:p w:rsidR="008D40A7" w:rsidRPr="00947BDE" w:rsidRDefault="008D40A7" w:rsidP="008D40A7">
      <w:pPr>
        <w:spacing w:after="0"/>
        <w:rPr>
          <w:b/>
          <w:sz w:val="22"/>
          <w:szCs w:val="22"/>
        </w:rPr>
      </w:pPr>
      <w:r w:rsidRPr="00462BB1">
        <w:rPr>
          <w:b/>
          <w:sz w:val="22"/>
          <w:szCs w:val="22"/>
        </w:rPr>
        <w:t>2014-2020 Indicative Technical Assistance  budget</w:t>
      </w:r>
    </w:p>
    <w:tbl>
      <w:tblPr>
        <w:tblW w:w="11023" w:type="dxa"/>
        <w:tblBorders>
          <w:top w:val="single" w:sz="8" w:space="0" w:color="C1AD79"/>
          <w:bottom w:val="single" w:sz="8" w:space="0" w:color="C1AD79"/>
        </w:tblBorders>
        <w:tblLayout w:type="fixed"/>
        <w:tblLook w:val="04A0"/>
      </w:tblPr>
      <w:tblGrid>
        <w:gridCol w:w="851"/>
        <w:gridCol w:w="3652"/>
        <w:gridCol w:w="2976"/>
        <w:gridCol w:w="3544"/>
      </w:tblGrid>
      <w:tr w:rsidR="00AD7165" w:rsidRPr="001368E0" w:rsidTr="001368E0">
        <w:trPr>
          <w:trHeight w:val="348"/>
        </w:trPr>
        <w:tc>
          <w:tcPr>
            <w:tcW w:w="4503" w:type="dxa"/>
            <w:gridSpan w:val="2"/>
            <w:shd w:val="clear" w:color="auto" w:fill="auto"/>
            <w:hideMark/>
          </w:tcPr>
          <w:p w:rsidR="008D40A7" w:rsidRPr="001368E0" w:rsidRDefault="008D40A7" w:rsidP="001368E0">
            <w:pPr>
              <w:spacing w:after="0" w:line="240" w:lineRule="auto"/>
              <w:jc w:val="center"/>
              <w:rPr>
                <w:rFonts w:eastAsia="Times New Roman" w:cs="Arial"/>
                <w:color w:val="000000"/>
                <w:sz w:val="22"/>
                <w:szCs w:val="22"/>
                <w:lang w:val="en-GB" w:eastAsia="en-GB"/>
              </w:rPr>
            </w:pPr>
            <w:r w:rsidRPr="001368E0">
              <w:rPr>
                <w:rFonts w:eastAsia="Times New Roman" w:cs="Arial"/>
                <w:color w:val="000000"/>
                <w:sz w:val="22"/>
                <w:szCs w:val="22"/>
                <w:lang w:val="en-GB" w:eastAsia="en-GB"/>
              </w:rPr>
              <w:t>Budget categories</w:t>
            </w:r>
          </w:p>
        </w:tc>
        <w:tc>
          <w:tcPr>
            <w:tcW w:w="2976" w:type="dxa"/>
            <w:shd w:val="clear" w:color="auto" w:fill="auto"/>
            <w:hideMark/>
          </w:tcPr>
          <w:p w:rsidR="008D40A7" w:rsidRPr="001368E0" w:rsidRDefault="008D40A7" w:rsidP="001368E0">
            <w:pPr>
              <w:spacing w:after="0" w:line="240" w:lineRule="auto"/>
              <w:jc w:val="right"/>
              <w:rPr>
                <w:rFonts w:eastAsia="Times New Roman" w:cs="Arial"/>
                <w:color w:val="000000"/>
                <w:sz w:val="22"/>
                <w:szCs w:val="22"/>
                <w:lang w:val="en-GB" w:eastAsia="en-GB"/>
              </w:rPr>
            </w:pPr>
            <w:r w:rsidRPr="001368E0">
              <w:rPr>
                <w:rFonts w:eastAsia="Times New Roman" w:cs="Arial"/>
                <w:color w:val="000000"/>
                <w:sz w:val="22"/>
                <w:szCs w:val="22"/>
                <w:lang w:val="en-GB" w:eastAsia="en-GB"/>
              </w:rPr>
              <w:t>2015-2024</w:t>
            </w:r>
            <w:r w:rsidR="003F2580" w:rsidRPr="001368E0">
              <w:rPr>
                <w:rFonts w:eastAsia="Times New Roman" w:cs="Arial"/>
                <w:color w:val="000000"/>
                <w:sz w:val="22"/>
                <w:szCs w:val="22"/>
                <w:lang w:val="en-GB" w:eastAsia="en-GB"/>
              </w:rPr>
              <w:t xml:space="preserve"> (€)</w:t>
            </w:r>
          </w:p>
        </w:tc>
        <w:tc>
          <w:tcPr>
            <w:tcW w:w="3544" w:type="dxa"/>
            <w:shd w:val="clear" w:color="auto" w:fill="auto"/>
            <w:hideMark/>
          </w:tcPr>
          <w:p w:rsidR="008D40A7" w:rsidRPr="001368E0" w:rsidRDefault="008D40A7" w:rsidP="001368E0">
            <w:pPr>
              <w:spacing w:after="0" w:line="240" w:lineRule="auto"/>
              <w:jc w:val="right"/>
              <w:rPr>
                <w:rFonts w:eastAsia="Times New Roman" w:cs="Arial"/>
                <w:color w:val="000000"/>
                <w:sz w:val="22"/>
                <w:szCs w:val="22"/>
                <w:lang w:val="en-GB" w:eastAsia="en-GB"/>
              </w:rPr>
            </w:pPr>
            <w:r w:rsidRPr="001368E0">
              <w:rPr>
                <w:rFonts w:eastAsia="Times New Roman" w:cs="Arial"/>
                <w:color w:val="000000"/>
                <w:sz w:val="22"/>
                <w:szCs w:val="22"/>
                <w:lang w:val="en-GB" w:eastAsia="en-GB"/>
              </w:rPr>
              <w:t>%</w:t>
            </w:r>
          </w:p>
        </w:tc>
      </w:tr>
      <w:tr w:rsidR="00AD7165" w:rsidRPr="001368E0" w:rsidTr="001368E0">
        <w:trPr>
          <w:trHeight w:val="333"/>
        </w:trPr>
        <w:tc>
          <w:tcPr>
            <w:tcW w:w="851" w:type="dxa"/>
            <w:shd w:val="clear" w:color="auto" w:fill="auto"/>
            <w:noWrap/>
            <w:hideMark/>
          </w:tcPr>
          <w:p w:rsidR="008D40A7" w:rsidRPr="001368E0" w:rsidRDefault="008D40A7" w:rsidP="001368E0">
            <w:pPr>
              <w:spacing w:after="0" w:line="240" w:lineRule="auto"/>
              <w:rPr>
                <w:rFonts w:eastAsia="Times New Roman" w:cs="Arial"/>
                <w:b/>
                <w:color w:val="000000"/>
                <w:sz w:val="22"/>
                <w:szCs w:val="22"/>
                <w:lang w:val="en-GB" w:eastAsia="en-GB"/>
              </w:rPr>
            </w:pPr>
            <w:r w:rsidRPr="001368E0">
              <w:rPr>
                <w:rFonts w:eastAsia="Times New Roman" w:cs="Arial"/>
                <w:b/>
                <w:color w:val="000000"/>
                <w:sz w:val="22"/>
                <w:szCs w:val="22"/>
                <w:lang w:val="en-GB" w:eastAsia="en-GB"/>
              </w:rPr>
              <w:t xml:space="preserve">Total </w:t>
            </w:r>
          </w:p>
        </w:tc>
        <w:tc>
          <w:tcPr>
            <w:tcW w:w="3652" w:type="dxa"/>
            <w:shd w:val="clear" w:color="auto" w:fill="auto"/>
            <w:noWrap/>
            <w:hideMark/>
          </w:tcPr>
          <w:p w:rsidR="008D40A7" w:rsidRPr="001368E0" w:rsidRDefault="008D40A7" w:rsidP="001368E0">
            <w:pPr>
              <w:spacing w:after="0" w:line="240" w:lineRule="auto"/>
              <w:rPr>
                <w:rFonts w:eastAsia="Times New Roman" w:cs="Arial"/>
                <w:b/>
                <w:bCs/>
                <w:color w:val="000000"/>
                <w:sz w:val="20"/>
                <w:szCs w:val="20"/>
                <w:lang w:val="en-GB" w:eastAsia="en-GB"/>
              </w:rPr>
            </w:pPr>
          </w:p>
        </w:tc>
        <w:tc>
          <w:tcPr>
            <w:tcW w:w="2976" w:type="dxa"/>
            <w:shd w:val="clear" w:color="auto" w:fill="auto"/>
            <w:noWrap/>
            <w:hideMark/>
          </w:tcPr>
          <w:p w:rsidR="008D40A7" w:rsidRPr="001368E0" w:rsidRDefault="008D40A7" w:rsidP="001368E0">
            <w:pPr>
              <w:spacing w:after="0" w:line="240" w:lineRule="auto"/>
              <w:jc w:val="right"/>
              <w:rPr>
                <w:rFonts w:eastAsia="Times New Roman" w:cs="Arial"/>
                <w:b/>
                <w:bCs/>
                <w:color w:val="000000"/>
                <w:sz w:val="20"/>
                <w:szCs w:val="20"/>
                <w:lang w:val="en-GB" w:eastAsia="en-GB"/>
              </w:rPr>
            </w:pPr>
            <w:r w:rsidRPr="001368E0">
              <w:rPr>
                <w:rFonts w:eastAsia="Times New Roman" w:cs="Arial"/>
                <w:b/>
                <w:bCs/>
                <w:color w:val="000000"/>
                <w:sz w:val="20"/>
                <w:szCs w:val="20"/>
                <w:lang w:val="en-GB" w:eastAsia="en-GB"/>
              </w:rPr>
              <w:t>4,903,860</w:t>
            </w:r>
          </w:p>
        </w:tc>
        <w:tc>
          <w:tcPr>
            <w:tcW w:w="3544" w:type="dxa"/>
            <w:shd w:val="clear" w:color="auto" w:fill="auto"/>
            <w:noWrap/>
            <w:hideMark/>
          </w:tcPr>
          <w:p w:rsidR="008D40A7" w:rsidRPr="001368E0" w:rsidRDefault="008D40A7" w:rsidP="001368E0">
            <w:pPr>
              <w:spacing w:after="0" w:line="240" w:lineRule="auto"/>
              <w:jc w:val="right"/>
              <w:rPr>
                <w:rFonts w:eastAsia="Times New Roman" w:cs="Arial"/>
                <w:b/>
                <w:bCs/>
                <w:color w:val="000000"/>
                <w:sz w:val="20"/>
                <w:szCs w:val="20"/>
                <w:lang w:val="en-GB" w:eastAsia="en-GB"/>
              </w:rPr>
            </w:pPr>
            <w:r w:rsidRPr="001368E0">
              <w:rPr>
                <w:rFonts w:eastAsia="Times New Roman" w:cs="Arial"/>
                <w:b/>
                <w:bCs/>
                <w:color w:val="000000"/>
                <w:sz w:val="20"/>
                <w:szCs w:val="20"/>
                <w:lang w:val="en-GB" w:eastAsia="en-GB"/>
              </w:rPr>
              <w:t>100%</w:t>
            </w:r>
          </w:p>
        </w:tc>
      </w:tr>
      <w:tr w:rsidR="003F2580" w:rsidRPr="001368E0" w:rsidTr="001368E0">
        <w:trPr>
          <w:trHeight w:val="333"/>
        </w:trPr>
        <w:tc>
          <w:tcPr>
            <w:tcW w:w="851" w:type="dxa"/>
            <w:shd w:val="clear" w:color="auto" w:fill="auto"/>
            <w:noWrap/>
            <w:hideMark/>
          </w:tcPr>
          <w:p w:rsidR="008D40A7" w:rsidRPr="001368E0" w:rsidRDefault="008D40A7" w:rsidP="001368E0">
            <w:pPr>
              <w:spacing w:after="0" w:line="240" w:lineRule="auto"/>
              <w:jc w:val="center"/>
              <w:rPr>
                <w:rFonts w:eastAsia="Times New Roman" w:cs="Arial"/>
                <w:color w:val="000000"/>
                <w:sz w:val="20"/>
                <w:szCs w:val="20"/>
                <w:lang w:val="en-GB" w:eastAsia="en-GB"/>
              </w:rPr>
            </w:pPr>
            <w:r w:rsidRPr="001368E0">
              <w:rPr>
                <w:rFonts w:eastAsia="Times New Roman" w:cs="Arial"/>
                <w:color w:val="000000"/>
                <w:sz w:val="20"/>
                <w:szCs w:val="20"/>
                <w:lang w:val="en-GB" w:eastAsia="en-GB"/>
              </w:rPr>
              <w:t>1</w:t>
            </w:r>
          </w:p>
        </w:tc>
        <w:tc>
          <w:tcPr>
            <w:tcW w:w="3652" w:type="dxa"/>
            <w:shd w:val="clear" w:color="auto" w:fill="auto"/>
            <w:noWrap/>
            <w:hideMark/>
          </w:tcPr>
          <w:p w:rsidR="008D40A7" w:rsidRPr="001368E0" w:rsidRDefault="008D40A7" w:rsidP="001368E0">
            <w:pPr>
              <w:spacing w:after="0" w:line="240" w:lineRule="auto"/>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Staff costs</w:t>
            </w:r>
          </w:p>
        </w:tc>
        <w:tc>
          <w:tcPr>
            <w:tcW w:w="2976"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2,223,048</w:t>
            </w:r>
          </w:p>
        </w:tc>
        <w:tc>
          <w:tcPr>
            <w:tcW w:w="3544"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45.3%</w:t>
            </w:r>
          </w:p>
        </w:tc>
      </w:tr>
      <w:tr w:rsidR="00AD7165" w:rsidRPr="001368E0" w:rsidTr="001368E0">
        <w:trPr>
          <w:trHeight w:val="333"/>
        </w:trPr>
        <w:tc>
          <w:tcPr>
            <w:tcW w:w="851" w:type="dxa"/>
            <w:shd w:val="clear" w:color="auto" w:fill="auto"/>
            <w:noWrap/>
            <w:hideMark/>
          </w:tcPr>
          <w:p w:rsidR="008D40A7" w:rsidRPr="001368E0" w:rsidRDefault="008D40A7" w:rsidP="001368E0">
            <w:pPr>
              <w:spacing w:after="0" w:line="240" w:lineRule="auto"/>
              <w:jc w:val="center"/>
              <w:rPr>
                <w:rFonts w:eastAsia="Times New Roman" w:cs="Arial"/>
                <w:color w:val="000000"/>
                <w:sz w:val="20"/>
                <w:szCs w:val="20"/>
                <w:lang w:val="en-GB" w:eastAsia="en-GB"/>
              </w:rPr>
            </w:pPr>
            <w:r w:rsidRPr="001368E0">
              <w:rPr>
                <w:rFonts w:eastAsia="Times New Roman" w:cs="Arial"/>
                <w:color w:val="000000"/>
                <w:sz w:val="20"/>
                <w:szCs w:val="20"/>
                <w:lang w:val="en-GB" w:eastAsia="en-GB"/>
              </w:rPr>
              <w:t>2</w:t>
            </w:r>
          </w:p>
        </w:tc>
        <w:tc>
          <w:tcPr>
            <w:tcW w:w="3652" w:type="dxa"/>
            <w:shd w:val="clear" w:color="auto" w:fill="auto"/>
            <w:noWrap/>
            <w:hideMark/>
          </w:tcPr>
          <w:p w:rsidR="008D40A7" w:rsidRPr="001368E0" w:rsidRDefault="008D40A7" w:rsidP="001368E0">
            <w:pPr>
              <w:spacing w:after="0" w:line="240" w:lineRule="auto"/>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Travel costs</w:t>
            </w:r>
          </w:p>
        </w:tc>
        <w:tc>
          <w:tcPr>
            <w:tcW w:w="2976"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860,502</w:t>
            </w:r>
          </w:p>
        </w:tc>
        <w:tc>
          <w:tcPr>
            <w:tcW w:w="3544"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17.5%</w:t>
            </w:r>
          </w:p>
        </w:tc>
      </w:tr>
      <w:tr w:rsidR="003F2580" w:rsidRPr="001368E0" w:rsidTr="001368E0">
        <w:trPr>
          <w:trHeight w:val="333"/>
        </w:trPr>
        <w:tc>
          <w:tcPr>
            <w:tcW w:w="851" w:type="dxa"/>
            <w:shd w:val="clear" w:color="auto" w:fill="auto"/>
            <w:noWrap/>
            <w:hideMark/>
          </w:tcPr>
          <w:p w:rsidR="008D40A7" w:rsidRPr="001368E0" w:rsidRDefault="008D40A7" w:rsidP="001368E0">
            <w:pPr>
              <w:spacing w:after="0" w:line="240" w:lineRule="auto"/>
              <w:jc w:val="center"/>
              <w:rPr>
                <w:rFonts w:eastAsia="Times New Roman" w:cs="Arial"/>
                <w:color w:val="000000"/>
                <w:sz w:val="20"/>
                <w:szCs w:val="20"/>
                <w:lang w:val="en-GB" w:eastAsia="en-GB"/>
              </w:rPr>
            </w:pPr>
            <w:r w:rsidRPr="001368E0">
              <w:rPr>
                <w:rFonts w:eastAsia="Times New Roman" w:cs="Arial"/>
                <w:color w:val="000000"/>
                <w:sz w:val="20"/>
                <w:szCs w:val="20"/>
                <w:lang w:val="en-GB" w:eastAsia="en-GB"/>
              </w:rPr>
              <w:t>3</w:t>
            </w:r>
          </w:p>
        </w:tc>
        <w:tc>
          <w:tcPr>
            <w:tcW w:w="3652" w:type="dxa"/>
            <w:shd w:val="clear" w:color="auto" w:fill="auto"/>
            <w:noWrap/>
            <w:hideMark/>
          </w:tcPr>
          <w:p w:rsidR="008D40A7" w:rsidRPr="001368E0" w:rsidRDefault="008D40A7" w:rsidP="001368E0">
            <w:pPr>
              <w:spacing w:after="0" w:line="240" w:lineRule="auto"/>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Equipment &amp; supplies</w:t>
            </w:r>
          </w:p>
        </w:tc>
        <w:tc>
          <w:tcPr>
            <w:tcW w:w="2976"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166,850</w:t>
            </w:r>
          </w:p>
        </w:tc>
        <w:tc>
          <w:tcPr>
            <w:tcW w:w="3544"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3.4%</w:t>
            </w:r>
          </w:p>
        </w:tc>
      </w:tr>
      <w:tr w:rsidR="00AD7165" w:rsidRPr="001368E0" w:rsidTr="001368E0">
        <w:trPr>
          <w:trHeight w:val="333"/>
        </w:trPr>
        <w:tc>
          <w:tcPr>
            <w:tcW w:w="851" w:type="dxa"/>
            <w:shd w:val="clear" w:color="auto" w:fill="auto"/>
            <w:noWrap/>
            <w:hideMark/>
          </w:tcPr>
          <w:p w:rsidR="008D40A7" w:rsidRPr="001368E0" w:rsidRDefault="008D40A7" w:rsidP="001368E0">
            <w:pPr>
              <w:spacing w:after="0" w:line="240" w:lineRule="auto"/>
              <w:jc w:val="center"/>
              <w:rPr>
                <w:rFonts w:eastAsia="Times New Roman" w:cs="Arial"/>
                <w:color w:val="000000"/>
                <w:sz w:val="20"/>
                <w:szCs w:val="20"/>
                <w:lang w:val="en-GB" w:eastAsia="en-GB"/>
              </w:rPr>
            </w:pPr>
            <w:r w:rsidRPr="001368E0">
              <w:rPr>
                <w:rFonts w:eastAsia="Times New Roman" w:cs="Arial"/>
                <w:color w:val="000000"/>
                <w:sz w:val="20"/>
                <w:szCs w:val="20"/>
                <w:lang w:val="en-GB" w:eastAsia="en-GB"/>
              </w:rPr>
              <w:t>4</w:t>
            </w:r>
          </w:p>
        </w:tc>
        <w:tc>
          <w:tcPr>
            <w:tcW w:w="3652" w:type="dxa"/>
            <w:shd w:val="clear" w:color="auto" w:fill="auto"/>
            <w:noWrap/>
            <w:hideMark/>
          </w:tcPr>
          <w:p w:rsidR="008D40A7" w:rsidRPr="001368E0" w:rsidRDefault="008D40A7" w:rsidP="001368E0">
            <w:pPr>
              <w:spacing w:after="0" w:line="240" w:lineRule="auto"/>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Administrative costs</w:t>
            </w:r>
          </w:p>
        </w:tc>
        <w:tc>
          <w:tcPr>
            <w:tcW w:w="2976"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296,500</w:t>
            </w:r>
          </w:p>
        </w:tc>
        <w:tc>
          <w:tcPr>
            <w:tcW w:w="3544"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6.0%</w:t>
            </w:r>
          </w:p>
        </w:tc>
      </w:tr>
      <w:tr w:rsidR="003F2580" w:rsidRPr="001368E0" w:rsidTr="001368E0">
        <w:trPr>
          <w:trHeight w:val="313"/>
        </w:trPr>
        <w:tc>
          <w:tcPr>
            <w:tcW w:w="851" w:type="dxa"/>
            <w:shd w:val="clear" w:color="auto" w:fill="auto"/>
            <w:noWrap/>
            <w:hideMark/>
          </w:tcPr>
          <w:p w:rsidR="008D40A7" w:rsidRPr="001368E0" w:rsidRDefault="008D40A7" w:rsidP="001368E0">
            <w:pPr>
              <w:spacing w:after="0" w:line="240" w:lineRule="auto"/>
              <w:jc w:val="center"/>
              <w:rPr>
                <w:rFonts w:eastAsia="Times New Roman" w:cs="Arial"/>
                <w:color w:val="000000"/>
                <w:sz w:val="20"/>
                <w:szCs w:val="20"/>
                <w:lang w:val="en-GB" w:eastAsia="en-GB"/>
              </w:rPr>
            </w:pPr>
            <w:r w:rsidRPr="001368E0">
              <w:rPr>
                <w:rFonts w:eastAsia="Times New Roman" w:cs="Arial"/>
                <w:color w:val="000000"/>
                <w:sz w:val="20"/>
                <w:szCs w:val="20"/>
                <w:lang w:val="en-GB" w:eastAsia="en-GB"/>
              </w:rPr>
              <w:t>5</w:t>
            </w:r>
          </w:p>
        </w:tc>
        <w:tc>
          <w:tcPr>
            <w:tcW w:w="3652" w:type="dxa"/>
            <w:shd w:val="clear" w:color="auto" w:fill="auto"/>
            <w:noWrap/>
            <w:hideMark/>
          </w:tcPr>
          <w:p w:rsidR="008D40A7" w:rsidRPr="001368E0" w:rsidRDefault="008D40A7" w:rsidP="001368E0">
            <w:pPr>
              <w:spacing w:after="0" w:line="240" w:lineRule="auto"/>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Subcontracted services</w:t>
            </w:r>
          </w:p>
        </w:tc>
        <w:tc>
          <w:tcPr>
            <w:tcW w:w="2976"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1,330,350</w:t>
            </w:r>
          </w:p>
        </w:tc>
        <w:tc>
          <w:tcPr>
            <w:tcW w:w="3544"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27.1%</w:t>
            </w:r>
          </w:p>
        </w:tc>
      </w:tr>
      <w:tr w:rsidR="00AD7165" w:rsidRPr="001368E0" w:rsidTr="001368E0">
        <w:trPr>
          <w:trHeight w:val="333"/>
        </w:trPr>
        <w:tc>
          <w:tcPr>
            <w:tcW w:w="851" w:type="dxa"/>
            <w:shd w:val="clear" w:color="auto" w:fill="auto"/>
            <w:noWrap/>
            <w:hideMark/>
          </w:tcPr>
          <w:p w:rsidR="008D40A7" w:rsidRPr="001368E0" w:rsidRDefault="008D40A7" w:rsidP="001368E0">
            <w:pPr>
              <w:spacing w:after="0" w:line="240" w:lineRule="auto"/>
              <w:jc w:val="center"/>
              <w:rPr>
                <w:rFonts w:eastAsia="Times New Roman" w:cs="Arial"/>
                <w:color w:val="000000"/>
                <w:sz w:val="20"/>
                <w:szCs w:val="20"/>
                <w:lang w:val="en-GB" w:eastAsia="en-GB"/>
              </w:rPr>
            </w:pPr>
            <w:r w:rsidRPr="001368E0">
              <w:rPr>
                <w:rFonts w:eastAsia="Times New Roman" w:cs="Arial"/>
                <w:color w:val="000000"/>
                <w:sz w:val="20"/>
                <w:szCs w:val="20"/>
                <w:lang w:val="en-GB" w:eastAsia="en-GB"/>
              </w:rPr>
              <w:t>6</w:t>
            </w:r>
          </w:p>
        </w:tc>
        <w:tc>
          <w:tcPr>
            <w:tcW w:w="3652" w:type="dxa"/>
            <w:shd w:val="clear" w:color="auto" w:fill="auto"/>
            <w:noWrap/>
            <w:hideMark/>
          </w:tcPr>
          <w:p w:rsidR="008D40A7" w:rsidRPr="001368E0" w:rsidRDefault="008D40A7" w:rsidP="001368E0">
            <w:pPr>
              <w:spacing w:after="0" w:line="240" w:lineRule="auto"/>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Other costs (bank fees,etc.)</w:t>
            </w:r>
          </w:p>
        </w:tc>
        <w:tc>
          <w:tcPr>
            <w:tcW w:w="2976"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17,443</w:t>
            </w:r>
          </w:p>
        </w:tc>
        <w:tc>
          <w:tcPr>
            <w:tcW w:w="3544"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0.4%</w:t>
            </w:r>
          </w:p>
        </w:tc>
      </w:tr>
      <w:tr w:rsidR="003F2580" w:rsidRPr="001368E0" w:rsidTr="001368E0">
        <w:trPr>
          <w:trHeight w:val="333"/>
        </w:trPr>
        <w:tc>
          <w:tcPr>
            <w:tcW w:w="851" w:type="dxa"/>
            <w:shd w:val="clear" w:color="auto" w:fill="auto"/>
            <w:noWrap/>
            <w:hideMark/>
          </w:tcPr>
          <w:p w:rsidR="008D40A7" w:rsidRPr="001368E0" w:rsidRDefault="008D40A7" w:rsidP="001368E0">
            <w:pPr>
              <w:spacing w:after="0" w:line="240" w:lineRule="auto"/>
              <w:jc w:val="center"/>
              <w:rPr>
                <w:rFonts w:eastAsia="Times New Roman" w:cs="Arial"/>
                <w:color w:val="000000"/>
                <w:sz w:val="20"/>
                <w:szCs w:val="20"/>
                <w:lang w:val="en-GB" w:eastAsia="en-GB"/>
              </w:rPr>
            </w:pPr>
            <w:r w:rsidRPr="001368E0">
              <w:rPr>
                <w:rFonts w:eastAsia="Times New Roman" w:cs="Arial"/>
                <w:color w:val="000000"/>
                <w:sz w:val="20"/>
                <w:szCs w:val="20"/>
                <w:lang w:val="en-GB" w:eastAsia="en-GB"/>
              </w:rPr>
              <w:t>7</w:t>
            </w:r>
          </w:p>
        </w:tc>
        <w:tc>
          <w:tcPr>
            <w:tcW w:w="3652" w:type="dxa"/>
            <w:shd w:val="clear" w:color="auto" w:fill="auto"/>
            <w:noWrap/>
            <w:hideMark/>
          </w:tcPr>
          <w:p w:rsidR="008D40A7" w:rsidRPr="001368E0" w:rsidRDefault="008D40A7" w:rsidP="001368E0">
            <w:pPr>
              <w:spacing w:after="0" w:line="240" w:lineRule="auto"/>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Contingent Expenses</w:t>
            </w:r>
          </w:p>
        </w:tc>
        <w:tc>
          <w:tcPr>
            <w:tcW w:w="2976"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9,168</w:t>
            </w:r>
          </w:p>
        </w:tc>
        <w:tc>
          <w:tcPr>
            <w:tcW w:w="3544" w:type="dxa"/>
            <w:shd w:val="clear" w:color="auto" w:fill="auto"/>
            <w:noWrap/>
            <w:hideMark/>
          </w:tcPr>
          <w:p w:rsidR="008D40A7" w:rsidRPr="001368E0" w:rsidRDefault="008D40A7" w:rsidP="001368E0">
            <w:pPr>
              <w:spacing w:after="0" w:line="240" w:lineRule="auto"/>
              <w:jc w:val="right"/>
              <w:rPr>
                <w:rFonts w:eastAsia="Times New Roman" w:cs="Arial"/>
                <w:bCs/>
                <w:color w:val="000000"/>
                <w:sz w:val="20"/>
                <w:szCs w:val="20"/>
                <w:lang w:val="en-GB" w:eastAsia="en-GB"/>
              </w:rPr>
            </w:pPr>
            <w:r w:rsidRPr="001368E0">
              <w:rPr>
                <w:rFonts w:eastAsia="Times New Roman" w:cs="Arial"/>
                <w:bCs/>
                <w:color w:val="000000"/>
                <w:sz w:val="20"/>
                <w:szCs w:val="20"/>
                <w:lang w:val="en-GB" w:eastAsia="en-GB"/>
              </w:rPr>
              <w:t>0.2%</w:t>
            </w:r>
          </w:p>
        </w:tc>
      </w:tr>
      <w:tr w:rsidR="00306F14" w:rsidRPr="001368E0" w:rsidTr="001368E0">
        <w:trPr>
          <w:trHeight w:val="227"/>
        </w:trPr>
        <w:tc>
          <w:tcPr>
            <w:tcW w:w="851" w:type="dxa"/>
            <w:shd w:val="clear" w:color="auto" w:fill="auto"/>
            <w:noWrap/>
            <w:hideMark/>
          </w:tcPr>
          <w:p w:rsidR="003F2580" w:rsidRPr="001368E0" w:rsidRDefault="003F2580" w:rsidP="001368E0">
            <w:pPr>
              <w:spacing w:after="0" w:line="240" w:lineRule="auto"/>
              <w:rPr>
                <w:rFonts w:eastAsia="Times New Roman" w:cs="Arial"/>
                <w:b/>
                <w:bCs/>
                <w:color w:val="000000"/>
                <w:sz w:val="22"/>
                <w:szCs w:val="22"/>
                <w:lang w:val="en-GB" w:eastAsia="en-GB"/>
              </w:rPr>
            </w:pPr>
          </w:p>
        </w:tc>
        <w:tc>
          <w:tcPr>
            <w:tcW w:w="3652" w:type="dxa"/>
            <w:shd w:val="clear" w:color="auto" w:fill="auto"/>
            <w:noWrap/>
            <w:hideMark/>
          </w:tcPr>
          <w:p w:rsidR="003F2580" w:rsidRPr="001368E0" w:rsidRDefault="003F2580" w:rsidP="001368E0">
            <w:pPr>
              <w:spacing w:after="0" w:line="240" w:lineRule="auto"/>
              <w:rPr>
                <w:rFonts w:eastAsia="Times New Roman" w:cs="Arial"/>
                <w:color w:val="000000"/>
                <w:sz w:val="22"/>
                <w:szCs w:val="22"/>
                <w:lang w:val="en-GB" w:eastAsia="en-GB"/>
              </w:rPr>
            </w:pPr>
          </w:p>
        </w:tc>
        <w:tc>
          <w:tcPr>
            <w:tcW w:w="2976" w:type="dxa"/>
            <w:shd w:val="clear" w:color="auto" w:fill="auto"/>
            <w:noWrap/>
            <w:hideMark/>
          </w:tcPr>
          <w:p w:rsidR="003F2580" w:rsidRPr="001368E0" w:rsidRDefault="003F2580" w:rsidP="001368E0">
            <w:pPr>
              <w:spacing w:after="0" w:line="240" w:lineRule="auto"/>
              <w:jc w:val="right"/>
              <w:rPr>
                <w:rFonts w:eastAsia="Times New Roman" w:cs="Arial"/>
                <w:color w:val="000000"/>
                <w:sz w:val="22"/>
                <w:szCs w:val="22"/>
                <w:lang w:val="en-GB" w:eastAsia="en-GB"/>
              </w:rPr>
            </w:pPr>
          </w:p>
        </w:tc>
        <w:tc>
          <w:tcPr>
            <w:tcW w:w="3544" w:type="dxa"/>
            <w:shd w:val="clear" w:color="auto" w:fill="auto"/>
            <w:noWrap/>
            <w:hideMark/>
          </w:tcPr>
          <w:p w:rsidR="003F2580" w:rsidRPr="001368E0" w:rsidRDefault="003F2580" w:rsidP="001368E0">
            <w:pPr>
              <w:spacing w:after="0" w:line="240" w:lineRule="auto"/>
              <w:jc w:val="right"/>
              <w:rPr>
                <w:rFonts w:eastAsia="Times New Roman" w:cs="Arial"/>
                <w:color w:val="000000"/>
                <w:sz w:val="22"/>
                <w:szCs w:val="22"/>
                <w:lang w:val="en-GB" w:eastAsia="en-GB"/>
              </w:rPr>
            </w:pPr>
          </w:p>
        </w:tc>
      </w:tr>
      <w:tr w:rsidR="003F2580" w:rsidRPr="001368E0" w:rsidTr="001368E0">
        <w:trPr>
          <w:trHeight w:val="197"/>
        </w:trPr>
        <w:tc>
          <w:tcPr>
            <w:tcW w:w="11023" w:type="dxa"/>
            <w:gridSpan w:val="4"/>
            <w:shd w:val="clear" w:color="auto" w:fill="auto"/>
            <w:hideMark/>
          </w:tcPr>
          <w:p w:rsidR="003F2580" w:rsidRPr="001368E0" w:rsidRDefault="003F2580" w:rsidP="001368E0">
            <w:pPr>
              <w:spacing w:after="0" w:line="240" w:lineRule="auto"/>
              <w:jc w:val="right"/>
              <w:rPr>
                <w:rFonts w:eastAsia="Times New Roman" w:cs="Arial"/>
                <w:b/>
                <w:bCs/>
                <w:i/>
                <w:iCs/>
                <w:color w:val="333333"/>
                <w:sz w:val="16"/>
                <w:szCs w:val="16"/>
                <w:lang w:val="en-GB" w:eastAsia="en-GB"/>
              </w:rPr>
            </w:pPr>
            <w:r w:rsidRPr="001368E0">
              <w:rPr>
                <w:rFonts w:eastAsia="Times New Roman" w:cs="Arial"/>
                <w:b/>
                <w:bCs/>
                <w:i/>
                <w:iCs/>
                <w:color w:val="333333"/>
                <w:sz w:val="16"/>
                <w:szCs w:val="16"/>
                <w:lang w:val="en-GB" w:eastAsia="en-GB"/>
              </w:rPr>
              <w:t>All the prices include VAT. The VAT represents 24% from all the prices</w:t>
            </w:r>
          </w:p>
        </w:tc>
      </w:tr>
      <w:tr w:rsidR="003F2580" w:rsidRPr="001368E0" w:rsidTr="001368E0">
        <w:trPr>
          <w:trHeight w:val="333"/>
        </w:trPr>
        <w:tc>
          <w:tcPr>
            <w:tcW w:w="11023" w:type="dxa"/>
            <w:gridSpan w:val="4"/>
            <w:shd w:val="clear" w:color="auto" w:fill="auto"/>
            <w:hideMark/>
          </w:tcPr>
          <w:p w:rsidR="003F2580" w:rsidRPr="001368E0" w:rsidRDefault="003F2580" w:rsidP="001368E0">
            <w:pPr>
              <w:spacing w:after="0" w:line="240" w:lineRule="auto"/>
              <w:jc w:val="right"/>
              <w:rPr>
                <w:rFonts w:eastAsia="Times New Roman" w:cs="Arial"/>
                <w:b/>
                <w:bCs/>
                <w:i/>
                <w:iCs/>
                <w:color w:val="333333"/>
                <w:sz w:val="16"/>
                <w:szCs w:val="16"/>
                <w:lang w:val="en-GB" w:eastAsia="en-GB"/>
              </w:rPr>
            </w:pPr>
            <w:r w:rsidRPr="001368E0">
              <w:rPr>
                <w:rFonts w:eastAsia="Times New Roman" w:cs="Arial"/>
                <w:b/>
                <w:bCs/>
                <w:i/>
                <w:iCs/>
                <w:color w:val="333333"/>
                <w:sz w:val="16"/>
                <w:szCs w:val="16"/>
                <w:lang w:val="en-GB" w:eastAsia="en-GB"/>
              </w:rPr>
              <w:t xml:space="preserve">The value of the daily allowance may vary according to the Romanian legislation </w:t>
            </w:r>
          </w:p>
        </w:tc>
      </w:tr>
    </w:tbl>
    <w:p w:rsidR="00A97243" w:rsidRPr="00682784" w:rsidRDefault="00A97243" w:rsidP="00A97243">
      <w:pPr>
        <w:rPr>
          <w:lang w:val="en-GB"/>
        </w:rPr>
        <w:sectPr w:rsidR="00A97243" w:rsidRPr="00682784" w:rsidSect="006B6C64">
          <w:headerReference w:type="default" r:id="rId78"/>
          <w:footerReference w:type="default" r:id="rId79"/>
          <w:headerReference w:type="first" r:id="rId80"/>
          <w:footerReference w:type="first" r:id="rId81"/>
          <w:footnotePr>
            <w:numFmt w:val="lowerRoman"/>
          </w:footnotePr>
          <w:endnotePr>
            <w:numFmt w:val="decimal"/>
          </w:endnotePr>
          <w:pgSz w:w="12240" w:h="15840" w:code="1"/>
          <w:pgMar w:top="794" w:right="601" w:bottom="794" w:left="760" w:header="794" w:footer="567" w:gutter="0"/>
          <w:cols w:space="720"/>
          <w:titlePg/>
          <w:docGrid w:linePitch="360"/>
        </w:sectPr>
      </w:pPr>
    </w:p>
    <w:p w:rsidR="00BF280F" w:rsidRPr="00197A31" w:rsidRDefault="00EE745F" w:rsidP="00AD7AC2">
      <w:pPr>
        <w:pStyle w:val="Heading3"/>
        <w:spacing w:before="240" w:line="264" w:lineRule="auto"/>
        <w:rPr>
          <w:b/>
          <w:sz w:val="28"/>
          <w:szCs w:val="28"/>
          <w:lang w:val="en-GB"/>
        </w:rPr>
      </w:pPr>
      <w:bookmarkStart w:id="121" w:name="_Toc288133471"/>
      <w:r w:rsidRPr="00197A31">
        <w:rPr>
          <w:b/>
          <w:sz w:val="28"/>
          <w:szCs w:val="28"/>
          <w:lang w:val="en-GB"/>
        </w:rPr>
        <w:t>Monitoring and Evaluati</w:t>
      </w:r>
      <w:bookmarkEnd w:id="118"/>
      <w:r w:rsidR="00F27957" w:rsidRPr="00197A31">
        <w:rPr>
          <w:b/>
          <w:sz w:val="28"/>
          <w:szCs w:val="28"/>
          <w:lang w:val="en-GB"/>
        </w:rPr>
        <w:t>on</w:t>
      </w:r>
      <w:bookmarkEnd w:id="121"/>
    </w:p>
    <w:p w:rsidR="000B2D46" w:rsidRPr="000B2D46" w:rsidRDefault="000B2D46" w:rsidP="000B2D46">
      <w:pPr>
        <w:spacing w:before="240" w:after="120"/>
        <w:rPr>
          <w:b/>
          <w:lang w:val="en-GB"/>
        </w:rPr>
      </w:pPr>
      <w:bookmarkStart w:id="122" w:name="_Toc402864392"/>
      <w:r w:rsidRPr="000B2D46">
        <w:rPr>
          <w:b/>
          <w:lang w:val="en-GB"/>
        </w:rPr>
        <w:t xml:space="preserve">Description of the Monitoring and Evaluation System </w:t>
      </w:r>
    </w:p>
    <w:p w:rsidR="000B2D46" w:rsidRPr="000B2D46" w:rsidRDefault="000B2D46" w:rsidP="000B2D46">
      <w:pPr>
        <w:spacing w:before="120" w:after="0" w:line="252" w:lineRule="auto"/>
        <w:jc w:val="both"/>
        <w:rPr>
          <w:sz w:val="22"/>
          <w:szCs w:val="22"/>
          <w:lang w:val="en-GB"/>
        </w:rPr>
      </w:pPr>
      <w:r w:rsidRPr="000B2D46">
        <w:rPr>
          <w:sz w:val="22"/>
          <w:szCs w:val="22"/>
          <w:lang w:val="en-GB"/>
        </w:rPr>
        <w:t xml:space="preserve">The monitoring and evaluation (M&amp;E) activities will play an important role in the programme implementation cycle. The objective is to put in place a proper risk management by project partners, programme bodies and the EC. In addition, the M&amp;E system will enable learning to take place during project and programme implementation as well as safeguarding accountability. In order to meet these objectives, the following activities will be carried out: monitoring at project level, monitoring at programme level and evaluation. </w:t>
      </w:r>
      <w:r w:rsidR="00483C9A">
        <w:rPr>
          <w:sz w:val="22"/>
          <w:szCs w:val="22"/>
          <w:lang w:val="en-GB"/>
        </w:rPr>
        <w:t>See full details in Annex 3.</w:t>
      </w:r>
    </w:p>
    <w:p w:rsidR="000B2D46" w:rsidRPr="000B2D46" w:rsidRDefault="000B2D46" w:rsidP="000B2D46">
      <w:pPr>
        <w:spacing w:before="120" w:after="0" w:line="252" w:lineRule="auto"/>
        <w:jc w:val="both"/>
        <w:rPr>
          <w:sz w:val="22"/>
          <w:szCs w:val="22"/>
          <w:lang w:val="en-GB"/>
        </w:rPr>
      </w:pPr>
      <w:r w:rsidRPr="00A633E0">
        <w:rPr>
          <w:b/>
          <w:sz w:val="22"/>
          <w:szCs w:val="22"/>
          <w:lang w:val="en-GB"/>
        </w:rPr>
        <w:t>Monitoring activities at project level</w:t>
      </w:r>
      <w:r w:rsidRPr="000B2D46">
        <w:rPr>
          <w:sz w:val="22"/>
          <w:szCs w:val="22"/>
          <w:lang w:val="en-GB"/>
        </w:rPr>
        <w:t xml:space="preserve"> shall be carried out both internally (by the project partners) and externally (by the programme bodies). The aim of the project-level monitoring activities shall be to track progress in project implementation, to take remedial action where necessary as soon as possible, as well as to update action plans. Day-to-day monitoring activities by the MA and JTS will consist o</w:t>
      </w:r>
      <w:r w:rsidR="00676615">
        <w:rPr>
          <w:sz w:val="22"/>
          <w:szCs w:val="22"/>
          <w:lang w:val="en-GB"/>
        </w:rPr>
        <w:t>f a review of progress reports,</w:t>
      </w:r>
      <w:r w:rsidRPr="000B2D46">
        <w:rPr>
          <w:sz w:val="22"/>
          <w:szCs w:val="22"/>
          <w:lang w:val="en-GB"/>
        </w:rPr>
        <w:t xml:space="preserve"> regular contact with the lead </w:t>
      </w:r>
      <w:r w:rsidR="00CD7596">
        <w:rPr>
          <w:sz w:val="22"/>
          <w:szCs w:val="22"/>
          <w:lang w:val="en-GB"/>
        </w:rPr>
        <w:t>beneficiaries</w:t>
      </w:r>
      <w:r w:rsidR="00CD7596" w:rsidRPr="000B2D46">
        <w:rPr>
          <w:sz w:val="22"/>
          <w:szCs w:val="22"/>
          <w:lang w:val="en-GB"/>
        </w:rPr>
        <w:t xml:space="preserve"> </w:t>
      </w:r>
      <w:r w:rsidRPr="000B2D46">
        <w:rPr>
          <w:sz w:val="22"/>
          <w:szCs w:val="22"/>
          <w:lang w:val="en-GB"/>
        </w:rPr>
        <w:t xml:space="preserve">by e-mail and telephone, and where possible attending key project events. Also, specific on-the-spot visits may be carried out to the lead </w:t>
      </w:r>
      <w:r w:rsidR="00CD7596">
        <w:rPr>
          <w:sz w:val="22"/>
          <w:szCs w:val="22"/>
          <w:lang w:val="en-GB"/>
        </w:rPr>
        <w:t>beneficiaries</w:t>
      </w:r>
      <w:r w:rsidR="00CD7596" w:rsidRPr="000B2D46">
        <w:rPr>
          <w:sz w:val="22"/>
          <w:szCs w:val="22"/>
          <w:lang w:val="en-GB"/>
        </w:rPr>
        <w:t xml:space="preserve"> </w:t>
      </w:r>
      <w:r w:rsidR="008521F6">
        <w:rPr>
          <w:sz w:val="22"/>
          <w:szCs w:val="22"/>
          <w:lang w:val="en-GB"/>
        </w:rPr>
        <w:t xml:space="preserve">or to </w:t>
      </w:r>
      <w:r w:rsidR="00853C93">
        <w:rPr>
          <w:sz w:val="22"/>
          <w:szCs w:val="22"/>
          <w:lang w:val="en-GB"/>
        </w:rPr>
        <w:t>beneficiaries’</w:t>
      </w:r>
      <w:r w:rsidR="008521F6">
        <w:rPr>
          <w:sz w:val="22"/>
          <w:szCs w:val="22"/>
          <w:lang w:val="en-GB"/>
        </w:rPr>
        <w:t xml:space="preserve"> </w:t>
      </w:r>
      <w:r w:rsidRPr="000B2D46">
        <w:rPr>
          <w:sz w:val="22"/>
          <w:szCs w:val="22"/>
          <w:lang w:val="en-GB"/>
        </w:rPr>
        <w:t>premises by MA or JTS staff.</w:t>
      </w:r>
      <w:r w:rsidR="00676615">
        <w:rPr>
          <w:sz w:val="22"/>
          <w:szCs w:val="22"/>
          <w:lang w:val="en-GB"/>
        </w:rPr>
        <w:t xml:space="preserve"> </w:t>
      </w:r>
      <w:r w:rsidR="009264B8">
        <w:rPr>
          <w:sz w:val="22"/>
          <w:szCs w:val="22"/>
          <w:lang w:val="en-GB"/>
        </w:rPr>
        <w:t>The MA or JTS staff will visit each project at least once</w:t>
      </w:r>
      <w:r w:rsidR="00676615">
        <w:rPr>
          <w:sz w:val="22"/>
          <w:szCs w:val="22"/>
          <w:lang w:val="en-GB"/>
        </w:rPr>
        <w:t xml:space="preserve"> during its implementation.</w:t>
      </w:r>
      <w:r w:rsidRPr="000B2D46">
        <w:rPr>
          <w:sz w:val="22"/>
          <w:szCs w:val="22"/>
          <w:lang w:val="en-GB"/>
        </w:rPr>
        <w:t xml:space="preserve"> </w:t>
      </w:r>
    </w:p>
    <w:p w:rsidR="000B2D46" w:rsidRPr="000B2D46" w:rsidRDefault="000B2D46" w:rsidP="000B2D46">
      <w:pPr>
        <w:spacing w:before="120" w:after="0" w:line="252" w:lineRule="auto"/>
        <w:jc w:val="both"/>
        <w:rPr>
          <w:sz w:val="22"/>
          <w:szCs w:val="22"/>
          <w:lang w:val="en-GB"/>
        </w:rPr>
      </w:pPr>
      <w:r w:rsidRPr="000B2D46">
        <w:rPr>
          <w:sz w:val="22"/>
          <w:szCs w:val="22"/>
          <w:lang w:val="en-GB"/>
        </w:rPr>
        <w:t xml:space="preserve">Project beneficiaries (lead partners) will be responsible for project-level monitoring. In case of substantial risks, the lead </w:t>
      </w:r>
      <w:r w:rsidR="00CD7596">
        <w:rPr>
          <w:sz w:val="22"/>
          <w:szCs w:val="22"/>
          <w:lang w:val="en-GB"/>
        </w:rPr>
        <w:t>beneficiary</w:t>
      </w:r>
      <w:r w:rsidR="00CD7596" w:rsidRPr="000B2D46">
        <w:rPr>
          <w:sz w:val="22"/>
          <w:szCs w:val="22"/>
          <w:lang w:val="en-GB"/>
        </w:rPr>
        <w:t xml:space="preserve"> </w:t>
      </w:r>
      <w:r w:rsidRPr="000B2D46">
        <w:rPr>
          <w:sz w:val="22"/>
          <w:szCs w:val="22"/>
          <w:lang w:val="en-GB"/>
        </w:rPr>
        <w:t>should inform the MA immediately. In all other cases, it will report to the MA every four months in the form of progress reports. In addition, it will be compulsory for project applications to include the measurement of at least one of the programme output indicators, alongside project-specific output indicators.</w:t>
      </w:r>
    </w:p>
    <w:p w:rsidR="000B2D46" w:rsidRPr="000B2D46" w:rsidRDefault="000B2D46" w:rsidP="000B2D46">
      <w:pPr>
        <w:spacing w:before="120" w:after="0" w:line="252" w:lineRule="auto"/>
        <w:jc w:val="both"/>
        <w:rPr>
          <w:sz w:val="22"/>
          <w:szCs w:val="22"/>
          <w:lang w:val="en-GB"/>
        </w:rPr>
      </w:pPr>
      <w:r w:rsidRPr="000B2D46">
        <w:rPr>
          <w:sz w:val="22"/>
          <w:szCs w:val="22"/>
          <w:lang w:val="en-GB"/>
        </w:rPr>
        <w:t xml:space="preserve">The programme will also carry out an internal Result-Oriented Monitoring (ROM) plan, in the framework of which it will review the performance of projects funded with a focus on the likelihood that results will be achieved and the need for remedial action. ROM reports will also make recommendations to lead </w:t>
      </w:r>
      <w:r w:rsidR="00D96626">
        <w:rPr>
          <w:sz w:val="22"/>
          <w:szCs w:val="22"/>
          <w:lang w:val="en-GB"/>
        </w:rPr>
        <w:t>beneficiaries</w:t>
      </w:r>
      <w:r w:rsidRPr="000B2D46">
        <w:rPr>
          <w:sz w:val="22"/>
          <w:szCs w:val="22"/>
          <w:lang w:val="en-GB"/>
        </w:rPr>
        <w:t xml:space="preserve"> and </w:t>
      </w:r>
      <w:r w:rsidR="00D96626">
        <w:rPr>
          <w:sz w:val="22"/>
          <w:szCs w:val="22"/>
          <w:lang w:val="en-GB"/>
        </w:rPr>
        <w:t>beneficiaries</w:t>
      </w:r>
      <w:r w:rsidRPr="000B2D46">
        <w:rPr>
          <w:sz w:val="22"/>
          <w:szCs w:val="22"/>
          <w:lang w:val="en-GB"/>
        </w:rPr>
        <w:t xml:space="preserve"> in order to improve project implementation. </w:t>
      </w:r>
    </w:p>
    <w:p w:rsidR="000B2D46" w:rsidRPr="000B2D46" w:rsidRDefault="006F5B9D" w:rsidP="000B2D46">
      <w:pPr>
        <w:spacing w:before="120" w:after="0" w:line="252" w:lineRule="auto"/>
        <w:jc w:val="both"/>
        <w:rPr>
          <w:sz w:val="22"/>
          <w:szCs w:val="22"/>
          <w:lang w:val="en-GB"/>
        </w:rPr>
      </w:pPr>
      <w:r>
        <w:rPr>
          <w:b/>
          <w:sz w:val="22"/>
          <w:szCs w:val="22"/>
          <w:lang w:val="en-GB"/>
        </w:rPr>
        <w:t xml:space="preserve">As regards monitoring </w:t>
      </w:r>
      <w:r w:rsidR="000B2D46" w:rsidRPr="006F5B9D">
        <w:rPr>
          <w:b/>
          <w:sz w:val="22"/>
          <w:szCs w:val="22"/>
          <w:lang w:val="en-GB"/>
        </w:rPr>
        <w:t>at programme level</w:t>
      </w:r>
      <w:r w:rsidRPr="00930A28">
        <w:rPr>
          <w:sz w:val="22"/>
          <w:szCs w:val="22"/>
          <w:lang w:val="en-GB"/>
        </w:rPr>
        <w:t>,</w:t>
      </w:r>
      <w:r w:rsidR="000B2D46" w:rsidRPr="000B2D46">
        <w:rPr>
          <w:sz w:val="22"/>
          <w:szCs w:val="22"/>
          <w:lang w:val="en-GB"/>
        </w:rPr>
        <w:t xml:space="preserve"> </w:t>
      </w:r>
      <w:r>
        <w:rPr>
          <w:sz w:val="22"/>
          <w:szCs w:val="22"/>
          <w:lang w:val="en-GB"/>
        </w:rPr>
        <w:t xml:space="preserve">day-to-day activities </w:t>
      </w:r>
      <w:r w:rsidR="000B2D46" w:rsidRPr="000B2D46">
        <w:rPr>
          <w:sz w:val="22"/>
          <w:szCs w:val="22"/>
          <w:lang w:val="en-GB"/>
        </w:rPr>
        <w:t>will focus primarily on progress in implementation of the programme in terms of financial and output indicators, as well as</w:t>
      </w:r>
      <w:r w:rsidR="00F21F2A">
        <w:rPr>
          <w:sz w:val="22"/>
          <w:szCs w:val="22"/>
          <w:lang w:val="en-GB"/>
        </w:rPr>
        <w:t xml:space="preserve"> </w:t>
      </w:r>
      <w:r w:rsidR="00051D4D">
        <w:rPr>
          <w:sz w:val="22"/>
          <w:szCs w:val="22"/>
          <w:lang w:val="en-GB"/>
        </w:rPr>
        <w:t>in terms of</w:t>
      </w:r>
      <w:r w:rsidR="000B2D46" w:rsidRPr="000B2D46">
        <w:rPr>
          <w:sz w:val="22"/>
          <w:szCs w:val="22"/>
          <w:lang w:val="en-GB"/>
        </w:rPr>
        <w:t xml:space="preserve"> risks and assumptions. The basis for data collection will be mainly project reports. Aggregation will be carried out in the framework of the Management and Information System (MIS), where data on progress in terms of launching calls, applications received, the assessment of their quality, contracts signed and project-level on-the-spot visits and audits is also available. </w:t>
      </w:r>
    </w:p>
    <w:p w:rsidR="000B2D46" w:rsidRPr="000B2D46" w:rsidRDefault="000B2D46" w:rsidP="000B2D46">
      <w:pPr>
        <w:spacing w:before="120" w:after="0" w:line="252" w:lineRule="auto"/>
        <w:jc w:val="both"/>
        <w:rPr>
          <w:sz w:val="22"/>
          <w:szCs w:val="22"/>
          <w:lang w:val="en-GB"/>
        </w:rPr>
      </w:pPr>
      <w:r w:rsidRPr="000B2D46">
        <w:rPr>
          <w:sz w:val="22"/>
          <w:szCs w:val="22"/>
          <w:lang w:val="en-GB"/>
        </w:rPr>
        <w:t>In addition, there will be a need for additional data collection in order to measure programme level result indicators. This will include surveys among reference groups, consisting of a sample of organisations from among the target groups for each priority in the programme strategy, possibly also including expert organisations in certain areas. These</w:t>
      </w:r>
      <w:r w:rsidR="00867BC8">
        <w:rPr>
          <w:sz w:val="22"/>
          <w:szCs w:val="22"/>
          <w:lang w:val="en-GB"/>
        </w:rPr>
        <w:t xml:space="preserve"> reference g</w:t>
      </w:r>
      <w:r w:rsidRPr="000B2D46">
        <w:rPr>
          <w:sz w:val="22"/>
          <w:szCs w:val="22"/>
          <w:lang w:val="en-GB"/>
        </w:rPr>
        <w:t>roups will be asked for their assessment of the situation in relation to the objective of the corresponding priority, the average of which will constitute the value of the result indicator</w:t>
      </w:r>
      <w:r w:rsidR="004D05B5">
        <w:rPr>
          <w:sz w:val="22"/>
          <w:szCs w:val="22"/>
          <w:lang w:val="en-GB"/>
        </w:rPr>
        <w:t xml:space="preserve"> (see full methodology for measuring the result indicators</w:t>
      </w:r>
      <w:r w:rsidR="00867BC8">
        <w:rPr>
          <w:sz w:val="22"/>
          <w:szCs w:val="22"/>
          <w:lang w:val="en-GB"/>
        </w:rPr>
        <w:t xml:space="preserve"> in </w:t>
      </w:r>
      <w:r w:rsidR="00A12B75">
        <w:rPr>
          <w:sz w:val="22"/>
          <w:szCs w:val="22"/>
          <w:lang w:val="en-GB"/>
        </w:rPr>
        <w:t>A</w:t>
      </w:r>
      <w:r w:rsidR="00867BC8">
        <w:rPr>
          <w:sz w:val="22"/>
          <w:szCs w:val="22"/>
          <w:lang w:val="en-GB"/>
        </w:rPr>
        <w:t>nnex</w:t>
      </w:r>
      <w:r w:rsidR="00EF14D9">
        <w:rPr>
          <w:sz w:val="22"/>
          <w:szCs w:val="22"/>
          <w:lang w:val="en-GB"/>
        </w:rPr>
        <w:t xml:space="preserve"> 3</w:t>
      </w:r>
      <w:r w:rsidR="00867BC8">
        <w:rPr>
          <w:sz w:val="22"/>
          <w:szCs w:val="22"/>
          <w:lang w:val="en-GB"/>
        </w:rPr>
        <w:t>)</w:t>
      </w:r>
      <w:r w:rsidRPr="000B2D46">
        <w:rPr>
          <w:sz w:val="22"/>
          <w:szCs w:val="22"/>
          <w:lang w:val="en-GB"/>
        </w:rPr>
        <w:t xml:space="preserve">. </w:t>
      </w:r>
    </w:p>
    <w:p w:rsidR="000B2D46" w:rsidRPr="000B2D46" w:rsidRDefault="000B2D46" w:rsidP="000B2D46">
      <w:pPr>
        <w:spacing w:before="120" w:after="0" w:line="252" w:lineRule="auto"/>
        <w:jc w:val="both"/>
        <w:rPr>
          <w:sz w:val="22"/>
          <w:szCs w:val="22"/>
          <w:lang w:val="en-GB"/>
        </w:rPr>
      </w:pPr>
      <w:r w:rsidRPr="000B2D46">
        <w:rPr>
          <w:sz w:val="22"/>
          <w:szCs w:val="22"/>
          <w:lang w:val="en-GB"/>
        </w:rPr>
        <w:t>The MA shall submit an annual report approved by the JMC to the EC by 15 February each year. That annual report shall include one technical and one financial part covering the preceding accounting year. The programme will also provide input to the KEEP database on, amongst others, common output indicators,</w:t>
      </w:r>
      <w:r w:rsidR="00184996">
        <w:rPr>
          <w:sz w:val="22"/>
          <w:szCs w:val="22"/>
          <w:lang w:val="en-GB"/>
        </w:rPr>
        <w:t xml:space="preserve"> </w:t>
      </w:r>
      <w:r w:rsidR="00761FC8">
        <w:rPr>
          <w:sz w:val="22"/>
          <w:szCs w:val="22"/>
          <w:lang w:val="en-GB"/>
        </w:rPr>
        <w:t>projects contracted</w:t>
      </w:r>
      <w:r w:rsidRPr="000B2D46">
        <w:rPr>
          <w:sz w:val="22"/>
          <w:szCs w:val="22"/>
          <w:lang w:val="en-GB"/>
        </w:rPr>
        <w:t xml:space="preserve">, status of beneficiaries and budget allocations per (type of) partner. </w:t>
      </w:r>
    </w:p>
    <w:p w:rsidR="000B2D46" w:rsidRPr="000B2D46" w:rsidRDefault="00CA0D81" w:rsidP="000B2D46">
      <w:pPr>
        <w:spacing w:before="120" w:after="0" w:line="252" w:lineRule="auto"/>
        <w:jc w:val="both"/>
        <w:rPr>
          <w:sz w:val="22"/>
          <w:szCs w:val="22"/>
          <w:lang w:val="en-GB"/>
        </w:rPr>
      </w:pPr>
      <w:r w:rsidRPr="00CA0D81">
        <w:rPr>
          <w:b/>
          <w:sz w:val="22"/>
          <w:szCs w:val="22"/>
          <w:lang w:val="en-GB"/>
        </w:rPr>
        <w:t>In terms of evaluation</w:t>
      </w:r>
      <w:r>
        <w:rPr>
          <w:sz w:val="22"/>
          <w:szCs w:val="22"/>
          <w:lang w:val="en-GB"/>
        </w:rPr>
        <w:t>, by the end of 2017</w:t>
      </w:r>
      <w:r w:rsidR="000B2D46" w:rsidRPr="000B2D46">
        <w:rPr>
          <w:sz w:val="22"/>
          <w:szCs w:val="22"/>
          <w:lang w:val="en-GB"/>
        </w:rPr>
        <w:t xml:space="preserve"> the EC will commission a mid-term evaluation at instrument-level, which will generate conclusions and </w:t>
      </w:r>
      <w:r w:rsidRPr="000B2D46">
        <w:rPr>
          <w:sz w:val="22"/>
          <w:szCs w:val="22"/>
          <w:lang w:val="en-GB"/>
        </w:rPr>
        <w:t>recommendations that</w:t>
      </w:r>
      <w:r w:rsidR="000B2D46" w:rsidRPr="000B2D46">
        <w:rPr>
          <w:sz w:val="22"/>
          <w:szCs w:val="22"/>
          <w:lang w:val="en-GB"/>
        </w:rPr>
        <w:t xml:space="preserve"> are relevant for the programme as well. The MA will inform the JMC about the mid-term evaluation findings to the extent they are relevant for the programme. In addition, the programme may commission a programme-specific evaluation (which is likely to take place in 2020), building on the EU-level</w:t>
      </w:r>
      <w:r w:rsidR="00D0192B">
        <w:rPr>
          <w:sz w:val="22"/>
          <w:szCs w:val="22"/>
          <w:lang w:val="en-GB"/>
        </w:rPr>
        <w:t xml:space="preserve"> mid-term evaluation and used</w:t>
      </w:r>
      <w:r w:rsidR="000B2D46" w:rsidRPr="000B2D46">
        <w:rPr>
          <w:sz w:val="22"/>
          <w:szCs w:val="22"/>
          <w:lang w:val="en-GB"/>
        </w:rPr>
        <w:t xml:space="preserve"> as a basis for future programming</w:t>
      </w:r>
      <w:r w:rsidR="006A4ACA">
        <w:rPr>
          <w:sz w:val="22"/>
          <w:szCs w:val="22"/>
          <w:lang w:val="en-GB"/>
        </w:rPr>
        <w:t xml:space="preserve">, or possibly </w:t>
      </w:r>
      <w:r w:rsidR="00D0192B">
        <w:rPr>
          <w:sz w:val="22"/>
          <w:szCs w:val="22"/>
          <w:lang w:val="en-GB"/>
        </w:rPr>
        <w:t xml:space="preserve">serving </w:t>
      </w:r>
      <w:r w:rsidR="00152CB1">
        <w:rPr>
          <w:sz w:val="22"/>
          <w:szCs w:val="22"/>
          <w:lang w:val="en-GB"/>
        </w:rPr>
        <w:t>as a basis for reallocation of funds and/or revision of indicators</w:t>
      </w:r>
      <w:r w:rsidR="003E4103">
        <w:rPr>
          <w:sz w:val="22"/>
          <w:szCs w:val="22"/>
          <w:lang w:val="en-GB"/>
        </w:rPr>
        <w:t xml:space="preserve"> target values</w:t>
      </w:r>
      <w:r w:rsidR="000B2D46" w:rsidRPr="000B2D46">
        <w:rPr>
          <w:sz w:val="22"/>
          <w:szCs w:val="22"/>
          <w:lang w:val="en-GB"/>
        </w:rPr>
        <w:t xml:space="preserve">. </w:t>
      </w:r>
    </w:p>
    <w:p w:rsidR="000B2D46" w:rsidRPr="000B2D46" w:rsidRDefault="000B2D46" w:rsidP="000B2D46">
      <w:pPr>
        <w:spacing w:before="240" w:after="120"/>
        <w:rPr>
          <w:b/>
          <w:lang w:val="en-GB"/>
        </w:rPr>
      </w:pPr>
      <w:r w:rsidRPr="000B2D46">
        <w:rPr>
          <w:b/>
          <w:lang w:val="en-GB"/>
        </w:rPr>
        <w:t>Indicative Monitoring and Evaluation Plan</w:t>
      </w:r>
    </w:p>
    <w:p w:rsidR="000B2D46" w:rsidRPr="000B2D46" w:rsidRDefault="000B2D46" w:rsidP="000B2D46">
      <w:pPr>
        <w:spacing w:before="120" w:after="0" w:line="252" w:lineRule="auto"/>
        <w:jc w:val="both"/>
        <w:rPr>
          <w:sz w:val="22"/>
          <w:szCs w:val="22"/>
          <w:lang w:val="en-GB"/>
        </w:rPr>
      </w:pPr>
      <w:r w:rsidRPr="000B2D46">
        <w:rPr>
          <w:sz w:val="22"/>
          <w:szCs w:val="22"/>
          <w:lang w:val="en-GB"/>
        </w:rPr>
        <w:t>The M&amp;E plan</w:t>
      </w:r>
      <w:r w:rsidR="008E4F0C">
        <w:rPr>
          <w:sz w:val="22"/>
          <w:szCs w:val="22"/>
          <w:lang w:val="en-GB"/>
        </w:rPr>
        <w:t xml:space="preserve"> (attached in A</w:t>
      </w:r>
      <w:r w:rsidR="00C20ACD">
        <w:rPr>
          <w:sz w:val="22"/>
          <w:szCs w:val="22"/>
          <w:lang w:val="en-GB"/>
        </w:rPr>
        <w:t>nnex 3)</w:t>
      </w:r>
      <w:r w:rsidRPr="000B2D46">
        <w:rPr>
          <w:sz w:val="22"/>
          <w:szCs w:val="22"/>
          <w:lang w:val="en-GB"/>
        </w:rPr>
        <w:t xml:space="preserve"> is used to systematically plan the collection of data to assess and demonstrate progress made in achieving expected results. It highlights mechanisms or modalities for monitoring the achievement of outputs and contribution towards achievement of expected results. The M&amp;E plan incorporates the programme indicators, baselines targets a</w:t>
      </w:r>
      <w:r w:rsidR="00304F33">
        <w:rPr>
          <w:sz w:val="22"/>
          <w:szCs w:val="22"/>
          <w:lang w:val="en-GB"/>
        </w:rPr>
        <w:t>nd their means of verification.</w:t>
      </w:r>
      <w:r w:rsidR="003E4103">
        <w:rPr>
          <w:sz w:val="22"/>
          <w:szCs w:val="22"/>
          <w:lang w:val="en-GB"/>
        </w:rPr>
        <w:t xml:space="preserve"> It</w:t>
      </w:r>
      <w:r w:rsidRPr="000B2D46">
        <w:rPr>
          <w:sz w:val="22"/>
          <w:szCs w:val="22"/>
          <w:lang w:val="en-GB"/>
        </w:rPr>
        <w:t xml:space="preserve"> contains detailed definitions for the programme indicators, rationale for their selection, sources of information and verification, baselines and targets, methods and tools to collect data, where necessary calculation formulas for result indicators, and milestones to measure and report on progress in terms of output indicators. The plan also presents the frequency of data collection. An indicative list of evaluations to be undertaken, together with their subject and rationale is also included.</w:t>
      </w:r>
      <w:r w:rsidR="00C20ACD">
        <w:rPr>
          <w:sz w:val="22"/>
          <w:szCs w:val="22"/>
          <w:lang w:val="en-GB"/>
        </w:rPr>
        <w:t xml:space="preserve"> </w:t>
      </w:r>
    </w:p>
    <w:p w:rsidR="008B456F" w:rsidRPr="00197A31" w:rsidRDefault="00EE745F" w:rsidP="00CA743D">
      <w:pPr>
        <w:pStyle w:val="Heading3"/>
        <w:spacing w:before="360" w:after="240" w:line="264" w:lineRule="auto"/>
        <w:rPr>
          <w:b/>
          <w:sz w:val="28"/>
          <w:szCs w:val="28"/>
          <w:lang w:val="en-GB"/>
        </w:rPr>
      </w:pPr>
      <w:bookmarkStart w:id="123" w:name="_Toc288133472"/>
      <w:r w:rsidRPr="00197A31">
        <w:rPr>
          <w:b/>
          <w:sz w:val="28"/>
          <w:szCs w:val="28"/>
          <w:lang w:val="en-GB"/>
        </w:rPr>
        <w:t>Communication</w:t>
      </w:r>
      <w:bookmarkStart w:id="124" w:name="_Toc402864393"/>
      <w:bookmarkEnd w:id="122"/>
      <w:bookmarkEnd w:id="123"/>
    </w:p>
    <w:p w:rsidR="008B456F" w:rsidRPr="00BA5A49" w:rsidRDefault="008B456F" w:rsidP="00733BE9">
      <w:pPr>
        <w:spacing w:after="0" w:line="252" w:lineRule="auto"/>
        <w:jc w:val="both"/>
        <w:rPr>
          <w:sz w:val="22"/>
          <w:szCs w:val="22"/>
          <w:lang w:val="en-GB"/>
        </w:rPr>
      </w:pPr>
      <w:r w:rsidRPr="00BA5A49">
        <w:rPr>
          <w:sz w:val="22"/>
          <w:szCs w:val="22"/>
          <w:lang w:val="en-GB"/>
        </w:rPr>
        <w:t>Communication is a key component in the successful implementation of the Black Sea Basin ENI CBC</w:t>
      </w:r>
      <w:r>
        <w:rPr>
          <w:sz w:val="22"/>
          <w:szCs w:val="22"/>
          <w:lang w:val="en-GB"/>
        </w:rPr>
        <w:t xml:space="preserve"> </w:t>
      </w:r>
      <w:r w:rsidRPr="00BA5A49">
        <w:rPr>
          <w:sz w:val="22"/>
          <w:szCs w:val="22"/>
          <w:lang w:val="en-GB"/>
        </w:rPr>
        <w:t>programme 2014-2020. It is important for ensuring those involved, including other interested parties and the wider public, are kept informed of the support being provided by the EU and the results and impacts of this support. It is important also for keeping both external and internal actors informed and for liaison with EU and other bodies supporting initiatives in the BSB area. It is also an important component in capitalisation of results.</w:t>
      </w:r>
    </w:p>
    <w:p w:rsidR="008644EB" w:rsidRDefault="008B456F" w:rsidP="008B456F">
      <w:pPr>
        <w:spacing w:before="120" w:after="0" w:line="252" w:lineRule="auto"/>
        <w:jc w:val="both"/>
        <w:rPr>
          <w:sz w:val="22"/>
          <w:szCs w:val="22"/>
          <w:lang w:val="en-GB"/>
        </w:rPr>
      </w:pPr>
      <w:r w:rsidRPr="00BA5A49">
        <w:rPr>
          <w:sz w:val="22"/>
          <w:szCs w:val="22"/>
          <w:lang w:val="en-GB"/>
        </w:rPr>
        <w:t xml:space="preserve">The ENI </w:t>
      </w:r>
      <w:r w:rsidR="00350C81">
        <w:rPr>
          <w:sz w:val="22"/>
          <w:szCs w:val="22"/>
          <w:lang w:val="en-GB"/>
        </w:rPr>
        <w:t>CBC Implementing Regulation</w:t>
      </w:r>
      <w:r w:rsidRPr="00BA5A49">
        <w:rPr>
          <w:sz w:val="22"/>
          <w:szCs w:val="22"/>
          <w:lang w:val="en-GB"/>
        </w:rPr>
        <w:t xml:space="preserve"> stipulate</w:t>
      </w:r>
      <w:r>
        <w:rPr>
          <w:sz w:val="22"/>
          <w:szCs w:val="22"/>
          <w:lang w:val="en-GB"/>
        </w:rPr>
        <w:t>s</w:t>
      </w:r>
      <w:r w:rsidRPr="00BA5A49">
        <w:rPr>
          <w:sz w:val="22"/>
          <w:szCs w:val="22"/>
          <w:lang w:val="en-GB"/>
        </w:rPr>
        <w:t xml:space="preserve"> that information on the communication strategy for the whole programme period, and an indicative information and communication plan for the first year should be included in the </w:t>
      </w:r>
      <w:r w:rsidR="00350C81">
        <w:rPr>
          <w:sz w:val="22"/>
          <w:szCs w:val="22"/>
          <w:lang w:val="en-GB"/>
        </w:rPr>
        <w:t>programme</w:t>
      </w:r>
      <w:r w:rsidRPr="00BA5A49">
        <w:rPr>
          <w:sz w:val="22"/>
          <w:szCs w:val="22"/>
          <w:lang w:val="en-GB"/>
        </w:rPr>
        <w:t xml:space="preserve">. </w:t>
      </w:r>
    </w:p>
    <w:p w:rsidR="008644EB" w:rsidRDefault="008644EB" w:rsidP="008644EB">
      <w:pPr>
        <w:spacing w:before="120" w:after="0" w:line="252" w:lineRule="auto"/>
        <w:jc w:val="both"/>
        <w:rPr>
          <w:sz w:val="22"/>
          <w:szCs w:val="22"/>
          <w:lang w:val="en-GB"/>
        </w:rPr>
      </w:pPr>
      <w:r>
        <w:rPr>
          <w:sz w:val="22"/>
          <w:szCs w:val="22"/>
          <w:lang w:val="en-GB"/>
        </w:rPr>
        <w:t>The strategy address</w:t>
      </w:r>
      <w:r w:rsidR="00615F91">
        <w:rPr>
          <w:sz w:val="22"/>
          <w:szCs w:val="22"/>
          <w:lang w:val="en-GB"/>
        </w:rPr>
        <w:t>es</w:t>
      </w:r>
      <w:r>
        <w:rPr>
          <w:sz w:val="22"/>
          <w:szCs w:val="22"/>
          <w:lang w:val="en-GB"/>
        </w:rPr>
        <w:t xml:space="preserve"> </w:t>
      </w:r>
      <w:r w:rsidRPr="00280AD9">
        <w:rPr>
          <w:sz w:val="22"/>
          <w:szCs w:val="22"/>
          <w:lang w:val="en-GB"/>
        </w:rPr>
        <w:t xml:space="preserve">information and communication needs </w:t>
      </w:r>
      <w:r>
        <w:rPr>
          <w:sz w:val="22"/>
          <w:szCs w:val="22"/>
          <w:lang w:val="en-GB"/>
        </w:rPr>
        <w:t xml:space="preserve">for internal </w:t>
      </w:r>
      <w:r w:rsidRPr="00280AD9">
        <w:rPr>
          <w:sz w:val="22"/>
          <w:szCs w:val="22"/>
          <w:lang w:val="en-GB"/>
        </w:rPr>
        <w:t xml:space="preserve">actors involved in programme implementation </w:t>
      </w:r>
      <w:r>
        <w:rPr>
          <w:sz w:val="22"/>
          <w:szCs w:val="22"/>
          <w:lang w:val="en-GB"/>
        </w:rPr>
        <w:t xml:space="preserve">as well as for external actors </w:t>
      </w:r>
      <w:r w:rsidRPr="00280AD9">
        <w:rPr>
          <w:sz w:val="22"/>
          <w:szCs w:val="22"/>
          <w:lang w:val="en-GB"/>
        </w:rPr>
        <w:t xml:space="preserve">benefiting from programme implementation. </w:t>
      </w:r>
    </w:p>
    <w:p w:rsidR="008644EB" w:rsidRPr="00280AD9" w:rsidRDefault="008644EB" w:rsidP="008644EB">
      <w:pPr>
        <w:spacing w:before="120" w:after="0" w:line="252" w:lineRule="auto"/>
        <w:jc w:val="both"/>
        <w:rPr>
          <w:sz w:val="22"/>
          <w:szCs w:val="22"/>
          <w:lang w:val="en-GB"/>
        </w:rPr>
      </w:pPr>
      <w:r w:rsidRPr="00280AD9">
        <w:rPr>
          <w:sz w:val="22"/>
          <w:szCs w:val="22"/>
          <w:lang w:val="en-GB"/>
        </w:rPr>
        <w:t>The overall objective of the BSB Communication Strategy is to facilitate the achievement of the programme objectives through effective communication to improve participation, assist successful implementation, ensure transparency and increase awareness of the programme, EU and national support.</w:t>
      </w:r>
    </w:p>
    <w:p w:rsidR="00D42573" w:rsidRDefault="008B456F" w:rsidP="008B456F">
      <w:pPr>
        <w:spacing w:before="120" w:after="0" w:line="252" w:lineRule="auto"/>
        <w:jc w:val="both"/>
        <w:rPr>
          <w:sz w:val="22"/>
          <w:szCs w:val="22"/>
          <w:lang w:val="en-GB"/>
        </w:rPr>
      </w:pPr>
      <w:r w:rsidRPr="00BA5A49">
        <w:rPr>
          <w:sz w:val="22"/>
          <w:szCs w:val="22"/>
          <w:lang w:val="en-GB"/>
        </w:rPr>
        <w:t>The guiding principles, the responsible bodies, the visibility rules for information and communication are specified in other components of the legal framework governing the development and implementation of the ENI CBC</w:t>
      </w:r>
      <w:r w:rsidR="000020E6">
        <w:rPr>
          <w:sz w:val="22"/>
          <w:szCs w:val="22"/>
          <w:lang w:val="en-GB"/>
        </w:rPr>
        <w:t>,</w:t>
      </w:r>
      <w:r w:rsidRPr="00BA5A49">
        <w:rPr>
          <w:sz w:val="22"/>
          <w:szCs w:val="22"/>
          <w:lang w:val="en-GB"/>
        </w:rPr>
        <w:t xml:space="preserve"> in particular that communication is targeted, adequate and non-discriminatory</w:t>
      </w:r>
      <w:r>
        <w:rPr>
          <w:sz w:val="22"/>
          <w:szCs w:val="22"/>
          <w:lang w:val="en-GB"/>
        </w:rPr>
        <w:t>.</w:t>
      </w:r>
      <w:r w:rsidRPr="00BA5A49">
        <w:rPr>
          <w:sz w:val="22"/>
          <w:szCs w:val="22"/>
          <w:lang w:val="en-GB"/>
        </w:rPr>
        <w:t xml:space="preserve"> These requirements and principles have been taken into acc</w:t>
      </w:r>
      <w:r>
        <w:rPr>
          <w:sz w:val="22"/>
          <w:szCs w:val="22"/>
          <w:lang w:val="en-GB"/>
        </w:rPr>
        <w:t xml:space="preserve">ount in the preparation of the communication </w:t>
      </w:r>
      <w:r w:rsidRPr="00BA5A49">
        <w:rPr>
          <w:sz w:val="22"/>
          <w:szCs w:val="22"/>
          <w:lang w:val="en-GB"/>
        </w:rPr>
        <w:t xml:space="preserve">strategy. </w:t>
      </w:r>
    </w:p>
    <w:p w:rsidR="00A902A5" w:rsidRPr="007B13E0" w:rsidRDefault="00F022F7" w:rsidP="006A62FE">
      <w:pPr>
        <w:spacing w:before="120" w:after="0" w:line="252" w:lineRule="auto"/>
        <w:jc w:val="both"/>
        <w:rPr>
          <w:sz w:val="22"/>
          <w:szCs w:val="22"/>
          <w:lang w:val="en-GB"/>
        </w:rPr>
      </w:pPr>
      <w:bookmarkStart w:id="125" w:name="_Toc412197517"/>
      <w:r>
        <w:rPr>
          <w:sz w:val="22"/>
          <w:szCs w:val="22"/>
          <w:lang w:val="en-GB"/>
        </w:rPr>
        <w:t xml:space="preserve">See annex 4 for the </w:t>
      </w:r>
      <w:r w:rsidR="008D702C">
        <w:rPr>
          <w:sz w:val="22"/>
          <w:szCs w:val="22"/>
          <w:lang w:val="en-GB"/>
        </w:rPr>
        <w:t>c</w:t>
      </w:r>
      <w:r w:rsidR="008D702C" w:rsidRPr="008D702C">
        <w:rPr>
          <w:sz w:val="22"/>
          <w:szCs w:val="22"/>
          <w:lang w:val="en-GB"/>
        </w:rPr>
        <w:t xml:space="preserve">ommunication </w:t>
      </w:r>
      <w:r w:rsidR="008D702C">
        <w:rPr>
          <w:sz w:val="22"/>
          <w:szCs w:val="22"/>
          <w:lang w:val="en-GB"/>
        </w:rPr>
        <w:t>s</w:t>
      </w:r>
      <w:r w:rsidR="008D702C" w:rsidRPr="006A62FE">
        <w:rPr>
          <w:sz w:val="22"/>
          <w:szCs w:val="22"/>
          <w:lang w:val="en-GB"/>
        </w:rPr>
        <w:t>trategy</w:t>
      </w:r>
      <w:r w:rsidR="008D702C" w:rsidRPr="006A62FE" w:rsidDel="008644EB">
        <w:rPr>
          <w:sz w:val="22"/>
          <w:szCs w:val="22"/>
          <w:lang w:val="en-GB"/>
        </w:rPr>
        <w:t xml:space="preserve"> </w:t>
      </w:r>
      <w:r w:rsidR="008D702C">
        <w:rPr>
          <w:sz w:val="22"/>
          <w:szCs w:val="22"/>
          <w:lang w:val="en-GB"/>
        </w:rPr>
        <w:t xml:space="preserve">and </w:t>
      </w:r>
      <w:bookmarkEnd w:id="125"/>
      <w:r>
        <w:rPr>
          <w:sz w:val="22"/>
          <w:szCs w:val="22"/>
          <w:lang w:val="en-GB"/>
        </w:rPr>
        <w:t xml:space="preserve">the </w:t>
      </w:r>
      <w:r w:rsidR="00A902A5" w:rsidRPr="006A62FE">
        <w:rPr>
          <w:sz w:val="22"/>
          <w:szCs w:val="22"/>
          <w:lang w:val="en-GB"/>
        </w:rPr>
        <w:t xml:space="preserve">Annual Information and Communication Plan </w:t>
      </w:r>
      <w:r>
        <w:rPr>
          <w:sz w:val="22"/>
          <w:szCs w:val="22"/>
          <w:lang w:val="en-GB"/>
        </w:rPr>
        <w:t xml:space="preserve">for </w:t>
      </w:r>
      <w:r w:rsidR="00A902A5" w:rsidRPr="006A62FE">
        <w:rPr>
          <w:sz w:val="22"/>
          <w:szCs w:val="22"/>
          <w:lang w:val="en-GB"/>
        </w:rPr>
        <w:t>2016</w:t>
      </w:r>
      <w:r>
        <w:rPr>
          <w:sz w:val="22"/>
          <w:szCs w:val="22"/>
          <w:lang w:val="en-GB"/>
        </w:rPr>
        <w:t>.</w:t>
      </w:r>
    </w:p>
    <w:p w:rsidR="00087D04" w:rsidRPr="00E017DD" w:rsidRDefault="00EE745F" w:rsidP="00087D04">
      <w:pPr>
        <w:pStyle w:val="Heading3"/>
        <w:spacing w:before="200" w:line="264" w:lineRule="auto"/>
        <w:rPr>
          <w:b/>
          <w:sz w:val="28"/>
          <w:szCs w:val="28"/>
          <w:lang w:val="en-GB"/>
        </w:rPr>
      </w:pPr>
      <w:bookmarkStart w:id="126" w:name="_Toc288133473"/>
      <w:r w:rsidRPr="00197A31">
        <w:rPr>
          <w:b/>
          <w:sz w:val="28"/>
          <w:szCs w:val="28"/>
          <w:lang w:val="en-GB"/>
        </w:rPr>
        <w:t>Strategic Environmental Assessment</w:t>
      </w:r>
      <w:bookmarkStart w:id="127" w:name="_Toc402864394"/>
      <w:bookmarkEnd w:id="124"/>
      <w:bookmarkEnd w:id="126"/>
    </w:p>
    <w:p w:rsidR="00E017DD" w:rsidRPr="00EA2776" w:rsidRDefault="00BB7F6F" w:rsidP="00E017DD">
      <w:pPr>
        <w:spacing w:before="120" w:after="0" w:line="252" w:lineRule="auto"/>
        <w:jc w:val="both"/>
        <w:rPr>
          <w:sz w:val="22"/>
          <w:szCs w:val="22"/>
          <w:lang w:val="en-GB"/>
        </w:rPr>
      </w:pPr>
      <w:r w:rsidRPr="00EA2776">
        <w:rPr>
          <w:sz w:val="22"/>
          <w:szCs w:val="22"/>
          <w:lang w:val="en-GB"/>
        </w:rPr>
        <w:t>According to ENI CBC implementing regulation</w:t>
      </w:r>
      <w:r w:rsidRPr="00EA2776">
        <w:rPr>
          <w:rStyle w:val="FootnoteReference"/>
          <w:sz w:val="22"/>
          <w:szCs w:val="22"/>
          <w:lang w:val="en-GB"/>
        </w:rPr>
        <w:footnoteReference w:id="94"/>
      </w:r>
      <w:r w:rsidRPr="00EA2776">
        <w:rPr>
          <w:sz w:val="22"/>
          <w:szCs w:val="22"/>
          <w:lang w:val="en-GB"/>
        </w:rPr>
        <w:t>, BSB joint operational programme</w:t>
      </w:r>
      <w:r w:rsidR="00E017DD" w:rsidRPr="00EA2776">
        <w:rPr>
          <w:sz w:val="22"/>
          <w:szCs w:val="22"/>
          <w:lang w:val="en-GB"/>
        </w:rPr>
        <w:t xml:space="preserve"> should include “information on fulfilment of regulatory requirements laid down in Directive 2001/42/EC of the European Parliament and of the Council”, i.e. the directive on the assessment of the effects of plans and programmes on the environment, the so called Strategic Environmental Assessment (SEA) Directive.</w:t>
      </w:r>
    </w:p>
    <w:p w:rsidR="00E017DD" w:rsidRPr="00EA2776" w:rsidRDefault="00E017DD" w:rsidP="00E017DD">
      <w:pPr>
        <w:spacing w:before="120" w:after="0" w:line="252" w:lineRule="auto"/>
        <w:jc w:val="both"/>
        <w:rPr>
          <w:sz w:val="22"/>
          <w:szCs w:val="22"/>
          <w:lang w:val="en-GB"/>
        </w:rPr>
      </w:pPr>
      <w:r w:rsidRPr="00EA2776">
        <w:rPr>
          <w:sz w:val="22"/>
          <w:szCs w:val="22"/>
          <w:lang w:val="en-GB"/>
        </w:rPr>
        <w:t>The purp</w:t>
      </w:r>
      <w:r w:rsidR="00A221DC">
        <w:rPr>
          <w:sz w:val="22"/>
          <w:szCs w:val="22"/>
          <w:lang w:val="en-GB"/>
        </w:rPr>
        <w:t xml:space="preserve">ose of the SEA Directive is to </w:t>
      </w:r>
      <w:r w:rsidRPr="00EA2776">
        <w:rPr>
          <w:sz w:val="22"/>
          <w:szCs w:val="22"/>
          <w:lang w:val="en-GB"/>
        </w:rPr>
        <w:t xml:space="preserve">provide for a higher level of protection of the environment and to contribute to the integration of environmental considerations into the preparation and adoption of plans and programmes with a view to promoting </w:t>
      </w:r>
      <w:r w:rsidR="00A221DC">
        <w:rPr>
          <w:sz w:val="22"/>
          <w:szCs w:val="22"/>
          <w:lang w:val="en-GB"/>
        </w:rPr>
        <w:t>sustainable development</w:t>
      </w:r>
      <w:r w:rsidRPr="00EA2776">
        <w:rPr>
          <w:sz w:val="22"/>
          <w:szCs w:val="22"/>
          <w:lang w:val="en-GB"/>
        </w:rPr>
        <w:t>. Ac</w:t>
      </w:r>
      <w:r w:rsidR="00A221DC">
        <w:rPr>
          <w:sz w:val="22"/>
          <w:szCs w:val="22"/>
          <w:lang w:val="en-GB"/>
        </w:rPr>
        <w:t>cording to the directive</w:t>
      </w:r>
      <w:r w:rsidRPr="00EA2776">
        <w:rPr>
          <w:sz w:val="22"/>
          <w:szCs w:val="22"/>
          <w:lang w:val="en-GB"/>
        </w:rPr>
        <w:t xml:space="preserve">, a full environmental assessment should be carried out for a particular programme </w:t>
      </w:r>
      <w:r w:rsidR="00960A0D">
        <w:rPr>
          <w:sz w:val="22"/>
          <w:szCs w:val="22"/>
          <w:lang w:val="en-GB"/>
        </w:rPr>
        <w:t>as follows</w:t>
      </w:r>
      <w:r w:rsidRPr="00EA2776">
        <w:rPr>
          <w:sz w:val="22"/>
          <w:szCs w:val="22"/>
          <w:lang w:val="en-GB"/>
        </w:rPr>
        <w:t xml:space="preserve">: </w:t>
      </w:r>
    </w:p>
    <w:p w:rsidR="00E017DD" w:rsidRPr="00EA2776" w:rsidRDefault="00E017DD" w:rsidP="002E0D54">
      <w:pPr>
        <w:pStyle w:val="ListParagraph"/>
        <w:numPr>
          <w:ilvl w:val="0"/>
          <w:numId w:val="59"/>
        </w:numPr>
        <w:spacing w:before="120" w:after="0" w:line="252" w:lineRule="auto"/>
        <w:jc w:val="both"/>
        <w:rPr>
          <w:sz w:val="22"/>
          <w:szCs w:val="22"/>
          <w:lang w:val="en-GB"/>
        </w:rPr>
      </w:pPr>
      <w:r w:rsidRPr="00EA2776">
        <w:rPr>
          <w:sz w:val="22"/>
          <w:szCs w:val="22"/>
          <w:lang w:val="en-GB"/>
        </w:rPr>
        <w:t xml:space="preserve">It is required automatically </w:t>
      </w:r>
      <w:r w:rsidR="00960A0D">
        <w:rPr>
          <w:sz w:val="22"/>
          <w:szCs w:val="22"/>
          <w:lang w:val="en-GB"/>
        </w:rPr>
        <w:t>when</w:t>
      </w:r>
      <w:r w:rsidR="00960A0D" w:rsidRPr="00EA2776">
        <w:rPr>
          <w:sz w:val="22"/>
          <w:szCs w:val="22"/>
          <w:lang w:val="en-GB"/>
        </w:rPr>
        <w:t xml:space="preserve"> </w:t>
      </w:r>
      <w:r w:rsidRPr="00EA2776">
        <w:rPr>
          <w:sz w:val="22"/>
          <w:szCs w:val="22"/>
          <w:lang w:val="en-GB"/>
        </w:rPr>
        <w:t>the relevant programme set</w:t>
      </w:r>
      <w:r w:rsidR="00A221DC">
        <w:rPr>
          <w:sz w:val="22"/>
          <w:szCs w:val="22"/>
          <w:lang w:val="en-GB"/>
        </w:rPr>
        <w:t>s</w:t>
      </w:r>
      <w:r w:rsidRPr="00EA2776">
        <w:rPr>
          <w:sz w:val="22"/>
          <w:szCs w:val="22"/>
          <w:lang w:val="en-GB"/>
        </w:rPr>
        <w:t xml:space="preserve"> the framework for consent for projects with work components listed in annex l or ll of the EIA Directive (87/337/EEC), or which in view of the likely effect on sites, have been determined to require an assessment pursuant to art. 6/7 of the Habitat Directive (92/43/EEC).</w:t>
      </w:r>
    </w:p>
    <w:p w:rsidR="00E017DD" w:rsidRPr="00EA2776" w:rsidRDefault="00E017DD" w:rsidP="00777EF6">
      <w:pPr>
        <w:spacing w:after="0" w:line="252" w:lineRule="auto"/>
        <w:jc w:val="both"/>
        <w:rPr>
          <w:sz w:val="22"/>
          <w:szCs w:val="22"/>
          <w:lang w:val="en-GB"/>
        </w:rPr>
      </w:pPr>
      <w:r w:rsidRPr="00EA2776">
        <w:rPr>
          <w:sz w:val="22"/>
          <w:szCs w:val="22"/>
          <w:lang w:val="en-GB"/>
        </w:rPr>
        <w:t>OR</w:t>
      </w:r>
    </w:p>
    <w:p w:rsidR="00E017DD" w:rsidRPr="00EA2776" w:rsidRDefault="00E017DD" w:rsidP="002E0D54">
      <w:pPr>
        <w:pStyle w:val="ListParagraph"/>
        <w:numPr>
          <w:ilvl w:val="0"/>
          <w:numId w:val="59"/>
        </w:numPr>
        <w:spacing w:before="120" w:after="0" w:line="252" w:lineRule="auto"/>
        <w:jc w:val="both"/>
        <w:rPr>
          <w:sz w:val="22"/>
          <w:szCs w:val="22"/>
          <w:lang w:val="en-GB"/>
        </w:rPr>
      </w:pPr>
      <w:r w:rsidRPr="00EA2776">
        <w:rPr>
          <w:sz w:val="22"/>
          <w:szCs w:val="22"/>
          <w:lang w:val="en-GB"/>
        </w:rPr>
        <w:t>The need for a full environmental assessment is determined following a ‘screening’ process to determine whether the programme sets the f</w:t>
      </w:r>
      <w:r w:rsidR="00D520C0">
        <w:rPr>
          <w:sz w:val="22"/>
          <w:szCs w:val="22"/>
          <w:lang w:val="en-GB"/>
        </w:rPr>
        <w:t xml:space="preserve">ramework for future </w:t>
      </w:r>
      <w:r w:rsidRPr="00EA2776">
        <w:rPr>
          <w:sz w:val="22"/>
          <w:szCs w:val="22"/>
          <w:lang w:val="en-GB"/>
        </w:rPr>
        <w:t xml:space="preserve">consent of projects likely to have a significant effect on the environment. </w:t>
      </w:r>
    </w:p>
    <w:p w:rsidR="00E017DD" w:rsidRPr="00EA2776" w:rsidRDefault="00E017DD" w:rsidP="00E017DD">
      <w:pPr>
        <w:spacing w:before="120" w:after="0" w:line="252" w:lineRule="auto"/>
        <w:jc w:val="both"/>
        <w:rPr>
          <w:sz w:val="22"/>
          <w:szCs w:val="22"/>
          <w:lang w:val="en-GB"/>
        </w:rPr>
      </w:pPr>
      <w:r w:rsidRPr="00EA2776">
        <w:rPr>
          <w:sz w:val="22"/>
          <w:szCs w:val="22"/>
          <w:lang w:val="en-GB"/>
        </w:rPr>
        <w:t>As the SEA Directive does not specifically address cross-border cooperation</w:t>
      </w:r>
      <w:r w:rsidR="00B52CAE">
        <w:rPr>
          <w:sz w:val="22"/>
          <w:szCs w:val="22"/>
          <w:lang w:val="en-GB"/>
        </w:rPr>
        <w:t xml:space="preserve"> programmes with Partner</w:t>
      </w:r>
      <w:r w:rsidRPr="00EA2776">
        <w:rPr>
          <w:sz w:val="22"/>
          <w:szCs w:val="22"/>
          <w:lang w:val="en-GB"/>
        </w:rPr>
        <w:t xml:space="preserve"> Countries</w:t>
      </w:r>
      <w:r w:rsidR="00527E8B">
        <w:rPr>
          <w:sz w:val="22"/>
          <w:szCs w:val="22"/>
          <w:lang w:val="en-GB"/>
        </w:rPr>
        <w:t>,</w:t>
      </w:r>
      <w:r w:rsidRPr="00EA2776">
        <w:rPr>
          <w:sz w:val="22"/>
          <w:szCs w:val="22"/>
          <w:lang w:val="en-GB"/>
        </w:rPr>
        <w:t xml:space="preserve"> the EC issued a </w:t>
      </w:r>
      <w:r w:rsidRPr="00EA2776">
        <w:rPr>
          <w:i/>
          <w:sz w:val="22"/>
          <w:szCs w:val="22"/>
          <w:lang w:val="en-GB"/>
        </w:rPr>
        <w:t>Guidance Note on Strategic Environmental Assessment (SEA) in the context of ENI CBC</w:t>
      </w:r>
      <w:r w:rsidRPr="00EA2776">
        <w:rPr>
          <w:sz w:val="22"/>
          <w:szCs w:val="22"/>
          <w:lang w:val="en-GB"/>
        </w:rPr>
        <w:t xml:space="preserve"> (June 2014). According to the guidance</w:t>
      </w:r>
      <w:r w:rsidR="00960A0D">
        <w:rPr>
          <w:sz w:val="22"/>
          <w:szCs w:val="22"/>
          <w:lang w:val="en-GB"/>
        </w:rPr>
        <w:t>,</w:t>
      </w:r>
      <w:r w:rsidRPr="00EA2776">
        <w:rPr>
          <w:sz w:val="22"/>
          <w:szCs w:val="22"/>
          <w:lang w:val="en-GB"/>
        </w:rPr>
        <w:t xml:space="preserve"> it is the responsi</w:t>
      </w:r>
      <w:r w:rsidR="00B52CAE">
        <w:rPr>
          <w:sz w:val="22"/>
          <w:szCs w:val="22"/>
          <w:lang w:val="en-GB"/>
        </w:rPr>
        <w:t xml:space="preserve">bility of the Member State </w:t>
      </w:r>
      <w:r w:rsidRPr="00EA2776">
        <w:rPr>
          <w:sz w:val="22"/>
          <w:szCs w:val="22"/>
          <w:lang w:val="en-GB"/>
        </w:rPr>
        <w:t xml:space="preserve">hosting the Managing Authority (MA) for the programme to determine, according to its national legislation, how to conduct the SEA process. </w:t>
      </w:r>
    </w:p>
    <w:p w:rsidR="00E017DD" w:rsidRPr="00EA2776" w:rsidRDefault="00E017DD" w:rsidP="00E017DD">
      <w:pPr>
        <w:spacing w:before="240" w:after="120"/>
        <w:rPr>
          <w:b/>
          <w:lang w:val="en-GB"/>
        </w:rPr>
      </w:pPr>
      <w:r w:rsidRPr="00EA2776">
        <w:rPr>
          <w:b/>
          <w:lang w:val="en-GB"/>
        </w:rPr>
        <w:t>SEA process</w:t>
      </w:r>
    </w:p>
    <w:p w:rsidR="00E017DD" w:rsidRPr="00EA2776" w:rsidRDefault="00E017DD" w:rsidP="00E017DD">
      <w:pPr>
        <w:spacing w:before="120" w:after="0" w:line="252" w:lineRule="auto"/>
        <w:jc w:val="both"/>
        <w:rPr>
          <w:sz w:val="22"/>
          <w:szCs w:val="22"/>
          <w:lang w:val="en-GB"/>
        </w:rPr>
      </w:pPr>
      <w:r w:rsidRPr="00EA2776">
        <w:rPr>
          <w:sz w:val="22"/>
          <w:szCs w:val="22"/>
          <w:lang w:val="en-GB"/>
        </w:rPr>
        <w:t>According to current practice in Romania, the procedure for the asse</w:t>
      </w:r>
      <w:r w:rsidR="006B5FD0">
        <w:rPr>
          <w:sz w:val="22"/>
          <w:szCs w:val="22"/>
          <w:lang w:val="en-GB"/>
        </w:rPr>
        <w:t>ssment of such programmes is ad</w:t>
      </w:r>
      <w:r w:rsidR="005D2F7A">
        <w:rPr>
          <w:sz w:val="22"/>
          <w:szCs w:val="22"/>
          <w:lang w:val="en-GB"/>
        </w:rPr>
        <w:t>a</w:t>
      </w:r>
      <w:r w:rsidRPr="00EA2776">
        <w:rPr>
          <w:sz w:val="22"/>
          <w:szCs w:val="22"/>
          <w:lang w:val="en-GB"/>
        </w:rPr>
        <w:t>pted by the Ministry of Environment, Water and Forests (MoE), on a case by case basis, according to the SEA Directive and the Romanian Government Decision on the environmental assessment of plans and programmes</w:t>
      </w:r>
      <w:r w:rsidR="00B52CAE">
        <w:rPr>
          <w:rStyle w:val="FootnoteReference"/>
          <w:sz w:val="22"/>
          <w:szCs w:val="22"/>
          <w:lang w:val="en-GB"/>
        </w:rPr>
        <w:footnoteReference w:id="95"/>
      </w:r>
      <w:r w:rsidR="00B52CAE">
        <w:rPr>
          <w:sz w:val="22"/>
          <w:szCs w:val="22"/>
          <w:lang w:val="en-GB"/>
        </w:rPr>
        <w:t>.</w:t>
      </w:r>
    </w:p>
    <w:p w:rsidR="00E017DD" w:rsidRPr="00AB2546" w:rsidRDefault="005D2F7A" w:rsidP="00E017DD">
      <w:pPr>
        <w:spacing w:before="120" w:after="0" w:line="252" w:lineRule="auto"/>
        <w:jc w:val="both"/>
        <w:rPr>
          <w:sz w:val="22"/>
          <w:szCs w:val="22"/>
          <w:lang w:val="en-GB"/>
        </w:rPr>
      </w:pPr>
      <w:r>
        <w:rPr>
          <w:sz w:val="22"/>
          <w:szCs w:val="22"/>
          <w:lang w:val="en-GB"/>
        </w:rPr>
        <w:t>In the case of the BSB</w:t>
      </w:r>
      <w:r w:rsidR="00E017DD" w:rsidRPr="00EA2776">
        <w:rPr>
          <w:sz w:val="22"/>
          <w:szCs w:val="22"/>
          <w:lang w:val="en-GB"/>
        </w:rPr>
        <w:t xml:space="preserve"> programme, the MoE and the MA decided to conduct a screening process on whether the programme activities are likely to have significant environmental effects in the eligible regions in Romania </w:t>
      </w:r>
      <w:r w:rsidR="00960A0D">
        <w:rPr>
          <w:sz w:val="22"/>
          <w:szCs w:val="22"/>
          <w:lang w:val="en-GB"/>
        </w:rPr>
        <w:t xml:space="preserve">on one hand </w:t>
      </w:r>
      <w:r w:rsidR="00E017DD" w:rsidRPr="00EA2776">
        <w:rPr>
          <w:sz w:val="22"/>
          <w:szCs w:val="22"/>
          <w:lang w:val="en-GB"/>
        </w:rPr>
        <w:t>and to consult the environmental authorities in the participating countries</w:t>
      </w:r>
      <w:r w:rsidR="00960A0D">
        <w:rPr>
          <w:sz w:val="22"/>
          <w:szCs w:val="22"/>
          <w:lang w:val="en-GB"/>
        </w:rPr>
        <w:t xml:space="preserve"> on the other hand</w:t>
      </w:r>
      <w:r w:rsidR="00E017DD" w:rsidRPr="00EA2776">
        <w:rPr>
          <w:sz w:val="22"/>
          <w:szCs w:val="22"/>
          <w:lang w:val="en-GB"/>
        </w:rPr>
        <w:t>. The EU project ENI CBC Support to the</w:t>
      </w:r>
      <w:r w:rsidR="00E017DD">
        <w:rPr>
          <w:sz w:val="22"/>
          <w:szCs w:val="22"/>
          <w:lang w:val="en-GB"/>
        </w:rPr>
        <w:t xml:space="preserve"> Preparation of Programmes (SPP) assisted the MA and MoE to fulfil the requirement of the SEA directive.</w:t>
      </w:r>
      <w:r w:rsidR="00E017DD" w:rsidRPr="00AB2546">
        <w:rPr>
          <w:sz w:val="22"/>
          <w:szCs w:val="22"/>
          <w:lang w:val="en-GB"/>
        </w:rPr>
        <w:t xml:space="preserve"> </w:t>
      </w:r>
      <w:r w:rsidR="00E017DD">
        <w:rPr>
          <w:sz w:val="22"/>
          <w:szCs w:val="22"/>
          <w:lang w:val="en-GB"/>
        </w:rPr>
        <w:t>The</w:t>
      </w:r>
      <w:r w:rsidR="00603BA9">
        <w:rPr>
          <w:sz w:val="22"/>
          <w:szCs w:val="22"/>
          <w:lang w:val="en-GB"/>
        </w:rPr>
        <w:t xml:space="preserve"> </w:t>
      </w:r>
      <w:r w:rsidR="001272F2">
        <w:rPr>
          <w:sz w:val="22"/>
          <w:szCs w:val="22"/>
          <w:lang w:val="en-GB"/>
        </w:rPr>
        <w:t xml:space="preserve">process </w:t>
      </w:r>
      <w:r w:rsidR="00E017DD">
        <w:rPr>
          <w:sz w:val="22"/>
          <w:szCs w:val="22"/>
          <w:lang w:val="en-GB"/>
        </w:rPr>
        <w:t>i</w:t>
      </w:r>
      <w:r w:rsidR="001272F2">
        <w:rPr>
          <w:sz w:val="22"/>
          <w:szCs w:val="22"/>
          <w:lang w:val="en-GB"/>
        </w:rPr>
        <w:t>ncluded</w:t>
      </w:r>
      <w:r w:rsidR="00E017DD">
        <w:rPr>
          <w:sz w:val="22"/>
          <w:szCs w:val="22"/>
          <w:lang w:val="en-GB"/>
        </w:rPr>
        <w:t>:</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t>July-November 2014: Representatives of the relevant en</w:t>
      </w:r>
      <w:r w:rsidR="005D7C5B" w:rsidRPr="003667D4">
        <w:rPr>
          <w:sz w:val="22"/>
          <w:szCs w:val="22"/>
          <w:lang w:val="en-GB"/>
        </w:rPr>
        <w:t>vironmental authorities in each participating country</w:t>
      </w:r>
      <w:r w:rsidR="00B76D20">
        <w:rPr>
          <w:sz w:val="22"/>
          <w:szCs w:val="22"/>
          <w:lang w:val="en-GB"/>
        </w:rPr>
        <w:t xml:space="preserve"> </w:t>
      </w:r>
      <w:r w:rsidRPr="00EA2776">
        <w:rPr>
          <w:sz w:val="22"/>
          <w:szCs w:val="22"/>
          <w:lang w:val="en-GB"/>
        </w:rPr>
        <w:t xml:space="preserve">were nominated by the National Authorities. The relevant authorities are: </w:t>
      </w:r>
    </w:p>
    <w:tbl>
      <w:tblPr>
        <w:tblW w:w="0" w:type="auto"/>
        <w:tblInd w:w="817" w:type="dxa"/>
        <w:tblBorders>
          <w:top w:val="single" w:sz="8" w:space="0" w:color="70868F"/>
          <w:left w:val="single" w:sz="8" w:space="0" w:color="70868F"/>
          <w:bottom w:val="single" w:sz="8" w:space="0" w:color="70868F"/>
          <w:right w:val="single" w:sz="8" w:space="0" w:color="70868F"/>
          <w:insideH w:val="single" w:sz="8" w:space="0" w:color="70868F"/>
        </w:tblBorders>
        <w:tblLook w:val="04A0"/>
      </w:tblPr>
      <w:tblGrid>
        <w:gridCol w:w="1369"/>
        <w:gridCol w:w="8837"/>
      </w:tblGrid>
      <w:tr w:rsidR="00E017DD" w:rsidRPr="001368E0" w:rsidTr="001368E0">
        <w:tc>
          <w:tcPr>
            <w:tcW w:w="1369" w:type="dxa"/>
            <w:shd w:val="clear" w:color="auto" w:fill="auto"/>
          </w:tcPr>
          <w:p w:rsidR="00E017DD" w:rsidRPr="001368E0" w:rsidRDefault="00E017DD" w:rsidP="001368E0">
            <w:pPr>
              <w:spacing w:before="20" w:after="20" w:line="240" w:lineRule="auto"/>
              <w:jc w:val="both"/>
              <w:rPr>
                <w:b/>
                <w:bCs/>
                <w:color w:val="FFFFFF"/>
                <w:sz w:val="22"/>
                <w:szCs w:val="22"/>
                <w:lang w:val="en-GB"/>
              </w:rPr>
            </w:pPr>
            <w:r w:rsidRPr="001368E0">
              <w:rPr>
                <w:b/>
                <w:bCs/>
                <w:color w:val="FFFFFF"/>
                <w:sz w:val="22"/>
                <w:szCs w:val="22"/>
                <w:lang w:val="en-GB"/>
              </w:rPr>
              <w:t>Country</w:t>
            </w:r>
          </w:p>
        </w:tc>
        <w:tc>
          <w:tcPr>
            <w:tcW w:w="8837" w:type="dxa"/>
            <w:shd w:val="clear" w:color="auto" w:fill="auto"/>
          </w:tcPr>
          <w:p w:rsidR="00E017DD" w:rsidRPr="001368E0" w:rsidRDefault="00E017DD" w:rsidP="001368E0">
            <w:pPr>
              <w:spacing w:before="20" w:after="20" w:line="240" w:lineRule="auto"/>
              <w:jc w:val="both"/>
              <w:rPr>
                <w:b/>
                <w:bCs/>
                <w:color w:val="FFFFFF"/>
                <w:sz w:val="22"/>
                <w:szCs w:val="22"/>
                <w:lang w:val="en-GB"/>
              </w:rPr>
            </w:pPr>
            <w:r w:rsidRPr="001368E0">
              <w:rPr>
                <w:b/>
                <w:bCs/>
                <w:color w:val="FFFFFF"/>
                <w:sz w:val="22"/>
                <w:szCs w:val="22"/>
                <w:lang w:val="en-GB"/>
              </w:rPr>
              <w:t>Nominated Environmental Authority</w:t>
            </w:r>
          </w:p>
        </w:tc>
      </w:tr>
      <w:tr w:rsidR="00E017DD" w:rsidRPr="001368E0" w:rsidTr="001368E0">
        <w:tc>
          <w:tcPr>
            <w:tcW w:w="1369" w:type="dxa"/>
            <w:shd w:val="clear" w:color="auto" w:fill="auto"/>
          </w:tcPr>
          <w:p w:rsidR="00E017DD" w:rsidRPr="001368E0" w:rsidRDefault="00E017DD" w:rsidP="001368E0">
            <w:pPr>
              <w:spacing w:before="20" w:after="20" w:line="240" w:lineRule="auto"/>
              <w:jc w:val="both"/>
              <w:rPr>
                <w:b/>
                <w:bCs/>
                <w:sz w:val="22"/>
                <w:szCs w:val="22"/>
              </w:rPr>
            </w:pPr>
            <w:r w:rsidRPr="001368E0">
              <w:rPr>
                <w:b/>
                <w:bCs/>
                <w:sz w:val="22"/>
                <w:szCs w:val="22"/>
                <w:lang w:val="en-GB"/>
              </w:rPr>
              <w:t>Armenia</w:t>
            </w:r>
          </w:p>
        </w:tc>
        <w:tc>
          <w:tcPr>
            <w:tcW w:w="8837" w:type="dxa"/>
            <w:shd w:val="clear" w:color="auto" w:fill="auto"/>
          </w:tcPr>
          <w:p w:rsidR="00E017DD" w:rsidRPr="001368E0" w:rsidRDefault="00E017DD" w:rsidP="001368E0">
            <w:pPr>
              <w:spacing w:before="20" w:after="20" w:line="240" w:lineRule="auto"/>
              <w:jc w:val="both"/>
              <w:rPr>
                <w:sz w:val="22"/>
                <w:szCs w:val="22"/>
              </w:rPr>
            </w:pPr>
            <w:r w:rsidRPr="001368E0">
              <w:rPr>
                <w:sz w:val="22"/>
                <w:szCs w:val="22"/>
                <w:lang w:val="en-GB"/>
              </w:rPr>
              <w:t xml:space="preserve">Ministry of Nature Protection </w:t>
            </w:r>
          </w:p>
        </w:tc>
      </w:tr>
      <w:tr w:rsidR="00E017DD" w:rsidRPr="001368E0" w:rsidTr="001368E0">
        <w:tc>
          <w:tcPr>
            <w:tcW w:w="1369" w:type="dxa"/>
            <w:shd w:val="clear" w:color="auto" w:fill="auto"/>
          </w:tcPr>
          <w:p w:rsidR="00E017DD" w:rsidRPr="001368E0" w:rsidRDefault="00E017DD" w:rsidP="001368E0">
            <w:pPr>
              <w:spacing w:before="20" w:after="20" w:line="240" w:lineRule="auto"/>
              <w:jc w:val="both"/>
              <w:rPr>
                <w:b/>
                <w:bCs/>
                <w:sz w:val="22"/>
                <w:szCs w:val="22"/>
              </w:rPr>
            </w:pPr>
            <w:r w:rsidRPr="001368E0">
              <w:rPr>
                <w:b/>
                <w:bCs/>
                <w:sz w:val="22"/>
                <w:szCs w:val="22"/>
                <w:lang w:val="en-GB"/>
              </w:rPr>
              <w:t>Azerbaijan</w:t>
            </w:r>
          </w:p>
        </w:tc>
        <w:tc>
          <w:tcPr>
            <w:tcW w:w="8837" w:type="dxa"/>
            <w:shd w:val="clear" w:color="auto" w:fill="auto"/>
          </w:tcPr>
          <w:p w:rsidR="00E017DD" w:rsidRPr="001368E0" w:rsidRDefault="00E017DD" w:rsidP="001368E0">
            <w:pPr>
              <w:spacing w:before="20" w:after="20" w:line="240" w:lineRule="auto"/>
              <w:jc w:val="both"/>
              <w:rPr>
                <w:sz w:val="22"/>
                <w:szCs w:val="22"/>
                <w:lang w:val="en-GB"/>
              </w:rPr>
            </w:pPr>
            <w:r w:rsidRPr="001368E0">
              <w:rPr>
                <w:sz w:val="22"/>
                <w:szCs w:val="22"/>
                <w:lang w:val="en-GB"/>
              </w:rPr>
              <w:t>Ministry of Ecology and Natural Recourses</w:t>
            </w:r>
          </w:p>
        </w:tc>
      </w:tr>
      <w:tr w:rsidR="00E017DD" w:rsidRPr="001368E0" w:rsidTr="001368E0">
        <w:tc>
          <w:tcPr>
            <w:tcW w:w="1369" w:type="dxa"/>
            <w:shd w:val="clear" w:color="auto" w:fill="auto"/>
          </w:tcPr>
          <w:p w:rsidR="00E017DD" w:rsidRPr="001368E0" w:rsidRDefault="00E017DD" w:rsidP="001368E0">
            <w:pPr>
              <w:spacing w:before="20" w:after="20" w:line="240" w:lineRule="auto"/>
              <w:jc w:val="both"/>
              <w:rPr>
                <w:b/>
                <w:bCs/>
                <w:sz w:val="22"/>
                <w:szCs w:val="22"/>
              </w:rPr>
            </w:pPr>
            <w:r w:rsidRPr="001368E0">
              <w:rPr>
                <w:b/>
                <w:bCs/>
                <w:sz w:val="22"/>
                <w:szCs w:val="22"/>
                <w:lang w:val="en-GB"/>
              </w:rPr>
              <w:t>Bulgaria</w:t>
            </w:r>
          </w:p>
        </w:tc>
        <w:tc>
          <w:tcPr>
            <w:tcW w:w="8837" w:type="dxa"/>
            <w:shd w:val="clear" w:color="auto" w:fill="auto"/>
          </w:tcPr>
          <w:p w:rsidR="00E017DD" w:rsidRPr="001368E0" w:rsidRDefault="00E017DD" w:rsidP="001368E0">
            <w:pPr>
              <w:spacing w:before="20" w:after="20" w:line="240" w:lineRule="auto"/>
              <w:jc w:val="both"/>
              <w:rPr>
                <w:sz w:val="22"/>
                <w:szCs w:val="22"/>
                <w:lang w:val="en-GB"/>
              </w:rPr>
            </w:pPr>
            <w:r w:rsidRPr="001368E0">
              <w:rPr>
                <w:sz w:val="22"/>
                <w:szCs w:val="22"/>
                <w:lang w:val="en-GB"/>
              </w:rPr>
              <w:t>Ministry of Environment and Water</w:t>
            </w:r>
          </w:p>
        </w:tc>
      </w:tr>
      <w:tr w:rsidR="00E017DD" w:rsidRPr="001368E0" w:rsidTr="001368E0">
        <w:tc>
          <w:tcPr>
            <w:tcW w:w="1369" w:type="dxa"/>
            <w:shd w:val="clear" w:color="auto" w:fill="auto"/>
          </w:tcPr>
          <w:p w:rsidR="00E017DD" w:rsidRPr="001368E0" w:rsidRDefault="00E017DD" w:rsidP="001368E0">
            <w:pPr>
              <w:spacing w:before="20" w:after="20" w:line="240" w:lineRule="auto"/>
              <w:jc w:val="both"/>
              <w:rPr>
                <w:b/>
                <w:bCs/>
                <w:sz w:val="22"/>
                <w:szCs w:val="22"/>
              </w:rPr>
            </w:pPr>
            <w:r w:rsidRPr="001368E0">
              <w:rPr>
                <w:b/>
                <w:bCs/>
                <w:sz w:val="22"/>
                <w:szCs w:val="22"/>
                <w:lang w:val="en-GB"/>
              </w:rPr>
              <w:t>Georgia</w:t>
            </w:r>
          </w:p>
        </w:tc>
        <w:tc>
          <w:tcPr>
            <w:tcW w:w="8837" w:type="dxa"/>
            <w:shd w:val="clear" w:color="auto" w:fill="auto"/>
          </w:tcPr>
          <w:p w:rsidR="00E017DD" w:rsidRPr="001368E0" w:rsidRDefault="00E017DD" w:rsidP="001368E0">
            <w:pPr>
              <w:spacing w:before="20" w:after="20" w:line="240" w:lineRule="auto"/>
              <w:jc w:val="both"/>
              <w:rPr>
                <w:sz w:val="22"/>
                <w:szCs w:val="22"/>
                <w:lang w:val="en-GB"/>
              </w:rPr>
            </w:pPr>
            <w:r w:rsidRPr="001368E0">
              <w:rPr>
                <w:sz w:val="22"/>
                <w:szCs w:val="22"/>
                <w:lang w:val="en-GB"/>
              </w:rPr>
              <w:t xml:space="preserve">Ministry of Environment and Natural Resources  </w:t>
            </w:r>
          </w:p>
        </w:tc>
      </w:tr>
      <w:tr w:rsidR="00E017DD" w:rsidRPr="001368E0" w:rsidTr="001368E0">
        <w:tc>
          <w:tcPr>
            <w:tcW w:w="1369" w:type="dxa"/>
            <w:shd w:val="clear" w:color="auto" w:fill="auto"/>
          </w:tcPr>
          <w:p w:rsidR="00E017DD" w:rsidRPr="001368E0" w:rsidRDefault="00E017DD" w:rsidP="001368E0">
            <w:pPr>
              <w:spacing w:before="20" w:after="20" w:line="240" w:lineRule="auto"/>
              <w:jc w:val="both"/>
              <w:rPr>
                <w:b/>
                <w:bCs/>
                <w:sz w:val="22"/>
                <w:szCs w:val="22"/>
              </w:rPr>
            </w:pPr>
            <w:r w:rsidRPr="001368E0">
              <w:rPr>
                <w:b/>
                <w:bCs/>
                <w:sz w:val="22"/>
                <w:szCs w:val="22"/>
                <w:lang w:val="en-GB"/>
              </w:rPr>
              <w:t>Greece</w:t>
            </w:r>
          </w:p>
        </w:tc>
        <w:tc>
          <w:tcPr>
            <w:tcW w:w="8837" w:type="dxa"/>
            <w:shd w:val="clear" w:color="auto" w:fill="auto"/>
          </w:tcPr>
          <w:p w:rsidR="00E017DD" w:rsidRPr="001368E0" w:rsidRDefault="00E017DD" w:rsidP="001368E0">
            <w:pPr>
              <w:spacing w:before="20" w:after="20" w:line="240" w:lineRule="auto"/>
              <w:jc w:val="both"/>
              <w:rPr>
                <w:sz w:val="22"/>
                <w:szCs w:val="22"/>
                <w:lang w:val="en-GB"/>
              </w:rPr>
            </w:pPr>
            <w:r w:rsidRPr="001368E0">
              <w:rPr>
                <w:sz w:val="22"/>
                <w:szCs w:val="22"/>
                <w:lang w:val="en-GB"/>
              </w:rPr>
              <w:t>Ministry of Environment, Energy &amp; Climate Change</w:t>
            </w:r>
          </w:p>
        </w:tc>
      </w:tr>
      <w:tr w:rsidR="00E017DD" w:rsidRPr="001368E0" w:rsidTr="001368E0">
        <w:tc>
          <w:tcPr>
            <w:tcW w:w="1369" w:type="dxa"/>
            <w:shd w:val="clear" w:color="auto" w:fill="auto"/>
          </w:tcPr>
          <w:p w:rsidR="00E017DD" w:rsidRPr="001368E0" w:rsidRDefault="00E017DD" w:rsidP="001368E0">
            <w:pPr>
              <w:spacing w:before="20" w:after="20" w:line="240" w:lineRule="auto"/>
              <w:jc w:val="both"/>
              <w:rPr>
                <w:b/>
                <w:bCs/>
                <w:sz w:val="22"/>
                <w:szCs w:val="22"/>
              </w:rPr>
            </w:pPr>
            <w:r w:rsidRPr="001368E0">
              <w:rPr>
                <w:b/>
                <w:bCs/>
                <w:sz w:val="22"/>
                <w:szCs w:val="22"/>
                <w:lang w:val="en-GB"/>
              </w:rPr>
              <w:t>Moldova</w:t>
            </w:r>
          </w:p>
        </w:tc>
        <w:tc>
          <w:tcPr>
            <w:tcW w:w="8837" w:type="dxa"/>
            <w:shd w:val="clear" w:color="auto" w:fill="auto"/>
          </w:tcPr>
          <w:p w:rsidR="00E017DD" w:rsidRPr="001368E0" w:rsidRDefault="00E017DD" w:rsidP="001368E0">
            <w:pPr>
              <w:spacing w:before="20" w:after="20" w:line="240" w:lineRule="auto"/>
              <w:jc w:val="both"/>
              <w:rPr>
                <w:sz w:val="22"/>
                <w:szCs w:val="22"/>
              </w:rPr>
            </w:pPr>
            <w:r w:rsidRPr="001368E0">
              <w:rPr>
                <w:sz w:val="22"/>
                <w:szCs w:val="22"/>
                <w:lang w:val="en-GB"/>
              </w:rPr>
              <w:t xml:space="preserve">Ministry of Environment </w:t>
            </w:r>
          </w:p>
        </w:tc>
      </w:tr>
      <w:tr w:rsidR="00E017DD" w:rsidRPr="001368E0" w:rsidTr="001368E0">
        <w:tc>
          <w:tcPr>
            <w:tcW w:w="1369" w:type="dxa"/>
            <w:shd w:val="clear" w:color="auto" w:fill="auto"/>
          </w:tcPr>
          <w:p w:rsidR="00E017DD" w:rsidRPr="001368E0" w:rsidRDefault="00E017DD" w:rsidP="001368E0">
            <w:pPr>
              <w:spacing w:before="20" w:after="20" w:line="240" w:lineRule="auto"/>
              <w:jc w:val="both"/>
              <w:rPr>
                <w:b/>
                <w:bCs/>
                <w:sz w:val="22"/>
                <w:szCs w:val="22"/>
              </w:rPr>
            </w:pPr>
            <w:r w:rsidRPr="001368E0">
              <w:rPr>
                <w:b/>
                <w:bCs/>
                <w:sz w:val="22"/>
                <w:szCs w:val="22"/>
                <w:lang w:val="en-GB"/>
              </w:rPr>
              <w:t>Turkey</w:t>
            </w:r>
          </w:p>
        </w:tc>
        <w:tc>
          <w:tcPr>
            <w:tcW w:w="8837" w:type="dxa"/>
            <w:shd w:val="clear" w:color="auto" w:fill="auto"/>
          </w:tcPr>
          <w:p w:rsidR="00E017DD" w:rsidRPr="001368E0" w:rsidRDefault="00E017DD" w:rsidP="001368E0">
            <w:pPr>
              <w:spacing w:before="20" w:after="20" w:line="240" w:lineRule="auto"/>
              <w:jc w:val="both"/>
              <w:rPr>
                <w:sz w:val="22"/>
                <w:szCs w:val="22"/>
                <w:lang w:val="en-GB"/>
              </w:rPr>
            </w:pPr>
            <w:r w:rsidRPr="001368E0">
              <w:rPr>
                <w:sz w:val="22"/>
                <w:szCs w:val="22"/>
                <w:lang w:val="en-GB"/>
              </w:rPr>
              <w:t>Ministry of Environment and Urbanisation</w:t>
            </w:r>
          </w:p>
        </w:tc>
      </w:tr>
      <w:tr w:rsidR="00E017DD" w:rsidRPr="001368E0" w:rsidTr="001368E0">
        <w:tc>
          <w:tcPr>
            <w:tcW w:w="1369" w:type="dxa"/>
            <w:shd w:val="clear" w:color="auto" w:fill="auto"/>
          </w:tcPr>
          <w:p w:rsidR="00E017DD" w:rsidRPr="001368E0" w:rsidRDefault="00E017DD" w:rsidP="001368E0">
            <w:pPr>
              <w:spacing w:before="20" w:after="20" w:line="240" w:lineRule="auto"/>
              <w:jc w:val="both"/>
              <w:rPr>
                <w:b/>
                <w:bCs/>
                <w:sz w:val="22"/>
                <w:szCs w:val="22"/>
              </w:rPr>
            </w:pPr>
            <w:r w:rsidRPr="001368E0">
              <w:rPr>
                <w:b/>
                <w:bCs/>
                <w:sz w:val="22"/>
                <w:szCs w:val="22"/>
                <w:lang w:val="en-GB"/>
              </w:rPr>
              <w:t>Ukraine</w:t>
            </w:r>
          </w:p>
        </w:tc>
        <w:tc>
          <w:tcPr>
            <w:tcW w:w="8837" w:type="dxa"/>
            <w:shd w:val="clear" w:color="auto" w:fill="auto"/>
          </w:tcPr>
          <w:p w:rsidR="00E017DD" w:rsidRPr="001368E0" w:rsidRDefault="00E017DD" w:rsidP="001368E0">
            <w:pPr>
              <w:spacing w:before="20" w:after="20" w:line="240" w:lineRule="auto"/>
              <w:jc w:val="both"/>
              <w:rPr>
                <w:sz w:val="22"/>
                <w:szCs w:val="22"/>
              </w:rPr>
            </w:pPr>
            <w:r w:rsidRPr="001368E0">
              <w:rPr>
                <w:sz w:val="22"/>
                <w:szCs w:val="22"/>
                <w:lang w:val="en-GB"/>
              </w:rPr>
              <w:t>Ministry of Environment</w:t>
            </w:r>
          </w:p>
        </w:tc>
      </w:tr>
    </w:tbl>
    <w:p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t>October 2014:</w:t>
      </w:r>
      <w:r w:rsidRPr="00EA2776">
        <w:rPr>
          <w:sz w:val="22"/>
          <w:szCs w:val="22"/>
          <w:lang w:val="en-GB"/>
        </w:rPr>
        <w:t xml:space="preserve"> The conduct of a screening process of the proposed programme strategy Thematic Objectives, priorities, indicative activities and expected results</w:t>
      </w:r>
      <w:r w:rsidRPr="00EA2776">
        <w:rPr>
          <w:rStyle w:val="FootnoteReference"/>
          <w:sz w:val="22"/>
          <w:szCs w:val="22"/>
          <w:lang w:val="en-GB"/>
        </w:rPr>
        <w:footnoteReference w:id="96"/>
      </w:r>
      <w:r w:rsidRPr="00EA2776">
        <w:rPr>
          <w:sz w:val="22"/>
          <w:szCs w:val="22"/>
          <w:lang w:val="en-GB"/>
        </w:rPr>
        <w:t xml:space="preserve"> by the SPP SEA expert (according to Annex ll of the SEA Directive) to determine whether futur</w:t>
      </w:r>
      <w:r w:rsidR="005D7C5B">
        <w:rPr>
          <w:sz w:val="22"/>
          <w:szCs w:val="22"/>
          <w:lang w:val="en-GB"/>
        </w:rPr>
        <w:t xml:space="preserve">e projects are likely to have </w:t>
      </w:r>
      <w:r w:rsidRPr="00EA2776">
        <w:rPr>
          <w:sz w:val="22"/>
          <w:szCs w:val="22"/>
          <w:lang w:val="en-GB"/>
        </w:rPr>
        <w:t xml:space="preserve">significant environmental effects. </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t>November 2014:</w:t>
      </w:r>
      <w:r w:rsidRPr="00EA2776">
        <w:rPr>
          <w:b/>
          <w:sz w:val="22"/>
          <w:szCs w:val="22"/>
          <w:lang w:val="en-GB"/>
        </w:rPr>
        <w:t xml:space="preserve"> </w:t>
      </w:r>
      <w:r w:rsidRPr="00EA2776">
        <w:rPr>
          <w:sz w:val="22"/>
          <w:szCs w:val="22"/>
          <w:lang w:val="en-GB"/>
        </w:rPr>
        <w:t>Environmental authorities were asked for their expert opinion on whether the programme is likely to have a significant effect on the environment in the eligible regions in their countries and whether there are national requirements to be followed in this particular instance. Documents sent to the env</w:t>
      </w:r>
      <w:r w:rsidR="005D7C5B">
        <w:rPr>
          <w:sz w:val="22"/>
          <w:szCs w:val="22"/>
          <w:lang w:val="en-GB"/>
        </w:rPr>
        <w:t>ironmental authorities included:</w:t>
      </w:r>
    </w:p>
    <w:p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 xml:space="preserve">EC </w:t>
      </w:r>
      <w:r w:rsidRPr="00EA2776">
        <w:rPr>
          <w:i/>
          <w:sz w:val="22"/>
          <w:szCs w:val="22"/>
          <w:lang w:val="en-GB"/>
        </w:rPr>
        <w:t xml:space="preserve">Guidance Note on SEA in the context of ENI CBC </w:t>
      </w:r>
      <w:r w:rsidRPr="00876073">
        <w:rPr>
          <w:sz w:val="22"/>
          <w:szCs w:val="22"/>
          <w:lang w:val="en-GB"/>
        </w:rPr>
        <w:t>(June 2014)</w:t>
      </w:r>
    </w:p>
    <w:p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Draft of the BSB ENI CBC programme strategy as approved at BSB JPC meetings (July &amp; Nov 2014)</w:t>
      </w:r>
    </w:p>
    <w:p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Background information on ENI CBC and the BSB programme</w:t>
      </w:r>
      <w:r w:rsidR="005D7C5B">
        <w:rPr>
          <w:sz w:val="22"/>
          <w:szCs w:val="22"/>
          <w:lang w:val="en-GB"/>
        </w:rPr>
        <w:t xml:space="preserve"> </w:t>
      </w:r>
      <w:r w:rsidRPr="00EA2776">
        <w:rPr>
          <w:sz w:val="22"/>
          <w:szCs w:val="22"/>
          <w:lang w:val="en-GB"/>
        </w:rPr>
        <w:t>(Oct 2014)</w:t>
      </w:r>
    </w:p>
    <w:p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Note for BSB participating countries on SEA process (October 2014)</w:t>
      </w:r>
    </w:p>
    <w:p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The results of the screening process conducted by the SPP SEA expert</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t>December 2014-January 2015:</w:t>
      </w:r>
      <w:r w:rsidRPr="00EA2776">
        <w:rPr>
          <w:b/>
          <w:sz w:val="22"/>
          <w:szCs w:val="22"/>
          <w:lang w:val="en-GB"/>
        </w:rPr>
        <w:t xml:space="preserve"> </w:t>
      </w:r>
      <w:r w:rsidRPr="00EA2776">
        <w:rPr>
          <w:sz w:val="22"/>
          <w:szCs w:val="22"/>
          <w:lang w:val="en-GB"/>
        </w:rPr>
        <w:t>Conduct of a screening process in Romania including:</w:t>
      </w:r>
    </w:p>
    <w:p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Establishment of a Screening Committee made up of concerned public authorities: Ministry of Health, National Administration for Waters, Ministry of Internal Affairs (General Inspectorate for Emergency Situations), Ministry of European Funds, Ministry of Agriculture and Rural Development, Ministry of Transport, Department for SMEs, Business Environment and Tourism and public authorities from the eligible regions</w:t>
      </w:r>
      <w:r w:rsidR="001B13B3">
        <w:rPr>
          <w:sz w:val="22"/>
          <w:szCs w:val="22"/>
          <w:lang w:val="en-GB"/>
        </w:rPr>
        <w:t>.</w:t>
      </w:r>
    </w:p>
    <w:p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 xml:space="preserve">The start of the screening procedure was announced on the Ministry of </w:t>
      </w:r>
      <w:r w:rsidR="00C92218" w:rsidRPr="00EA2776">
        <w:rPr>
          <w:sz w:val="22"/>
          <w:szCs w:val="22"/>
          <w:lang w:val="en-GB"/>
        </w:rPr>
        <w:t xml:space="preserve">Regional </w:t>
      </w:r>
      <w:r w:rsidRPr="00EA2776">
        <w:rPr>
          <w:sz w:val="22"/>
          <w:szCs w:val="22"/>
          <w:lang w:val="en-GB"/>
        </w:rPr>
        <w:t>Development and Public Administration (M</w:t>
      </w:r>
      <w:r w:rsidR="001B13B3">
        <w:rPr>
          <w:sz w:val="22"/>
          <w:szCs w:val="22"/>
          <w:lang w:val="en-GB"/>
        </w:rPr>
        <w:t>DRAP) and the programme website</w:t>
      </w:r>
      <w:r w:rsidR="00C92218">
        <w:rPr>
          <w:sz w:val="22"/>
          <w:szCs w:val="22"/>
          <w:lang w:val="en-GB"/>
        </w:rPr>
        <w:t>s</w:t>
      </w:r>
      <w:r w:rsidRPr="00EA2776">
        <w:rPr>
          <w:sz w:val="22"/>
          <w:szCs w:val="22"/>
          <w:lang w:val="en-GB"/>
        </w:rPr>
        <w:t xml:space="preserve"> (11&amp;12 December 2014) and also via a notice in the </w:t>
      </w:r>
      <w:r w:rsidRPr="00C92218">
        <w:rPr>
          <w:i/>
          <w:sz w:val="22"/>
          <w:szCs w:val="22"/>
          <w:lang w:val="en-GB"/>
        </w:rPr>
        <w:t>România Liber</w:t>
      </w:r>
      <w:r w:rsidRPr="00C92218">
        <w:rPr>
          <w:rFonts w:ascii="Times New Roman" w:hAnsi="Times New Roman"/>
          <w:i/>
          <w:sz w:val="22"/>
          <w:szCs w:val="22"/>
          <w:lang w:val="en-GB"/>
        </w:rPr>
        <w:t>ă</w:t>
      </w:r>
      <w:r w:rsidRPr="00EA2776">
        <w:rPr>
          <w:sz w:val="22"/>
          <w:szCs w:val="22"/>
          <w:lang w:val="en-GB"/>
        </w:rPr>
        <w:t xml:space="preserve"> national newspaper (on 16&amp;19 December 2014). In these announcements, the public was invited to comment on whether the programme was likely to have a significant impact on the environment in the eligible regions</w:t>
      </w:r>
      <w:r w:rsidRPr="00EA2776">
        <w:rPr>
          <w:sz w:val="22"/>
          <w:szCs w:val="22"/>
          <w:vertAlign w:val="superscript"/>
        </w:rPr>
        <w:footnoteReference w:id="97"/>
      </w:r>
      <w:r w:rsidR="001B13B3">
        <w:rPr>
          <w:sz w:val="22"/>
          <w:szCs w:val="22"/>
          <w:lang w:val="en-GB"/>
        </w:rPr>
        <w:t>.</w:t>
      </w:r>
      <w:r w:rsidRPr="00EA2776">
        <w:rPr>
          <w:sz w:val="22"/>
          <w:szCs w:val="22"/>
          <w:vertAlign w:val="superscript"/>
          <w:lang w:val="en-GB"/>
        </w:rPr>
        <w:t>.</w:t>
      </w:r>
      <w:r w:rsidRPr="00EA2776">
        <w:rPr>
          <w:sz w:val="22"/>
          <w:szCs w:val="22"/>
          <w:lang w:val="en-GB"/>
        </w:rPr>
        <w:t xml:space="preserve"> The draft programme strategy was made available on the MoE, MDRAP and programme websites.</w:t>
      </w:r>
    </w:p>
    <w:p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The committee was given the documents listed above and met to conduct the screening process and make a conclusion on whether a full environmental assessment is required</w:t>
      </w:r>
      <w:r w:rsidR="00C92218" w:rsidRPr="00C92218">
        <w:rPr>
          <w:sz w:val="22"/>
          <w:szCs w:val="22"/>
          <w:lang w:val="en-GB"/>
        </w:rPr>
        <w:t xml:space="preserve"> </w:t>
      </w:r>
      <w:r w:rsidR="00C92218">
        <w:rPr>
          <w:sz w:val="22"/>
          <w:szCs w:val="22"/>
          <w:lang w:val="en-GB"/>
        </w:rPr>
        <w:t>for the Romanian eligible territory</w:t>
      </w:r>
      <w:r w:rsidR="00F022F7">
        <w:rPr>
          <w:sz w:val="22"/>
          <w:szCs w:val="22"/>
          <w:lang w:val="en-GB"/>
        </w:rPr>
        <w:t>.</w:t>
      </w:r>
      <w:r w:rsidR="008B2DBB">
        <w:rPr>
          <w:sz w:val="22"/>
          <w:szCs w:val="22"/>
          <w:lang w:val="en-GB"/>
        </w:rPr>
        <w:t xml:space="preserve"> </w:t>
      </w:r>
      <w:r w:rsidR="00F022F7">
        <w:rPr>
          <w:sz w:val="22"/>
          <w:szCs w:val="22"/>
          <w:lang w:val="en-GB"/>
        </w:rPr>
        <w:t>I</w:t>
      </w:r>
      <w:r w:rsidR="008B2DBB">
        <w:rPr>
          <w:sz w:val="22"/>
          <w:szCs w:val="22"/>
          <w:lang w:val="en-GB"/>
        </w:rPr>
        <w:t>n addition, the committee was informed about</w:t>
      </w:r>
      <w:r w:rsidR="008B2DBB" w:rsidRPr="00EA2776">
        <w:rPr>
          <w:sz w:val="22"/>
          <w:szCs w:val="22"/>
          <w:lang w:val="en-GB"/>
        </w:rPr>
        <w:t xml:space="preserve"> the input received </w:t>
      </w:r>
      <w:r w:rsidR="00E64EDC">
        <w:rPr>
          <w:sz w:val="22"/>
          <w:szCs w:val="22"/>
          <w:lang w:val="en-GB"/>
        </w:rPr>
        <w:t>from</w:t>
      </w:r>
      <w:r w:rsidR="008B2DBB" w:rsidRPr="00EA2776">
        <w:rPr>
          <w:sz w:val="22"/>
          <w:szCs w:val="22"/>
          <w:lang w:val="en-GB"/>
        </w:rPr>
        <w:t xml:space="preserve"> the participating countries</w:t>
      </w:r>
      <w:r w:rsidRPr="00EA2776">
        <w:rPr>
          <w:sz w:val="22"/>
          <w:szCs w:val="22"/>
          <w:lang w:val="en-GB"/>
        </w:rPr>
        <w:t xml:space="preserve">. </w:t>
      </w:r>
    </w:p>
    <w:p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The draft decision of the Screening Committe</w:t>
      </w:r>
      <w:r w:rsidR="00A136E0">
        <w:rPr>
          <w:sz w:val="22"/>
          <w:szCs w:val="22"/>
          <w:lang w:val="en-GB"/>
        </w:rPr>
        <w:t>e</w:t>
      </w:r>
      <w:r w:rsidRPr="00EA2776">
        <w:rPr>
          <w:sz w:val="22"/>
          <w:szCs w:val="22"/>
          <w:lang w:val="en-GB"/>
        </w:rPr>
        <w:t xml:space="preserve"> was published on the MoE and MDRAP websites on 6 January 2015</w:t>
      </w:r>
      <w:r w:rsidR="003667D4">
        <w:rPr>
          <w:sz w:val="22"/>
          <w:szCs w:val="22"/>
          <w:lang w:val="en-GB"/>
        </w:rPr>
        <w:t>.</w:t>
      </w:r>
    </w:p>
    <w:p w:rsidR="00F022F7" w:rsidRPr="00D23507" w:rsidRDefault="00E017DD" w:rsidP="00D23507">
      <w:pPr>
        <w:pStyle w:val="ListParagraph"/>
        <w:numPr>
          <w:ilvl w:val="0"/>
          <w:numId w:val="60"/>
        </w:numPr>
        <w:spacing w:before="120" w:after="0" w:line="252" w:lineRule="auto"/>
        <w:jc w:val="both"/>
        <w:rPr>
          <w:sz w:val="22"/>
          <w:szCs w:val="22"/>
          <w:lang w:val="en-GB"/>
        </w:rPr>
      </w:pPr>
      <w:r w:rsidRPr="00D23507">
        <w:rPr>
          <w:sz w:val="22"/>
          <w:szCs w:val="22"/>
          <w:lang w:val="en-GB"/>
        </w:rPr>
        <w:t xml:space="preserve">January-February 2015: </w:t>
      </w:r>
      <w:r w:rsidR="00F022F7" w:rsidRPr="00D23507">
        <w:rPr>
          <w:sz w:val="22"/>
          <w:szCs w:val="22"/>
          <w:lang w:val="en-GB"/>
        </w:rPr>
        <w:t>A SEA screening procedure was carried out by the Bulgarian Ministry of Environment and Water in regard to the eligible regions in Bulgaria to determine whether environmental assessment was needed</w:t>
      </w:r>
      <w:r w:rsidR="001C6B79">
        <w:rPr>
          <w:rStyle w:val="FootnoteReference"/>
          <w:sz w:val="22"/>
          <w:szCs w:val="22"/>
          <w:lang w:val="en-GB"/>
        </w:rPr>
        <w:footnoteReference w:id="98"/>
      </w:r>
      <w:r w:rsidR="00D23507" w:rsidRPr="00D23507">
        <w:rPr>
          <w:sz w:val="22"/>
          <w:szCs w:val="22"/>
          <w:lang w:val="en-GB"/>
        </w:rPr>
        <w:t>.</w:t>
      </w:r>
    </w:p>
    <w:p w:rsidR="00E017DD" w:rsidRPr="003667D4" w:rsidRDefault="00E017DD" w:rsidP="00E017DD">
      <w:pPr>
        <w:spacing w:before="240" w:after="120"/>
        <w:rPr>
          <w:b/>
          <w:lang w:val="en-GB"/>
        </w:rPr>
      </w:pPr>
      <w:r w:rsidRPr="003667D4">
        <w:rPr>
          <w:b/>
          <w:lang w:val="en-GB"/>
        </w:rPr>
        <w:t>Conclusions from participating countries</w:t>
      </w:r>
    </w:p>
    <w:tbl>
      <w:tblPr>
        <w:tblW w:w="11023" w:type="dxa"/>
        <w:tblBorders>
          <w:top w:val="single" w:sz="8" w:space="0" w:color="70868F"/>
          <w:left w:val="single" w:sz="8" w:space="0" w:color="70868F"/>
          <w:bottom w:val="single" w:sz="8" w:space="0" w:color="70868F"/>
          <w:right w:val="single" w:sz="8" w:space="0" w:color="70868F"/>
          <w:insideH w:val="single" w:sz="8" w:space="0" w:color="70868F"/>
        </w:tblBorders>
        <w:tblLook w:val="0420"/>
      </w:tblPr>
      <w:tblGrid>
        <w:gridCol w:w="1470"/>
        <w:gridCol w:w="9553"/>
      </w:tblGrid>
      <w:tr w:rsidR="00E017DD" w:rsidRPr="001368E0" w:rsidTr="001368E0">
        <w:trPr>
          <w:trHeight w:val="584"/>
        </w:trPr>
        <w:tc>
          <w:tcPr>
            <w:tcW w:w="1408" w:type="dxa"/>
            <w:shd w:val="clear" w:color="auto" w:fill="auto"/>
          </w:tcPr>
          <w:p w:rsidR="00E017DD" w:rsidRPr="001368E0" w:rsidRDefault="00E017DD" w:rsidP="001368E0">
            <w:pPr>
              <w:spacing w:before="120" w:after="0" w:line="252" w:lineRule="auto"/>
              <w:jc w:val="both"/>
              <w:rPr>
                <w:b/>
                <w:color w:val="FFFFFF"/>
                <w:sz w:val="22"/>
                <w:szCs w:val="22"/>
                <w:lang w:val="lv-LV"/>
              </w:rPr>
            </w:pPr>
            <w:r w:rsidRPr="001368E0">
              <w:rPr>
                <w:b/>
                <w:color w:val="FFFFFF"/>
                <w:sz w:val="22"/>
                <w:szCs w:val="22"/>
                <w:lang w:val="lv-LV"/>
              </w:rPr>
              <w:t>Participating Country</w:t>
            </w:r>
          </w:p>
        </w:tc>
        <w:tc>
          <w:tcPr>
            <w:tcW w:w="9615" w:type="dxa"/>
            <w:shd w:val="clear" w:color="auto" w:fill="auto"/>
          </w:tcPr>
          <w:p w:rsidR="00E017DD" w:rsidRPr="001368E0" w:rsidRDefault="00E017DD" w:rsidP="001368E0">
            <w:pPr>
              <w:spacing w:before="120" w:after="0" w:line="252" w:lineRule="auto"/>
              <w:jc w:val="both"/>
              <w:rPr>
                <w:b/>
                <w:bCs/>
                <w:color w:val="FFFFFF"/>
                <w:sz w:val="22"/>
                <w:szCs w:val="22"/>
                <w:lang w:val="lv-LV"/>
              </w:rPr>
            </w:pPr>
            <w:r w:rsidRPr="001368E0">
              <w:rPr>
                <w:b/>
                <w:bCs/>
                <w:color w:val="FFFFFF"/>
                <w:sz w:val="22"/>
                <w:szCs w:val="22"/>
                <w:lang w:val="lv-LV"/>
              </w:rPr>
              <w:t>Conclusion</w:t>
            </w:r>
          </w:p>
        </w:tc>
      </w:tr>
      <w:tr w:rsidR="00E017DD" w:rsidRPr="001368E0" w:rsidTr="001368E0">
        <w:trPr>
          <w:trHeight w:val="584"/>
        </w:trPr>
        <w:tc>
          <w:tcPr>
            <w:tcW w:w="1408" w:type="dxa"/>
            <w:shd w:val="clear" w:color="auto" w:fill="auto"/>
            <w:hideMark/>
          </w:tcPr>
          <w:p w:rsidR="00E017DD" w:rsidRPr="001368E0" w:rsidRDefault="00E017DD" w:rsidP="001368E0">
            <w:pPr>
              <w:spacing w:before="40" w:after="0" w:line="240" w:lineRule="auto"/>
              <w:jc w:val="both"/>
              <w:rPr>
                <w:bCs/>
                <w:sz w:val="22"/>
                <w:szCs w:val="22"/>
                <w:lang w:val="lv-LV"/>
              </w:rPr>
            </w:pPr>
            <w:r w:rsidRPr="001368E0">
              <w:rPr>
                <w:bCs/>
                <w:sz w:val="22"/>
                <w:szCs w:val="22"/>
                <w:lang w:val="lv-LV"/>
              </w:rPr>
              <w:t>Armenia</w:t>
            </w:r>
          </w:p>
          <w:p w:rsidR="00A930DA" w:rsidRPr="001368E0" w:rsidRDefault="00A930DA" w:rsidP="001368E0">
            <w:pPr>
              <w:spacing w:before="40" w:after="0" w:line="240" w:lineRule="auto"/>
              <w:jc w:val="both"/>
              <w:rPr>
                <w:bCs/>
                <w:sz w:val="22"/>
                <w:szCs w:val="22"/>
                <w:lang w:val="lv-LV"/>
              </w:rPr>
            </w:pPr>
            <w:r w:rsidRPr="001368E0">
              <w:rPr>
                <w:bCs/>
                <w:sz w:val="22"/>
                <w:szCs w:val="22"/>
                <w:lang w:val="lv-LV"/>
              </w:rPr>
              <w:t>Azerbaijan</w:t>
            </w:r>
          </w:p>
          <w:p w:rsidR="00E017DD" w:rsidRPr="001368E0" w:rsidRDefault="00E017DD" w:rsidP="001368E0">
            <w:pPr>
              <w:spacing w:before="40" w:after="0" w:line="240" w:lineRule="auto"/>
              <w:jc w:val="both"/>
              <w:rPr>
                <w:bCs/>
                <w:sz w:val="22"/>
                <w:szCs w:val="22"/>
                <w:lang w:val="lv-LV"/>
              </w:rPr>
            </w:pPr>
            <w:r w:rsidRPr="001368E0">
              <w:rPr>
                <w:bCs/>
                <w:sz w:val="22"/>
                <w:szCs w:val="22"/>
                <w:lang w:val="lv-LV"/>
              </w:rPr>
              <w:t>Georgia</w:t>
            </w:r>
          </w:p>
          <w:p w:rsidR="00E017DD" w:rsidRPr="001368E0" w:rsidRDefault="00E017DD" w:rsidP="001368E0">
            <w:pPr>
              <w:spacing w:before="40" w:after="0" w:line="240" w:lineRule="auto"/>
              <w:jc w:val="both"/>
              <w:rPr>
                <w:bCs/>
                <w:sz w:val="22"/>
                <w:szCs w:val="22"/>
                <w:lang w:val="lv-LV"/>
              </w:rPr>
            </w:pPr>
            <w:r w:rsidRPr="001368E0">
              <w:rPr>
                <w:bCs/>
                <w:sz w:val="22"/>
                <w:szCs w:val="22"/>
                <w:lang w:val="lv-LV"/>
              </w:rPr>
              <w:t>Greece</w:t>
            </w:r>
          </w:p>
          <w:p w:rsidR="00E017DD" w:rsidRPr="001368E0" w:rsidRDefault="00E017DD" w:rsidP="001368E0">
            <w:pPr>
              <w:spacing w:before="40" w:after="0" w:line="240" w:lineRule="auto"/>
              <w:jc w:val="both"/>
              <w:rPr>
                <w:bCs/>
                <w:sz w:val="22"/>
                <w:szCs w:val="22"/>
                <w:lang w:val="lv-LV"/>
              </w:rPr>
            </w:pPr>
            <w:r w:rsidRPr="001368E0">
              <w:rPr>
                <w:bCs/>
                <w:sz w:val="22"/>
                <w:szCs w:val="22"/>
                <w:lang w:val="lv-LV"/>
              </w:rPr>
              <w:t>Moldova</w:t>
            </w:r>
          </w:p>
          <w:p w:rsidR="00E017DD" w:rsidRPr="001368E0" w:rsidRDefault="00E017DD" w:rsidP="001368E0">
            <w:pPr>
              <w:spacing w:before="40" w:after="0" w:line="240" w:lineRule="auto"/>
              <w:jc w:val="both"/>
              <w:rPr>
                <w:bCs/>
                <w:sz w:val="22"/>
                <w:szCs w:val="22"/>
                <w:lang w:val="lv-LV"/>
              </w:rPr>
            </w:pPr>
            <w:r w:rsidRPr="001368E0">
              <w:rPr>
                <w:bCs/>
                <w:sz w:val="22"/>
                <w:szCs w:val="22"/>
                <w:lang w:val="lv-LV"/>
              </w:rPr>
              <w:t>Turkey</w:t>
            </w:r>
          </w:p>
        </w:tc>
        <w:tc>
          <w:tcPr>
            <w:tcW w:w="9615" w:type="dxa"/>
            <w:shd w:val="clear" w:color="auto" w:fill="auto"/>
            <w:hideMark/>
          </w:tcPr>
          <w:p w:rsidR="00E017DD" w:rsidRPr="001368E0" w:rsidRDefault="00E017DD" w:rsidP="001368E0">
            <w:pPr>
              <w:spacing w:before="40" w:after="0" w:line="240" w:lineRule="auto"/>
              <w:jc w:val="both"/>
              <w:rPr>
                <w:bCs/>
                <w:sz w:val="22"/>
                <w:szCs w:val="22"/>
                <w:lang w:val="lv-LV"/>
              </w:rPr>
            </w:pPr>
            <w:r w:rsidRPr="001368E0">
              <w:rPr>
                <w:bCs/>
                <w:sz w:val="22"/>
                <w:szCs w:val="22"/>
                <w:lang w:val="lv-LV"/>
              </w:rPr>
              <w:t>Based on internal consultations and own assessments according to their national procedures, the environmental authorities have concluded that the Black Sea CBC programme 2014-2020 is not likely to have a significant effect on the environment in the regions in their countries eligible for the programme and that no further action is required at national level. The environmental authorities have largely supported the initial assessment prepared by the SPP expert for the MA and the conclusions derived from it.</w:t>
            </w:r>
          </w:p>
        </w:tc>
      </w:tr>
      <w:tr w:rsidR="00E017DD" w:rsidRPr="001368E0" w:rsidTr="001368E0">
        <w:trPr>
          <w:trHeight w:val="584"/>
        </w:trPr>
        <w:tc>
          <w:tcPr>
            <w:tcW w:w="1408" w:type="dxa"/>
            <w:shd w:val="clear" w:color="auto" w:fill="auto"/>
          </w:tcPr>
          <w:p w:rsidR="00E017DD" w:rsidRPr="001368E0" w:rsidRDefault="00E017DD" w:rsidP="001368E0">
            <w:pPr>
              <w:spacing w:before="40" w:after="0" w:line="240" w:lineRule="auto"/>
              <w:jc w:val="both"/>
              <w:rPr>
                <w:bCs/>
                <w:sz w:val="22"/>
                <w:szCs w:val="22"/>
                <w:lang w:val="lv-LV"/>
              </w:rPr>
            </w:pPr>
            <w:r w:rsidRPr="001368E0">
              <w:rPr>
                <w:bCs/>
                <w:sz w:val="22"/>
                <w:szCs w:val="22"/>
                <w:lang w:val="lv-LV"/>
              </w:rPr>
              <w:t>Romania</w:t>
            </w:r>
          </w:p>
        </w:tc>
        <w:tc>
          <w:tcPr>
            <w:tcW w:w="9615" w:type="dxa"/>
            <w:shd w:val="clear" w:color="auto" w:fill="auto"/>
          </w:tcPr>
          <w:p w:rsidR="00E017DD" w:rsidRPr="001368E0" w:rsidRDefault="00E017DD" w:rsidP="001368E0">
            <w:pPr>
              <w:spacing w:before="40" w:after="0" w:line="240" w:lineRule="auto"/>
              <w:jc w:val="both"/>
              <w:rPr>
                <w:bCs/>
                <w:sz w:val="22"/>
                <w:szCs w:val="22"/>
                <w:lang w:val="lv-LV"/>
              </w:rPr>
            </w:pPr>
            <w:r w:rsidRPr="001368E0">
              <w:rPr>
                <w:bCs/>
                <w:sz w:val="22"/>
                <w:szCs w:val="22"/>
                <w:lang w:val="lv-LV"/>
              </w:rPr>
              <w:t>“As a consequence, according with the provisions of art. 3 par.(7) of the SEA Directive, the Ministry of Environment, Water and Forests decides that environmental assessment is not required pursuant to art.5 of the SEA Directive for the ENI CBC Black Sea Basin Programme 2014-2020.”</w:t>
            </w:r>
          </w:p>
        </w:tc>
      </w:tr>
      <w:tr w:rsidR="00E017DD" w:rsidRPr="001368E0" w:rsidTr="001368E0">
        <w:trPr>
          <w:trHeight w:val="584"/>
        </w:trPr>
        <w:tc>
          <w:tcPr>
            <w:tcW w:w="1408" w:type="dxa"/>
            <w:shd w:val="clear" w:color="auto" w:fill="auto"/>
            <w:hideMark/>
          </w:tcPr>
          <w:p w:rsidR="00E017DD" w:rsidRPr="001368E0" w:rsidRDefault="00E017DD" w:rsidP="001368E0">
            <w:pPr>
              <w:spacing w:before="40" w:after="0" w:line="240" w:lineRule="auto"/>
              <w:jc w:val="both"/>
              <w:rPr>
                <w:bCs/>
                <w:sz w:val="22"/>
                <w:szCs w:val="22"/>
                <w:lang w:val="lv-LV"/>
              </w:rPr>
            </w:pPr>
            <w:r w:rsidRPr="001368E0">
              <w:rPr>
                <w:bCs/>
                <w:sz w:val="22"/>
                <w:szCs w:val="22"/>
                <w:lang w:val="lv-LV"/>
              </w:rPr>
              <w:t>Bulgaria</w:t>
            </w:r>
          </w:p>
        </w:tc>
        <w:tc>
          <w:tcPr>
            <w:tcW w:w="9615" w:type="dxa"/>
            <w:shd w:val="clear" w:color="auto" w:fill="auto"/>
            <w:hideMark/>
          </w:tcPr>
          <w:p w:rsidR="00D23507" w:rsidRPr="001368E0" w:rsidRDefault="00D23507" w:rsidP="001368E0">
            <w:pPr>
              <w:spacing w:before="40" w:after="0" w:line="240" w:lineRule="auto"/>
              <w:jc w:val="both"/>
              <w:rPr>
                <w:bCs/>
                <w:sz w:val="22"/>
                <w:szCs w:val="22"/>
                <w:lang w:val="lv-LV"/>
              </w:rPr>
            </w:pPr>
            <w:r w:rsidRPr="001368E0">
              <w:rPr>
                <w:bCs/>
                <w:sz w:val="22"/>
                <w:szCs w:val="22"/>
                <w:lang w:val="lv-LV"/>
              </w:rPr>
              <w:t xml:space="preserve">The </w:t>
            </w:r>
            <w:r w:rsidRPr="001368E0">
              <w:rPr>
                <w:sz w:val="22"/>
                <w:szCs w:val="22"/>
                <w:lang w:val="en-GB"/>
              </w:rPr>
              <w:t xml:space="preserve">Ministry of Environment and Water has concluded that, “according to the relevant legal provisions, environmental assessment is not required for the Bulgarian NUTS II regions included in the eligible area of the Black Sea Basin ENI CBC Programme 2014-2020, the implementation of which is unlikely to have a significant negative impact on the environment and human health.” The decision was made based on two conditions related to environmental impact assessment where necessary and good water status and management of flood risk. These conditions have been included in the </w:t>
            </w:r>
            <w:r w:rsidR="004725B0" w:rsidRPr="001368E0">
              <w:rPr>
                <w:sz w:val="22"/>
                <w:szCs w:val="22"/>
                <w:lang w:val="en-GB"/>
              </w:rPr>
              <w:t xml:space="preserve">SEA report and reflected in the </w:t>
            </w:r>
            <w:r w:rsidRPr="001368E0">
              <w:rPr>
                <w:sz w:val="22"/>
                <w:szCs w:val="22"/>
                <w:lang w:val="en-GB"/>
              </w:rPr>
              <w:t xml:space="preserve">relevant part of the programme strategy. </w:t>
            </w:r>
          </w:p>
        </w:tc>
      </w:tr>
      <w:tr w:rsidR="00E017DD" w:rsidRPr="001368E0" w:rsidTr="001368E0">
        <w:trPr>
          <w:trHeight w:val="584"/>
        </w:trPr>
        <w:tc>
          <w:tcPr>
            <w:tcW w:w="1408" w:type="dxa"/>
            <w:shd w:val="clear" w:color="auto" w:fill="auto"/>
            <w:hideMark/>
          </w:tcPr>
          <w:p w:rsidR="00E017DD" w:rsidRPr="001368E0" w:rsidRDefault="00E017DD" w:rsidP="001368E0">
            <w:pPr>
              <w:spacing w:before="40" w:after="0" w:line="240" w:lineRule="auto"/>
              <w:jc w:val="both"/>
              <w:rPr>
                <w:bCs/>
                <w:sz w:val="22"/>
                <w:szCs w:val="22"/>
                <w:lang w:val="lv-LV"/>
              </w:rPr>
            </w:pPr>
            <w:r w:rsidRPr="001368E0">
              <w:rPr>
                <w:bCs/>
                <w:sz w:val="22"/>
                <w:szCs w:val="22"/>
                <w:lang w:val="lv-LV"/>
              </w:rPr>
              <w:t>Ukraine</w:t>
            </w:r>
          </w:p>
        </w:tc>
        <w:tc>
          <w:tcPr>
            <w:tcW w:w="9615" w:type="dxa"/>
            <w:shd w:val="clear" w:color="auto" w:fill="auto"/>
            <w:hideMark/>
          </w:tcPr>
          <w:p w:rsidR="00E017DD" w:rsidRPr="001368E0" w:rsidRDefault="00E017DD" w:rsidP="001368E0">
            <w:pPr>
              <w:spacing w:before="40" w:after="0" w:line="240" w:lineRule="auto"/>
              <w:jc w:val="both"/>
              <w:rPr>
                <w:bCs/>
                <w:sz w:val="22"/>
                <w:szCs w:val="22"/>
                <w:lang w:val="lv-LV"/>
              </w:rPr>
            </w:pPr>
            <w:r w:rsidRPr="001368E0">
              <w:rPr>
                <w:bCs/>
                <w:sz w:val="22"/>
                <w:szCs w:val="22"/>
                <w:lang w:val="lv-LV"/>
              </w:rPr>
              <w:t>Opinion pending</w:t>
            </w:r>
          </w:p>
        </w:tc>
      </w:tr>
    </w:tbl>
    <w:p w:rsidR="00E017DD" w:rsidRPr="003667D4" w:rsidRDefault="00E017DD" w:rsidP="00E017DD">
      <w:pPr>
        <w:spacing w:before="240" w:after="120"/>
        <w:rPr>
          <w:b/>
          <w:lang w:val="en-GB"/>
        </w:rPr>
      </w:pPr>
      <w:r w:rsidRPr="003667D4">
        <w:rPr>
          <w:b/>
          <w:lang w:val="en-GB"/>
        </w:rPr>
        <w:t>Overall conclusions</w:t>
      </w:r>
    </w:p>
    <w:p w:rsidR="00E017DD" w:rsidRPr="008C786C" w:rsidRDefault="00E017DD" w:rsidP="00E017DD">
      <w:pPr>
        <w:spacing w:before="120" w:after="0" w:line="252" w:lineRule="auto"/>
        <w:jc w:val="both"/>
        <w:rPr>
          <w:sz w:val="22"/>
          <w:szCs w:val="22"/>
          <w:lang w:val="en-GB"/>
        </w:rPr>
      </w:pPr>
      <w:r w:rsidRPr="00EA2776">
        <w:rPr>
          <w:sz w:val="22"/>
          <w:szCs w:val="22"/>
          <w:lang w:val="en-GB"/>
        </w:rPr>
        <w:t>Based on the assessment of the BSB programme using criteria for determining the likely significance of environm</w:t>
      </w:r>
      <w:r w:rsidR="00B95982">
        <w:rPr>
          <w:sz w:val="22"/>
          <w:szCs w:val="22"/>
          <w:lang w:val="en-GB"/>
        </w:rPr>
        <w:t xml:space="preserve">ental effects (according to </w:t>
      </w:r>
      <w:r w:rsidRPr="00EA2776">
        <w:rPr>
          <w:sz w:val="22"/>
          <w:szCs w:val="22"/>
          <w:lang w:val="en-GB"/>
        </w:rPr>
        <w:t>Annex II of the SEA Directive), and taking into account the opinions received from the environmental authorities of the participating countries, it is concluded that the programme is not likely to have significant environmental effects in the regions eligible for the prog</w:t>
      </w:r>
      <w:r w:rsidR="008C786C">
        <w:rPr>
          <w:sz w:val="22"/>
          <w:szCs w:val="22"/>
          <w:lang w:val="en-GB"/>
        </w:rPr>
        <w:t>ramme for the following reasons (full details can be found in the report on the SEA process in annex)</w:t>
      </w:r>
      <w:r w:rsidR="008C786C" w:rsidRPr="00FC22D2">
        <w:rPr>
          <w:sz w:val="22"/>
          <w:szCs w:val="22"/>
          <w:lang w:val="en-GB"/>
        </w:rPr>
        <w:t>:</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The programme allocates financing and sets the framework for the projects a</w:t>
      </w:r>
      <w:r w:rsidR="00AB739E">
        <w:rPr>
          <w:sz w:val="22"/>
          <w:szCs w:val="22"/>
          <w:lang w:val="en-GB"/>
        </w:rPr>
        <w:t>nd their operating conditions (‘</w:t>
      </w:r>
      <w:r w:rsidRPr="00EA2776">
        <w:rPr>
          <w:sz w:val="22"/>
          <w:szCs w:val="22"/>
          <w:lang w:val="en-GB"/>
        </w:rPr>
        <w:t>soft’ type of projects with limited investments in equipment)</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 xml:space="preserve">The programme has no </w:t>
      </w:r>
      <w:r w:rsidR="00AB739E">
        <w:rPr>
          <w:sz w:val="22"/>
          <w:szCs w:val="22"/>
          <w:lang w:val="en-GB"/>
        </w:rPr>
        <w:t xml:space="preserve">direct </w:t>
      </w:r>
      <w:r w:rsidRPr="00EA2776">
        <w:rPr>
          <w:sz w:val="22"/>
          <w:szCs w:val="22"/>
          <w:lang w:val="en-GB"/>
        </w:rPr>
        <w:t>influence on the other plans or programmes</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Integration of environmental considerations is stipulated in the JOP; relevant project selection criteria will be applied</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environmental problems relevant to the</w:t>
      </w:r>
      <w:r w:rsidR="00B95982">
        <w:rPr>
          <w:sz w:val="22"/>
          <w:szCs w:val="22"/>
          <w:lang w:val="en-GB"/>
        </w:rPr>
        <w:t xml:space="preserve"> programme have been identified</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The programme is not</w:t>
      </w:r>
      <w:r w:rsidR="00AB739E">
        <w:rPr>
          <w:sz w:val="22"/>
          <w:szCs w:val="22"/>
          <w:lang w:val="en-GB"/>
        </w:rPr>
        <w:t xml:space="preserve"> directly</w:t>
      </w:r>
      <w:r w:rsidRPr="00EA2776">
        <w:rPr>
          <w:sz w:val="22"/>
          <w:szCs w:val="22"/>
          <w:lang w:val="en-GB"/>
        </w:rPr>
        <w:t xml:space="preserve"> relevant for the implementation of Community legislation on the environment</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direct or cumulative effects on environment are expected, while some indirect positive impact</w:t>
      </w:r>
      <w:r w:rsidR="00CD1ADF">
        <w:rPr>
          <w:sz w:val="22"/>
          <w:szCs w:val="22"/>
          <w:lang w:val="en-GB"/>
        </w:rPr>
        <w:t xml:space="preserve"> is</w:t>
      </w:r>
      <w:r w:rsidRPr="00EA2776">
        <w:rPr>
          <w:sz w:val="22"/>
          <w:szCs w:val="22"/>
          <w:lang w:val="en-GB"/>
        </w:rPr>
        <w:t xml:space="preserve"> estimated in the whole programme area affecting the entire population</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ENI CBC is promoting cooperation across the borders, however, no direct trans-boundary environmental effects are expected</w:t>
      </w:r>
    </w:p>
    <w:p w:rsidR="00E017DD"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risks to human health or the environment have been identified</w:t>
      </w:r>
    </w:p>
    <w:p w:rsidR="00BD0C70" w:rsidRPr="00BD0C70" w:rsidRDefault="00BD0C70" w:rsidP="002E0D54">
      <w:pPr>
        <w:pStyle w:val="ListParagraph"/>
        <w:numPr>
          <w:ilvl w:val="0"/>
          <w:numId w:val="60"/>
        </w:numPr>
        <w:spacing w:before="120" w:after="0" w:line="252" w:lineRule="auto"/>
        <w:jc w:val="both"/>
        <w:rPr>
          <w:sz w:val="22"/>
          <w:szCs w:val="22"/>
          <w:lang w:val="en-GB"/>
        </w:rPr>
      </w:pPr>
      <w:r w:rsidRPr="00BD0C70">
        <w:rPr>
          <w:sz w:val="22"/>
          <w:szCs w:val="22"/>
          <w:lang w:val="en-GB"/>
        </w:rPr>
        <w:t xml:space="preserve">In regard to the magnitude and spatial extent of effects, indirect positive impact </w:t>
      </w:r>
      <w:r w:rsidR="00CD1ADF">
        <w:rPr>
          <w:sz w:val="22"/>
          <w:szCs w:val="22"/>
          <w:lang w:val="en-GB"/>
        </w:rPr>
        <w:t xml:space="preserve">is </w:t>
      </w:r>
      <w:r w:rsidRPr="00BD0C70">
        <w:rPr>
          <w:sz w:val="22"/>
          <w:szCs w:val="22"/>
          <w:lang w:val="en-GB"/>
        </w:rPr>
        <w:t xml:space="preserve">estimated in </w:t>
      </w:r>
      <w:r w:rsidR="00CD1ADF">
        <w:rPr>
          <w:sz w:val="22"/>
          <w:szCs w:val="22"/>
          <w:lang w:val="en-GB"/>
        </w:rPr>
        <w:t xml:space="preserve">the </w:t>
      </w:r>
      <w:r w:rsidRPr="00BD0C70">
        <w:rPr>
          <w:sz w:val="22"/>
          <w:szCs w:val="22"/>
          <w:lang w:val="en-GB"/>
        </w:rPr>
        <w:t>whole programme area affecting the entire population</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vulnerable areas will be directly affected. Intensification of the tourism related activities might potentially lead to an increased pressure on the vulnerable nature areas and cultural heritage objects. To eliminate this potential risk the project applicants will have to carry out the vulnerability assessment of their projects prior to applying for financing</w:t>
      </w:r>
    </w:p>
    <w:p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direct effects on the landscape are expected</w:t>
      </w:r>
    </w:p>
    <w:p w:rsidR="00E017DD" w:rsidRPr="00197A31" w:rsidRDefault="00E017DD" w:rsidP="00E017DD">
      <w:pPr>
        <w:spacing w:before="120" w:after="0" w:line="252" w:lineRule="auto"/>
        <w:jc w:val="both"/>
        <w:rPr>
          <w:i/>
          <w:sz w:val="22"/>
          <w:szCs w:val="22"/>
          <w:lang w:val="en-GB"/>
        </w:rPr>
      </w:pPr>
      <w:r w:rsidRPr="00EA2776">
        <w:rPr>
          <w:sz w:val="22"/>
          <w:szCs w:val="22"/>
          <w:lang w:val="en-GB"/>
        </w:rPr>
        <w:t xml:space="preserve">Therefore it can be concluded that the regulatory requirements of the SEA directive have been fulfilled in the case of the Black Sea Basin ENI CBC programme, in accordance with national legislation and the guidance on the subject provided by the EC. The nominated environmental authorities in the participating countries have been consulted and it is severally and jointly the opinion of the participating countries that the programme is not likely to have a significant effect on the environment of the regions eligible for the programme </w:t>
      </w:r>
      <w:r w:rsidRPr="00197A31">
        <w:rPr>
          <w:i/>
          <w:sz w:val="22"/>
          <w:szCs w:val="22"/>
          <w:lang w:val="en-GB"/>
        </w:rPr>
        <w:t xml:space="preserve">(to be updated following input from Ukraine).  </w:t>
      </w:r>
    </w:p>
    <w:p w:rsidR="00E017DD" w:rsidRPr="00197A31" w:rsidRDefault="00E017DD" w:rsidP="00E017DD">
      <w:pPr>
        <w:spacing w:before="120" w:after="0" w:line="252" w:lineRule="auto"/>
        <w:jc w:val="both"/>
        <w:rPr>
          <w:sz w:val="22"/>
          <w:szCs w:val="22"/>
          <w:lang w:val="en-GB"/>
        </w:rPr>
      </w:pPr>
    </w:p>
    <w:p w:rsidR="00E017DD" w:rsidRPr="001368E0" w:rsidRDefault="00E017DD" w:rsidP="00E017DD">
      <w:pPr>
        <w:spacing w:after="60" w:line="264" w:lineRule="auto"/>
        <w:jc w:val="both"/>
        <w:rPr>
          <w:i/>
          <w:color w:val="983620"/>
          <w:sz w:val="22"/>
          <w:szCs w:val="22"/>
          <w:lang w:val="en-GB"/>
        </w:rPr>
      </w:pPr>
    </w:p>
    <w:p w:rsidR="00EE745F" w:rsidRPr="00197A31" w:rsidRDefault="00EE745F" w:rsidP="00EE745F">
      <w:pPr>
        <w:pStyle w:val="Heading3"/>
        <w:spacing w:before="200" w:line="264" w:lineRule="auto"/>
        <w:rPr>
          <w:b/>
          <w:sz w:val="28"/>
          <w:szCs w:val="28"/>
          <w:lang w:val="en-GB"/>
        </w:rPr>
      </w:pPr>
      <w:bookmarkStart w:id="128" w:name="_Toc288133474"/>
      <w:r w:rsidRPr="00197A31">
        <w:rPr>
          <w:b/>
          <w:sz w:val="28"/>
          <w:szCs w:val="28"/>
          <w:lang w:val="en-GB"/>
        </w:rPr>
        <w:t>Financial plan</w:t>
      </w:r>
      <w:bookmarkEnd w:id="119"/>
      <w:bookmarkEnd w:id="120"/>
      <w:bookmarkEnd w:id="128"/>
      <w:r w:rsidRPr="00197A31">
        <w:rPr>
          <w:b/>
          <w:sz w:val="28"/>
          <w:szCs w:val="28"/>
          <w:lang w:val="en-GB"/>
        </w:rPr>
        <w:t xml:space="preserve"> </w:t>
      </w:r>
      <w:bookmarkEnd w:id="127"/>
    </w:p>
    <w:p w:rsidR="00EE745F" w:rsidRPr="001368E0" w:rsidRDefault="00EE745F" w:rsidP="00EE745F">
      <w:pPr>
        <w:spacing w:after="60" w:line="264" w:lineRule="auto"/>
        <w:jc w:val="both"/>
        <w:rPr>
          <w:i/>
          <w:color w:val="983620"/>
          <w:sz w:val="22"/>
          <w:szCs w:val="22"/>
          <w:lang w:val="en-GB"/>
        </w:rPr>
      </w:pPr>
      <w:r w:rsidRPr="001368E0">
        <w:rPr>
          <w:i/>
          <w:color w:val="983620"/>
          <w:sz w:val="22"/>
          <w:szCs w:val="22"/>
          <w:lang w:val="en-GB"/>
        </w:rPr>
        <w:t>An indicative financial plan</w:t>
      </w:r>
      <w:r w:rsidR="00A5165F" w:rsidRPr="001368E0">
        <w:rPr>
          <w:i/>
          <w:color w:val="983620"/>
          <w:sz w:val="22"/>
          <w:szCs w:val="22"/>
          <w:lang w:val="en-GB"/>
        </w:rPr>
        <w:t xml:space="preserve"> (to be drafted by MA)</w:t>
      </w:r>
      <w:r w:rsidRPr="001368E0">
        <w:rPr>
          <w:i/>
          <w:color w:val="983620"/>
          <w:sz w:val="22"/>
          <w:szCs w:val="22"/>
          <w:lang w:val="en-GB"/>
        </w:rPr>
        <w:t xml:space="preserve"> containing two tables (without any divi</w:t>
      </w:r>
      <w:r w:rsidR="00013E5E" w:rsidRPr="001368E0">
        <w:rPr>
          <w:i/>
          <w:color w:val="983620"/>
          <w:sz w:val="22"/>
          <w:szCs w:val="22"/>
          <w:lang w:val="en-GB"/>
        </w:rPr>
        <w:t>sion per participating country):</w:t>
      </w:r>
    </w:p>
    <w:p w:rsidR="00EE745F" w:rsidRPr="001368E0" w:rsidRDefault="00EE745F" w:rsidP="00EE745F">
      <w:pPr>
        <w:pStyle w:val="ListParagraph"/>
        <w:numPr>
          <w:ilvl w:val="0"/>
          <w:numId w:val="28"/>
        </w:numPr>
        <w:spacing w:after="60" w:line="264" w:lineRule="auto"/>
        <w:jc w:val="both"/>
        <w:rPr>
          <w:i/>
          <w:color w:val="983620"/>
          <w:sz w:val="22"/>
          <w:szCs w:val="22"/>
          <w:lang w:val="en-GB"/>
        </w:rPr>
      </w:pPr>
      <w:r w:rsidRPr="001368E0">
        <w:rPr>
          <w:i/>
          <w:color w:val="983620"/>
          <w:sz w:val="22"/>
          <w:szCs w:val="22"/>
          <w:lang w:val="en-GB"/>
        </w:rPr>
        <w:t>a table specifying the yearly provisional financial appropriations for commitments and payments envisaged for the support from the Union for each thematic objective and technical assistance. The first year's appropriations shall include the costs for preparatory actions pursuant to Article 16</w:t>
      </w:r>
    </w:p>
    <w:p w:rsidR="006A18F1" w:rsidRPr="001368E0" w:rsidRDefault="006A18F1" w:rsidP="006A18F1">
      <w:pPr>
        <w:pStyle w:val="ListParagraph"/>
        <w:spacing w:after="60" w:line="264" w:lineRule="auto"/>
        <w:jc w:val="both"/>
        <w:rPr>
          <w:i/>
          <w:color w:val="983620"/>
          <w:sz w:val="22"/>
          <w:szCs w:val="22"/>
          <w:highlight w:val="green"/>
          <w:lang w:val="en-GB"/>
        </w:rPr>
      </w:pPr>
    </w:p>
    <w:p w:rsidR="00361EB2" w:rsidRPr="006A18F1" w:rsidRDefault="00B63CB7" w:rsidP="006A18F1">
      <w:pPr>
        <w:spacing w:after="60" w:line="264" w:lineRule="auto"/>
        <w:jc w:val="both"/>
        <w:rPr>
          <w:sz w:val="22"/>
          <w:szCs w:val="22"/>
          <w:lang w:val="en-GB"/>
        </w:rPr>
      </w:pPr>
      <w:r w:rsidRPr="006A18F1">
        <w:rPr>
          <w:sz w:val="22"/>
          <w:szCs w:val="22"/>
          <w:lang w:val="en-GB"/>
        </w:rPr>
        <w:t>T</w:t>
      </w:r>
      <w:r w:rsidR="009D4A0C" w:rsidRPr="006A18F1">
        <w:rPr>
          <w:sz w:val="22"/>
          <w:szCs w:val="22"/>
          <w:lang w:val="en-GB"/>
        </w:rPr>
        <w:t>he t</w:t>
      </w:r>
      <w:r w:rsidR="00EE745F" w:rsidRPr="006A18F1">
        <w:rPr>
          <w:sz w:val="22"/>
          <w:szCs w:val="22"/>
          <w:lang w:val="en-GB"/>
        </w:rPr>
        <w:t xml:space="preserve">able specifying the provisional amounts of the financial appropriations of the support from the </w:t>
      </w:r>
      <w:r w:rsidR="000935DB">
        <w:rPr>
          <w:sz w:val="22"/>
          <w:szCs w:val="22"/>
          <w:lang w:val="en-GB"/>
        </w:rPr>
        <w:t xml:space="preserve">European </w:t>
      </w:r>
      <w:r w:rsidR="00EE745F" w:rsidRPr="006A18F1">
        <w:rPr>
          <w:sz w:val="22"/>
          <w:szCs w:val="22"/>
          <w:lang w:val="en-GB"/>
        </w:rPr>
        <w:t>Union and co-financing for the whole programming period for each thematic objective and technical assistance</w:t>
      </w:r>
      <w:r w:rsidR="007F4E20" w:rsidRPr="006A18F1">
        <w:rPr>
          <w:sz w:val="22"/>
          <w:szCs w:val="22"/>
          <w:lang w:val="en-GB"/>
        </w:rPr>
        <w:t xml:space="preserve"> </w:t>
      </w:r>
      <w:r w:rsidR="009D4A0C" w:rsidRPr="006A18F1">
        <w:rPr>
          <w:sz w:val="22"/>
          <w:szCs w:val="22"/>
          <w:lang w:val="en-GB"/>
        </w:rPr>
        <w:t xml:space="preserve">is </w:t>
      </w:r>
      <w:r w:rsidR="007F4E20" w:rsidRPr="006A18F1">
        <w:rPr>
          <w:sz w:val="22"/>
          <w:szCs w:val="22"/>
          <w:lang w:val="en-GB"/>
        </w:rPr>
        <w:t>inserted below</w:t>
      </w:r>
      <w:r w:rsidR="006A18F1">
        <w:rPr>
          <w:sz w:val="22"/>
          <w:szCs w:val="22"/>
          <w:lang w:val="en-GB"/>
        </w:rPr>
        <w:t>.</w:t>
      </w:r>
    </w:p>
    <w:p w:rsidR="005A07DB" w:rsidRPr="001368E0" w:rsidRDefault="005A07DB" w:rsidP="005A07DB">
      <w:pPr>
        <w:pStyle w:val="ListParagraph"/>
        <w:spacing w:after="60" w:line="264" w:lineRule="auto"/>
        <w:jc w:val="both"/>
        <w:rPr>
          <w:i/>
          <w:color w:val="983620"/>
          <w:sz w:val="22"/>
          <w:szCs w:val="22"/>
          <w:highlight w:val="yellow"/>
          <w:lang w:val="en-GB"/>
        </w:rPr>
      </w:pPr>
    </w:p>
    <w:tbl>
      <w:tblPr>
        <w:tblW w:w="0" w:type="auto"/>
        <w:tblBorders>
          <w:top w:val="single" w:sz="8" w:space="0" w:color="4B5A60"/>
          <w:left w:val="single" w:sz="8" w:space="0" w:color="4B5A60"/>
          <w:bottom w:val="single" w:sz="8" w:space="0" w:color="4B5A60"/>
          <w:right w:val="single" w:sz="8" w:space="0" w:color="4B5A60"/>
          <w:insideH w:val="single" w:sz="8" w:space="0" w:color="4B5A60"/>
          <w:insideV w:val="single" w:sz="8" w:space="0" w:color="4B5A60"/>
        </w:tblBorders>
        <w:tblLayout w:type="fixed"/>
        <w:tblLook w:val="04A0"/>
      </w:tblPr>
      <w:tblGrid>
        <w:gridCol w:w="1384"/>
        <w:gridCol w:w="1985"/>
        <w:gridCol w:w="1842"/>
        <w:gridCol w:w="1843"/>
        <w:gridCol w:w="1985"/>
        <w:gridCol w:w="2056"/>
      </w:tblGrid>
      <w:tr w:rsidR="002E0E65" w:rsidRPr="001368E0" w:rsidTr="001368E0">
        <w:trPr>
          <w:trHeight w:val="260"/>
        </w:trPr>
        <w:tc>
          <w:tcPr>
            <w:tcW w:w="11095" w:type="dxa"/>
            <w:gridSpan w:val="6"/>
            <w:shd w:val="clear" w:color="auto" w:fill="auto"/>
            <w:noWrap/>
            <w:hideMark/>
          </w:tcPr>
          <w:p w:rsidR="002E0E65" w:rsidRPr="001368E0" w:rsidRDefault="002E0E65" w:rsidP="001368E0">
            <w:pPr>
              <w:spacing w:before="120" w:after="120" w:line="264" w:lineRule="auto"/>
              <w:contextualSpacing/>
              <w:jc w:val="both"/>
              <w:rPr>
                <w:rFonts w:cs="ArialMT"/>
                <w:b/>
                <w:bCs/>
                <w:iCs/>
                <w:sz w:val="22"/>
                <w:szCs w:val="22"/>
                <w:lang w:val="en-GB"/>
              </w:rPr>
            </w:pPr>
            <w:r w:rsidRPr="001368E0">
              <w:rPr>
                <w:rFonts w:cs="ArialMT"/>
                <w:b/>
                <w:bCs/>
                <w:iCs/>
                <w:sz w:val="22"/>
                <w:szCs w:val="22"/>
                <w:lang w:val="en-GB"/>
              </w:rPr>
              <w:t>Provisional amounts of the financial appropriations for each thematic objective</w:t>
            </w:r>
            <w:r w:rsidR="00716D3E" w:rsidRPr="001368E0">
              <w:rPr>
                <w:rFonts w:cs="ArialMT"/>
                <w:b/>
                <w:bCs/>
                <w:iCs/>
                <w:sz w:val="22"/>
                <w:szCs w:val="22"/>
                <w:lang w:val="en-GB"/>
              </w:rPr>
              <w:t xml:space="preserve"> and technical assistance (EUR)</w:t>
            </w:r>
            <w:r w:rsidRPr="001368E0">
              <w:rPr>
                <w:rFonts w:cs="ArialMT"/>
                <w:b/>
                <w:bCs/>
                <w:iCs/>
                <w:sz w:val="22"/>
                <w:szCs w:val="22"/>
                <w:lang w:val="en-GB"/>
              </w:rPr>
              <w:t xml:space="preserve"> </w:t>
            </w:r>
          </w:p>
        </w:tc>
      </w:tr>
      <w:tr w:rsidR="002E0E65" w:rsidRPr="001368E0" w:rsidTr="001368E0">
        <w:trPr>
          <w:trHeight w:val="778"/>
        </w:trPr>
        <w:tc>
          <w:tcPr>
            <w:tcW w:w="1384" w:type="dxa"/>
            <w:shd w:val="clear" w:color="auto" w:fill="auto"/>
            <w:hideMark/>
          </w:tcPr>
          <w:p w:rsidR="002E0E65" w:rsidRPr="001368E0" w:rsidRDefault="002E0E65" w:rsidP="001368E0">
            <w:pPr>
              <w:spacing w:before="120" w:after="0" w:line="264" w:lineRule="auto"/>
              <w:contextualSpacing/>
              <w:rPr>
                <w:rFonts w:cs="ArialMT"/>
                <w:b/>
                <w:bCs/>
                <w:sz w:val="22"/>
                <w:szCs w:val="22"/>
                <w:lang w:val="en-GB"/>
              </w:rPr>
            </w:pPr>
            <w:r w:rsidRPr="001368E0">
              <w:rPr>
                <w:rFonts w:cs="ArialMT"/>
                <w:b/>
                <w:bCs/>
                <w:sz w:val="22"/>
                <w:szCs w:val="22"/>
                <w:lang w:val="en-GB"/>
              </w:rPr>
              <w:t> </w:t>
            </w:r>
          </w:p>
        </w:tc>
        <w:tc>
          <w:tcPr>
            <w:tcW w:w="1985" w:type="dxa"/>
            <w:shd w:val="clear" w:color="auto" w:fill="auto"/>
            <w:hideMark/>
          </w:tcPr>
          <w:p w:rsidR="002E0E65" w:rsidRPr="001368E0" w:rsidRDefault="002E0E65" w:rsidP="001368E0">
            <w:pPr>
              <w:spacing w:before="120" w:after="0" w:line="264" w:lineRule="auto"/>
              <w:contextualSpacing/>
              <w:rPr>
                <w:rFonts w:cs="ArialMT"/>
                <w:b/>
                <w:bCs/>
                <w:sz w:val="22"/>
                <w:szCs w:val="22"/>
              </w:rPr>
            </w:pPr>
            <w:r w:rsidRPr="001368E0">
              <w:rPr>
                <w:rFonts w:cs="ArialMT"/>
                <w:b/>
                <w:bCs/>
                <w:sz w:val="22"/>
                <w:szCs w:val="22"/>
              </w:rPr>
              <w:t xml:space="preserve">ENI EU Funding  (a) </w:t>
            </w:r>
          </w:p>
        </w:tc>
        <w:tc>
          <w:tcPr>
            <w:tcW w:w="1842" w:type="dxa"/>
            <w:shd w:val="clear" w:color="auto" w:fill="auto"/>
            <w:hideMark/>
          </w:tcPr>
          <w:p w:rsidR="002E0E65" w:rsidRPr="001368E0" w:rsidRDefault="002E0E65" w:rsidP="001368E0">
            <w:pPr>
              <w:spacing w:before="120" w:after="0" w:line="264" w:lineRule="auto"/>
              <w:contextualSpacing/>
              <w:rPr>
                <w:rFonts w:cs="ArialMT"/>
                <w:b/>
                <w:bCs/>
                <w:sz w:val="22"/>
                <w:szCs w:val="22"/>
                <w:lang w:val="en-GB"/>
              </w:rPr>
            </w:pPr>
            <w:r w:rsidRPr="001368E0">
              <w:rPr>
                <w:rFonts w:cs="ArialMT"/>
                <w:b/>
                <w:bCs/>
                <w:sz w:val="22"/>
                <w:szCs w:val="22"/>
                <w:lang w:val="en-GB"/>
              </w:rPr>
              <w:t>Percentage rate from total (a)</w:t>
            </w:r>
            <w:r w:rsidRPr="001368E0">
              <w:rPr>
                <w:rFonts w:cs="ArialMT"/>
                <w:b/>
                <w:bCs/>
                <w:sz w:val="22"/>
                <w:szCs w:val="22"/>
                <w:lang w:val="en-GB"/>
              </w:rPr>
              <w:br/>
              <w:t>(b)</w:t>
            </w:r>
          </w:p>
        </w:tc>
        <w:tc>
          <w:tcPr>
            <w:tcW w:w="1843" w:type="dxa"/>
            <w:shd w:val="clear" w:color="auto" w:fill="auto"/>
            <w:hideMark/>
          </w:tcPr>
          <w:p w:rsidR="002E0E65" w:rsidRPr="001368E0" w:rsidRDefault="002E0E65" w:rsidP="001368E0">
            <w:pPr>
              <w:spacing w:before="120" w:after="0" w:line="264" w:lineRule="auto"/>
              <w:contextualSpacing/>
              <w:rPr>
                <w:rFonts w:cs="ArialMT"/>
                <w:b/>
                <w:bCs/>
                <w:sz w:val="22"/>
                <w:szCs w:val="22"/>
              </w:rPr>
            </w:pPr>
            <w:r w:rsidRPr="001368E0">
              <w:rPr>
                <w:rFonts w:cs="ArialMT"/>
                <w:b/>
                <w:bCs/>
                <w:sz w:val="22"/>
                <w:szCs w:val="22"/>
              </w:rPr>
              <w:t>Co-financing (c)</w:t>
            </w:r>
          </w:p>
        </w:tc>
        <w:tc>
          <w:tcPr>
            <w:tcW w:w="1985" w:type="dxa"/>
            <w:shd w:val="clear" w:color="auto" w:fill="auto"/>
            <w:hideMark/>
          </w:tcPr>
          <w:p w:rsidR="002E0E65" w:rsidRPr="001368E0" w:rsidRDefault="002E0E65" w:rsidP="001368E0">
            <w:pPr>
              <w:spacing w:before="120" w:after="0" w:line="264" w:lineRule="auto"/>
              <w:contextualSpacing/>
              <w:rPr>
                <w:rFonts w:cs="ArialMT"/>
                <w:b/>
                <w:bCs/>
                <w:sz w:val="22"/>
                <w:szCs w:val="22"/>
                <w:lang w:val="en-GB"/>
              </w:rPr>
            </w:pPr>
            <w:r w:rsidRPr="001368E0">
              <w:rPr>
                <w:rFonts w:cs="ArialMT"/>
                <w:b/>
                <w:bCs/>
                <w:sz w:val="22"/>
                <w:szCs w:val="22"/>
                <w:lang w:val="en-GB"/>
              </w:rPr>
              <w:t xml:space="preserve">ENI Co-financing rate (in %) (d) </w:t>
            </w:r>
          </w:p>
        </w:tc>
        <w:tc>
          <w:tcPr>
            <w:tcW w:w="2056" w:type="dxa"/>
            <w:shd w:val="clear" w:color="auto" w:fill="auto"/>
            <w:hideMark/>
          </w:tcPr>
          <w:p w:rsidR="002E0E65" w:rsidRPr="001368E0" w:rsidRDefault="002E0E65" w:rsidP="001368E0">
            <w:pPr>
              <w:spacing w:before="120" w:after="0" w:line="264" w:lineRule="auto"/>
              <w:contextualSpacing/>
              <w:rPr>
                <w:rFonts w:cs="ArialMT"/>
                <w:b/>
                <w:bCs/>
                <w:sz w:val="22"/>
                <w:szCs w:val="22"/>
                <w:lang w:val="en-GB"/>
              </w:rPr>
            </w:pPr>
            <w:r w:rsidRPr="001368E0">
              <w:rPr>
                <w:rFonts w:cs="ArialMT"/>
                <w:b/>
                <w:bCs/>
                <w:sz w:val="22"/>
                <w:szCs w:val="22"/>
                <w:lang w:val="en-GB"/>
              </w:rPr>
              <w:t>Total funding (e) = (a)+(c)</w:t>
            </w:r>
          </w:p>
        </w:tc>
      </w:tr>
      <w:tr w:rsidR="002E0E65" w:rsidRPr="001368E0" w:rsidTr="001368E0">
        <w:trPr>
          <w:trHeight w:val="260"/>
        </w:trPr>
        <w:tc>
          <w:tcPr>
            <w:tcW w:w="1384" w:type="dxa"/>
            <w:shd w:val="clear" w:color="auto" w:fill="auto"/>
            <w:hideMark/>
          </w:tcPr>
          <w:p w:rsidR="002E0E65" w:rsidRPr="001368E0" w:rsidRDefault="002E0E65" w:rsidP="001368E0">
            <w:pPr>
              <w:spacing w:before="120" w:after="120" w:line="264" w:lineRule="auto"/>
              <w:contextualSpacing/>
              <w:jc w:val="both"/>
              <w:rPr>
                <w:rFonts w:cs="ArialMT"/>
                <w:b/>
                <w:bCs/>
                <w:sz w:val="22"/>
                <w:szCs w:val="22"/>
              </w:rPr>
            </w:pPr>
            <w:r w:rsidRPr="001368E0">
              <w:rPr>
                <w:rFonts w:cs="ArialMT"/>
                <w:b/>
                <w:bCs/>
                <w:sz w:val="22"/>
                <w:szCs w:val="22"/>
              </w:rPr>
              <w:t>Thematic Objective 1</w:t>
            </w:r>
          </w:p>
        </w:tc>
        <w:tc>
          <w:tcPr>
            <w:tcW w:w="1985"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25 337 752,20</w:t>
            </w:r>
          </w:p>
        </w:tc>
        <w:tc>
          <w:tcPr>
            <w:tcW w:w="1842" w:type="dxa"/>
            <w:shd w:val="clear" w:color="auto" w:fill="auto"/>
            <w:noWrap/>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51,67%</w:t>
            </w:r>
          </w:p>
        </w:tc>
        <w:tc>
          <w:tcPr>
            <w:tcW w:w="1843"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2 815 305,80</w:t>
            </w:r>
          </w:p>
        </w:tc>
        <w:tc>
          <w:tcPr>
            <w:tcW w:w="1985"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90%</w:t>
            </w:r>
          </w:p>
        </w:tc>
        <w:tc>
          <w:tcPr>
            <w:tcW w:w="2056"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28 153 058,00</w:t>
            </w:r>
          </w:p>
        </w:tc>
      </w:tr>
      <w:tr w:rsidR="002E0E65" w:rsidRPr="001368E0" w:rsidTr="001368E0">
        <w:trPr>
          <w:trHeight w:val="260"/>
        </w:trPr>
        <w:tc>
          <w:tcPr>
            <w:tcW w:w="1384" w:type="dxa"/>
            <w:shd w:val="clear" w:color="auto" w:fill="auto"/>
            <w:hideMark/>
          </w:tcPr>
          <w:p w:rsidR="002E0E65" w:rsidRPr="001368E0" w:rsidRDefault="002E0E65" w:rsidP="001368E0">
            <w:pPr>
              <w:spacing w:before="120" w:after="120" w:line="264" w:lineRule="auto"/>
              <w:contextualSpacing/>
              <w:jc w:val="both"/>
              <w:rPr>
                <w:rFonts w:cs="ArialMT"/>
                <w:b/>
                <w:bCs/>
                <w:sz w:val="22"/>
                <w:szCs w:val="22"/>
              </w:rPr>
            </w:pPr>
            <w:r w:rsidRPr="001368E0">
              <w:rPr>
                <w:rFonts w:cs="ArialMT"/>
                <w:b/>
                <w:bCs/>
                <w:sz w:val="22"/>
                <w:szCs w:val="22"/>
              </w:rPr>
              <w:t>Thematic Objective 2</w:t>
            </w:r>
          </w:p>
        </w:tc>
        <w:tc>
          <w:tcPr>
            <w:tcW w:w="1985"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18 796 985,10</w:t>
            </w:r>
          </w:p>
        </w:tc>
        <w:tc>
          <w:tcPr>
            <w:tcW w:w="1842" w:type="dxa"/>
            <w:shd w:val="clear" w:color="auto" w:fill="auto"/>
            <w:noWrap/>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38,33%</w:t>
            </w:r>
          </w:p>
        </w:tc>
        <w:tc>
          <w:tcPr>
            <w:tcW w:w="1843"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2 088 553,90</w:t>
            </w:r>
          </w:p>
        </w:tc>
        <w:tc>
          <w:tcPr>
            <w:tcW w:w="1985"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90%</w:t>
            </w:r>
          </w:p>
        </w:tc>
        <w:tc>
          <w:tcPr>
            <w:tcW w:w="2056"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20 885 539,00</w:t>
            </w:r>
          </w:p>
        </w:tc>
      </w:tr>
      <w:tr w:rsidR="002E0E65" w:rsidRPr="001368E0" w:rsidTr="001368E0">
        <w:trPr>
          <w:trHeight w:val="260"/>
        </w:trPr>
        <w:tc>
          <w:tcPr>
            <w:tcW w:w="1384" w:type="dxa"/>
            <w:shd w:val="clear" w:color="auto" w:fill="auto"/>
            <w:hideMark/>
          </w:tcPr>
          <w:p w:rsidR="002E0E65" w:rsidRPr="001368E0" w:rsidRDefault="002E0E65" w:rsidP="001368E0">
            <w:pPr>
              <w:spacing w:before="120" w:after="120" w:line="264" w:lineRule="auto"/>
              <w:contextualSpacing/>
              <w:jc w:val="both"/>
              <w:rPr>
                <w:rFonts w:cs="ArialMT"/>
                <w:b/>
                <w:bCs/>
                <w:sz w:val="22"/>
                <w:szCs w:val="22"/>
              </w:rPr>
            </w:pPr>
            <w:r w:rsidRPr="001368E0">
              <w:rPr>
                <w:rFonts w:cs="ArialMT"/>
                <w:b/>
                <w:bCs/>
                <w:sz w:val="22"/>
                <w:szCs w:val="22"/>
              </w:rPr>
              <w:t>Technical Assistance</w:t>
            </w:r>
          </w:p>
        </w:tc>
        <w:tc>
          <w:tcPr>
            <w:tcW w:w="1985"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4 903 859,70</w:t>
            </w:r>
          </w:p>
        </w:tc>
        <w:tc>
          <w:tcPr>
            <w:tcW w:w="1842" w:type="dxa"/>
            <w:shd w:val="clear" w:color="auto" w:fill="auto"/>
            <w:noWrap/>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10,00%</w:t>
            </w:r>
          </w:p>
        </w:tc>
        <w:tc>
          <w:tcPr>
            <w:tcW w:w="1843"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0,00</w:t>
            </w:r>
          </w:p>
        </w:tc>
        <w:tc>
          <w:tcPr>
            <w:tcW w:w="1985"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100%</w:t>
            </w:r>
          </w:p>
        </w:tc>
        <w:tc>
          <w:tcPr>
            <w:tcW w:w="2056" w:type="dxa"/>
            <w:shd w:val="clear" w:color="auto" w:fill="auto"/>
            <w:hideMark/>
          </w:tcPr>
          <w:p w:rsidR="002E0E65" w:rsidRPr="001368E0" w:rsidRDefault="002E0E65" w:rsidP="001368E0">
            <w:pPr>
              <w:spacing w:before="120" w:after="120" w:line="264" w:lineRule="auto"/>
              <w:contextualSpacing/>
              <w:jc w:val="both"/>
              <w:rPr>
                <w:rFonts w:cs="ArialMT"/>
                <w:bCs/>
                <w:sz w:val="22"/>
                <w:szCs w:val="22"/>
              </w:rPr>
            </w:pPr>
            <w:r w:rsidRPr="001368E0">
              <w:rPr>
                <w:rFonts w:cs="ArialMT"/>
                <w:bCs/>
                <w:sz w:val="22"/>
                <w:szCs w:val="22"/>
              </w:rPr>
              <w:t>4 903 859,70</w:t>
            </w:r>
          </w:p>
        </w:tc>
      </w:tr>
      <w:tr w:rsidR="002E0E65" w:rsidRPr="001368E0" w:rsidTr="001368E0">
        <w:trPr>
          <w:trHeight w:val="260"/>
        </w:trPr>
        <w:tc>
          <w:tcPr>
            <w:tcW w:w="1384" w:type="dxa"/>
            <w:shd w:val="clear" w:color="auto" w:fill="auto"/>
            <w:hideMark/>
          </w:tcPr>
          <w:p w:rsidR="002E0E65" w:rsidRPr="001368E0" w:rsidRDefault="002E0E65" w:rsidP="001368E0">
            <w:pPr>
              <w:spacing w:before="120" w:after="120" w:line="264" w:lineRule="auto"/>
              <w:contextualSpacing/>
              <w:jc w:val="both"/>
              <w:rPr>
                <w:rFonts w:cs="ArialMT"/>
                <w:b/>
                <w:bCs/>
                <w:sz w:val="22"/>
                <w:szCs w:val="22"/>
              </w:rPr>
            </w:pPr>
            <w:r w:rsidRPr="001368E0">
              <w:rPr>
                <w:rFonts w:cs="ArialMT"/>
                <w:b/>
                <w:bCs/>
                <w:sz w:val="22"/>
                <w:szCs w:val="22"/>
              </w:rPr>
              <w:t>Total ENI</w:t>
            </w:r>
          </w:p>
        </w:tc>
        <w:tc>
          <w:tcPr>
            <w:tcW w:w="1985" w:type="dxa"/>
            <w:shd w:val="clear" w:color="auto" w:fill="auto"/>
            <w:hideMark/>
          </w:tcPr>
          <w:p w:rsidR="002E0E65" w:rsidRPr="001368E0" w:rsidRDefault="002E0E65" w:rsidP="001368E0">
            <w:pPr>
              <w:spacing w:before="120" w:after="120" w:line="264" w:lineRule="auto"/>
              <w:contextualSpacing/>
              <w:jc w:val="both"/>
              <w:rPr>
                <w:rFonts w:cs="ArialMT"/>
                <w:b/>
                <w:bCs/>
                <w:sz w:val="22"/>
                <w:szCs w:val="22"/>
              </w:rPr>
            </w:pPr>
            <w:r w:rsidRPr="001368E0">
              <w:rPr>
                <w:rFonts w:cs="ArialMT"/>
                <w:b/>
                <w:bCs/>
                <w:sz w:val="22"/>
                <w:szCs w:val="22"/>
              </w:rPr>
              <w:t>49 038 597,00</w:t>
            </w:r>
          </w:p>
        </w:tc>
        <w:tc>
          <w:tcPr>
            <w:tcW w:w="1842" w:type="dxa"/>
            <w:shd w:val="clear" w:color="auto" w:fill="auto"/>
            <w:noWrap/>
            <w:hideMark/>
          </w:tcPr>
          <w:p w:rsidR="002E0E65" w:rsidRPr="001368E0" w:rsidRDefault="002E0E65" w:rsidP="001368E0">
            <w:pPr>
              <w:spacing w:before="120" w:after="120" w:line="264" w:lineRule="auto"/>
              <w:contextualSpacing/>
              <w:jc w:val="both"/>
              <w:rPr>
                <w:rFonts w:cs="ArialMT"/>
                <w:b/>
                <w:bCs/>
                <w:sz w:val="22"/>
                <w:szCs w:val="22"/>
              </w:rPr>
            </w:pPr>
            <w:r w:rsidRPr="001368E0">
              <w:rPr>
                <w:rFonts w:cs="ArialMT"/>
                <w:b/>
                <w:bCs/>
                <w:sz w:val="22"/>
                <w:szCs w:val="22"/>
              </w:rPr>
              <w:t>100,00%</w:t>
            </w:r>
          </w:p>
        </w:tc>
        <w:tc>
          <w:tcPr>
            <w:tcW w:w="1843" w:type="dxa"/>
            <w:shd w:val="clear" w:color="auto" w:fill="auto"/>
            <w:hideMark/>
          </w:tcPr>
          <w:p w:rsidR="002E0E65" w:rsidRPr="001368E0" w:rsidRDefault="002E0E65" w:rsidP="001368E0">
            <w:pPr>
              <w:spacing w:before="120" w:after="120" w:line="264" w:lineRule="auto"/>
              <w:contextualSpacing/>
              <w:jc w:val="both"/>
              <w:rPr>
                <w:rFonts w:cs="ArialMT"/>
                <w:b/>
                <w:bCs/>
                <w:sz w:val="22"/>
                <w:szCs w:val="22"/>
              </w:rPr>
            </w:pPr>
            <w:r w:rsidRPr="001368E0">
              <w:rPr>
                <w:rFonts w:cs="ArialMT"/>
                <w:b/>
                <w:bCs/>
                <w:sz w:val="22"/>
                <w:szCs w:val="22"/>
              </w:rPr>
              <w:t>4 903 859,70</w:t>
            </w:r>
          </w:p>
        </w:tc>
        <w:tc>
          <w:tcPr>
            <w:tcW w:w="1985" w:type="dxa"/>
            <w:shd w:val="clear" w:color="auto" w:fill="auto"/>
            <w:hideMark/>
          </w:tcPr>
          <w:p w:rsidR="002E0E65" w:rsidRPr="001368E0" w:rsidRDefault="002E0E65" w:rsidP="001368E0">
            <w:pPr>
              <w:spacing w:before="120" w:after="120" w:line="264" w:lineRule="auto"/>
              <w:contextualSpacing/>
              <w:jc w:val="both"/>
              <w:rPr>
                <w:rFonts w:cs="ArialMT"/>
                <w:b/>
                <w:bCs/>
                <w:sz w:val="22"/>
                <w:szCs w:val="22"/>
              </w:rPr>
            </w:pPr>
            <w:r w:rsidRPr="001368E0">
              <w:rPr>
                <w:rFonts w:cs="ArialMT"/>
                <w:b/>
                <w:bCs/>
                <w:sz w:val="22"/>
                <w:szCs w:val="22"/>
              </w:rPr>
              <w:t> </w:t>
            </w:r>
          </w:p>
        </w:tc>
        <w:tc>
          <w:tcPr>
            <w:tcW w:w="2056" w:type="dxa"/>
            <w:shd w:val="clear" w:color="auto" w:fill="auto"/>
            <w:hideMark/>
          </w:tcPr>
          <w:p w:rsidR="002E0E65" w:rsidRPr="001368E0" w:rsidRDefault="002E0E65" w:rsidP="001368E0">
            <w:pPr>
              <w:spacing w:before="120" w:after="120" w:line="264" w:lineRule="auto"/>
              <w:contextualSpacing/>
              <w:jc w:val="both"/>
              <w:rPr>
                <w:rFonts w:cs="ArialMT"/>
                <w:b/>
                <w:bCs/>
                <w:sz w:val="22"/>
                <w:szCs w:val="22"/>
              </w:rPr>
            </w:pPr>
            <w:r w:rsidRPr="001368E0">
              <w:rPr>
                <w:rFonts w:cs="ArialMT"/>
                <w:b/>
                <w:bCs/>
                <w:sz w:val="22"/>
                <w:szCs w:val="22"/>
              </w:rPr>
              <w:t>53 942 456,70</w:t>
            </w:r>
          </w:p>
        </w:tc>
      </w:tr>
    </w:tbl>
    <w:p w:rsidR="00EE745F" w:rsidRPr="00DD6103" w:rsidRDefault="00CB0FDC" w:rsidP="0073410E">
      <w:pPr>
        <w:pStyle w:val="Heading3"/>
        <w:spacing w:before="480" w:after="240" w:line="264" w:lineRule="auto"/>
        <w:rPr>
          <w:b/>
          <w:sz w:val="28"/>
          <w:szCs w:val="28"/>
          <w:lang w:val="en-GB"/>
        </w:rPr>
      </w:pPr>
      <w:bookmarkStart w:id="129" w:name="_Toc402864395"/>
      <w:bookmarkStart w:id="130" w:name="_Toc288133475"/>
      <w:r>
        <w:rPr>
          <w:b/>
          <w:sz w:val="28"/>
          <w:szCs w:val="28"/>
          <w:lang w:val="en-GB"/>
        </w:rPr>
        <w:t>Rules on e</w:t>
      </w:r>
      <w:r w:rsidR="00EE745F" w:rsidRPr="00DD6103">
        <w:rPr>
          <w:b/>
          <w:sz w:val="28"/>
          <w:szCs w:val="28"/>
          <w:lang w:val="en-GB"/>
        </w:rPr>
        <w:t>ligibility of expenditure</w:t>
      </w:r>
      <w:bookmarkEnd w:id="129"/>
      <w:bookmarkEnd w:id="130"/>
    </w:p>
    <w:p w:rsidR="007F4E20" w:rsidRPr="002E0E65" w:rsidRDefault="00EE745F" w:rsidP="002E0E65">
      <w:pPr>
        <w:spacing w:before="240" w:after="120"/>
        <w:jc w:val="both"/>
        <w:rPr>
          <w:b/>
          <w:lang w:val="en-GB"/>
        </w:rPr>
      </w:pPr>
      <w:r w:rsidRPr="005917AB">
        <w:rPr>
          <w:b/>
          <w:lang w:val="en-GB"/>
        </w:rPr>
        <w:t>No profit principle</w:t>
      </w:r>
    </w:p>
    <w:p w:rsidR="00D83AF5" w:rsidRPr="008E396A" w:rsidRDefault="00EE745F" w:rsidP="008E396A">
      <w:pPr>
        <w:spacing w:before="120" w:after="0" w:line="252" w:lineRule="auto"/>
        <w:jc w:val="both"/>
        <w:rPr>
          <w:sz w:val="22"/>
          <w:szCs w:val="22"/>
          <w:lang w:val="en-GB"/>
        </w:rPr>
      </w:pPr>
      <w:r w:rsidRPr="008E396A">
        <w:rPr>
          <w:sz w:val="22"/>
          <w:szCs w:val="22"/>
          <w:lang w:val="en-GB"/>
        </w:rPr>
        <w:t xml:space="preserve">Grants shall not have the purpose or effect of producing a profit within the framework of the project. </w:t>
      </w:r>
    </w:p>
    <w:p w:rsidR="008E396A" w:rsidRPr="008E396A" w:rsidRDefault="00EE745F" w:rsidP="008E396A">
      <w:pPr>
        <w:spacing w:before="120" w:after="0" w:line="252" w:lineRule="auto"/>
        <w:jc w:val="both"/>
        <w:rPr>
          <w:sz w:val="22"/>
          <w:szCs w:val="22"/>
          <w:lang w:val="en-GB"/>
        </w:rPr>
      </w:pPr>
      <w:r w:rsidRPr="008E396A">
        <w:rPr>
          <w:sz w:val="22"/>
          <w:szCs w:val="22"/>
          <w:lang w:val="en-GB"/>
        </w:rPr>
        <w:t>Where a profit is made, the Managing Authority shall be entitled to recover the percentage of the profit corresponding to the Union contribution to the eligible costs actually incurred by the beneficiary to carry out the project.</w:t>
      </w:r>
    </w:p>
    <w:p w:rsidR="00EE745F" w:rsidRDefault="00EE745F" w:rsidP="008E396A">
      <w:pPr>
        <w:spacing w:before="120" w:after="0" w:line="252" w:lineRule="auto"/>
        <w:jc w:val="both"/>
        <w:rPr>
          <w:sz w:val="22"/>
          <w:szCs w:val="22"/>
          <w:lang w:val="en-GB"/>
        </w:rPr>
      </w:pPr>
      <w:r w:rsidRPr="008E396A">
        <w:rPr>
          <w:sz w:val="22"/>
          <w:szCs w:val="22"/>
          <w:lang w:val="en-GB"/>
        </w:rPr>
        <w:t>For this purpose, profit shall be defined as a surplus of the receipts over the eligible costs incurred by the beneficiaries (Lead Beneficiary and partners), when the request is made for payment of the balance.</w:t>
      </w:r>
    </w:p>
    <w:p w:rsidR="00780B6F" w:rsidRPr="008E396A" w:rsidRDefault="00780B6F" w:rsidP="008E396A">
      <w:pPr>
        <w:spacing w:before="120" w:after="0" w:line="252" w:lineRule="auto"/>
        <w:jc w:val="both"/>
        <w:rPr>
          <w:sz w:val="22"/>
          <w:szCs w:val="22"/>
          <w:lang w:val="en-GB"/>
        </w:rPr>
      </w:pPr>
      <w:r>
        <w:rPr>
          <w:sz w:val="22"/>
          <w:szCs w:val="22"/>
          <w:lang w:val="en-GB"/>
        </w:rPr>
        <w:t>Forms of grant will be defined in the guidelines for applicants, in accordance with article 47 of the ENI-CBC Implementing Regulation.</w:t>
      </w:r>
    </w:p>
    <w:p w:rsidR="00EE745F" w:rsidRPr="002D6D94" w:rsidRDefault="00EE745F" w:rsidP="00EE745F">
      <w:pPr>
        <w:spacing w:before="120"/>
        <w:contextualSpacing/>
        <w:rPr>
          <w:rFonts w:cs="ArialMT"/>
          <w:bCs/>
          <w:sz w:val="22"/>
          <w:szCs w:val="22"/>
          <w:lang w:val="en-GB" w:eastAsia="ar-SA"/>
        </w:rPr>
      </w:pPr>
    </w:p>
    <w:p w:rsidR="00EE745F" w:rsidRPr="005917AB" w:rsidRDefault="00EE745F" w:rsidP="00D83AF5">
      <w:pPr>
        <w:spacing w:before="240" w:after="120"/>
        <w:jc w:val="both"/>
        <w:rPr>
          <w:b/>
          <w:lang w:val="en-GB"/>
        </w:rPr>
      </w:pPr>
      <w:r w:rsidRPr="005917AB">
        <w:rPr>
          <w:b/>
          <w:lang w:val="en-GB"/>
        </w:rPr>
        <w:t>Eligibility of costs</w:t>
      </w:r>
    </w:p>
    <w:p w:rsidR="00EE745F" w:rsidRPr="008E396A" w:rsidRDefault="00EE745F" w:rsidP="008E396A">
      <w:pPr>
        <w:spacing w:before="120" w:after="0" w:line="252" w:lineRule="auto"/>
        <w:jc w:val="both"/>
        <w:rPr>
          <w:sz w:val="22"/>
          <w:szCs w:val="22"/>
          <w:lang w:val="en-GB"/>
        </w:rPr>
      </w:pPr>
      <w:r w:rsidRPr="008E396A">
        <w:rPr>
          <w:sz w:val="22"/>
          <w:szCs w:val="22"/>
          <w:lang w:val="en-GB"/>
        </w:rPr>
        <w:t>The eligible costs will be defined in detail in the Guidelines for Applicants and in the Grant Contract, in line with articles 48, 49</w:t>
      </w:r>
      <w:r w:rsidR="00E756E0" w:rsidRPr="008E396A">
        <w:rPr>
          <w:sz w:val="22"/>
          <w:szCs w:val="22"/>
          <w:lang w:val="en-GB"/>
        </w:rPr>
        <w:t>, 50</w:t>
      </w:r>
      <w:r w:rsidRPr="008E396A">
        <w:rPr>
          <w:sz w:val="22"/>
          <w:szCs w:val="22"/>
          <w:lang w:val="en-GB"/>
        </w:rPr>
        <w:t xml:space="preserve"> and </w:t>
      </w:r>
      <w:r w:rsidR="008E396A" w:rsidRPr="008E396A">
        <w:rPr>
          <w:sz w:val="22"/>
          <w:szCs w:val="22"/>
          <w:lang w:val="en-GB"/>
        </w:rPr>
        <w:t>51 of ENI-CBC Implementing Regulation</w:t>
      </w:r>
      <w:r w:rsidRPr="008E396A">
        <w:rPr>
          <w:sz w:val="22"/>
          <w:szCs w:val="22"/>
          <w:lang w:val="en-GB"/>
        </w:rPr>
        <w:t>.</w:t>
      </w:r>
    </w:p>
    <w:p w:rsidR="00C43D18" w:rsidRPr="00197A31" w:rsidRDefault="000B3CA2" w:rsidP="00173BE5">
      <w:pPr>
        <w:pStyle w:val="Heading3"/>
        <w:spacing w:before="360" w:after="120" w:line="264" w:lineRule="auto"/>
        <w:rPr>
          <w:b/>
          <w:sz w:val="28"/>
          <w:szCs w:val="28"/>
          <w:lang w:val="en-GB"/>
        </w:rPr>
      </w:pPr>
      <w:bookmarkStart w:id="131" w:name="_Toc288133476"/>
      <w:bookmarkStart w:id="132" w:name="_Toc402864396"/>
      <w:r w:rsidRPr="00197A31">
        <w:rPr>
          <w:b/>
          <w:sz w:val="28"/>
          <w:szCs w:val="28"/>
          <w:lang w:val="en-GB"/>
        </w:rPr>
        <w:t>Apportionment</w:t>
      </w:r>
      <w:r w:rsidR="00EE745F" w:rsidRPr="00197A31">
        <w:rPr>
          <w:b/>
          <w:sz w:val="28"/>
          <w:szCs w:val="28"/>
          <w:lang w:val="en-GB"/>
        </w:rPr>
        <w:t xml:space="preserve"> of liabilities</w:t>
      </w:r>
      <w:r w:rsidR="00173BE5" w:rsidRPr="00197A31">
        <w:rPr>
          <w:b/>
          <w:sz w:val="28"/>
          <w:szCs w:val="28"/>
          <w:lang w:val="en-GB"/>
        </w:rPr>
        <w:t xml:space="preserve"> among participating countries</w:t>
      </w:r>
      <w:bookmarkEnd w:id="131"/>
      <w:r w:rsidR="00EE745F" w:rsidRPr="00197A31">
        <w:rPr>
          <w:b/>
          <w:sz w:val="28"/>
          <w:szCs w:val="28"/>
          <w:lang w:val="en-GB"/>
        </w:rPr>
        <w:t xml:space="preserve"> </w:t>
      </w:r>
      <w:bookmarkEnd w:id="132"/>
    </w:p>
    <w:p w:rsidR="00DC2B28" w:rsidRPr="00DC2B28" w:rsidRDefault="00DC2B28" w:rsidP="00DC2B28">
      <w:pPr>
        <w:tabs>
          <w:tab w:val="left" w:pos="0"/>
        </w:tabs>
        <w:spacing w:before="120" w:after="0" w:line="252" w:lineRule="auto"/>
        <w:jc w:val="both"/>
        <w:rPr>
          <w:rFonts w:cs="ArialMT"/>
          <w:bCs/>
          <w:sz w:val="22"/>
          <w:szCs w:val="22"/>
          <w:lang w:val="en-US"/>
        </w:rPr>
      </w:pPr>
      <w:bookmarkStart w:id="133" w:name="_Toc402864397"/>
      <w:r>
        <w:rPr>
          <w:rFonts w:cs="ArialMT"/>
          <w:bCs/>
          <w:sz w:val="22"/>
          <w:szCs w:val="22"/>
          <w:lang w:val="en-US"/>
        </w:rPr>
        <w:t>In accordance with article 74</w:t>
      </w:r>
      <w:r w:rsidRPr="00DC2B28">
        <w:rPr>
          <w:rFonts w:cs="ArialMT"/>
          <w:bCs/>
          <w:sz w:val="22"/>
          <w:szCs w:val="22"/>
          <w:lang w:val="en-US"/>
        </w:rPr>
        <w:t xml:space="preserve"> of the ENI-CBC Implementing Regulation, the Managing Authority shall be responsible for pursuing the recovery of amounts</w:t>
      </w:r>
      <w:r w:rsidR="004D5F09">
        <w:rPr>
          <w:rFonts w:cs="ArialMT"/>
          <w:bCs/>
          <w:sz w:val="22"/>
          <w:szCs w:val="22"/>
          <w:lang w:val="en-US"/>
        </w:rPr>
        <w:t xml:space="preserve"> unduly paid</w:t>
      </w:r>
      <w:r w:rsidRPr="00DC2B28">
        <w:rPr>
          <w:rFonts w:cs="ArialMT"/>
          <w:bCs/>
          <w:sz w:val="22"/>
          <w:szCs w:val="22"/>
          <w:lang w:val="en-US"/>
        </w:rPr>
        <w:t xml:space="preserve">. </w:t>
      </w:r>
    </w:p>
    <w:p w:rsidR="00DC2B28" w:rsidRPr="00DC2B28" w:rsidRDefault="00DC2B28" w:rsidP="00DC2B28">
      <w:pPr>
        <w:tabs>
          <w:tab w:val="left" w:pos="0"/>
        </w:tabs>
        <w:spacing w:before="120" w:after="0" w:line="252" w:lineRule="auto"/>
        <w:jc w:val="both"/>
        <w:rPr>
          <w:rFonts w:cs="ArialMT"/>
          <w:bCs/>
          <w:sz w:val="22"/>
          <w:szCs w:val="22"/>
          <w:lang w:val="en-US"/>
        </w:rPr>
      </w:pPr>
      <w:r w:rsidRPr="00DC2B28">
        <w:rPr>
          <w:rFonts w:cs="ArialMT"/>
          <w:bCs/>
          <w:sz w:val="22"/>
          <w:szCs w:val="22"/>
          <w:lang w:val="en-US"/>
        </w:rPr>
        <w:t xml:space="preserve">Where the recovery relates to a claim against a beneficiary established in a Member State and the Managing Authority is unable to recover the debt, the Member State in which the beneficiary is established shall pay the due amount to the Managing Authority and claim it back from the beneficiary. </w:t>
      </w:r>
    </w:p>
    <w:p w:rsidR="00DC2B28" w:rsidRDefault="00DC2B28" w:rsidP="00DC2B28">
      <w:pPr>
        <w:tabs>
          <w:tab w:val="left" w:pos="0"/>
        </w:tabs>
        <w:spacing w:before="120" w:after="0" w:line="252" w:lineRule="auto"/>
        <w:jc w:val="both"/>
        <w:rPr>
          <w:rFonts w:cs="ArialMT"/>
          <w:bCs/>
          <w:sz w:val="22"/>
          <w:szCs w:val="22"/>
          <w:lang w:val="en-US"/>
        </w:rPr>
      </w:pPr>
      <w:r w:rsidRPr="00DC2B28">
        <w:rPr>
          <w:rFonts w:cs="ArialMT"/>
          <w:bCs/>
          <w:sz w:val="22"/>
          <w:szCs w:val="22"/>
          <w:lang w:val="en-US"/>
        </w:rPr>
        <w:t>Where the recovery relates to a claim against a beneficiary established in a CBC partner country and the Managing Authority is unable to recover the debt, the level of responsibility of the CBC partner country in which the beneficiary is established shall be such as it is laid down in the relevant financing agreement.</w:t>
      </w:r>
    </w:p>
    <w:p w:rsidR="00173BE5" w:rsidRPr="00173BE5" w:rsidRDefault="00173BE5" w:rsidP="00173BE5">
      <w:pPr>
        <w:tabs>
          <w:tab w:val="left" w:pos="0"/>
        </w:tabs>
        <w:spacing w:before="120" w:after="0" w:line="252" w:lineRule="auto"/>
        <w:jc w:val="both"/>
        <w:rPr>
          <w:rFonts w:cs="ArialMT"/>
          <w:bCs/>
          <w:sz w:val="22"/>
          <w:szCs w:val="22"/>
          <w:lang w:val="en-US"/>
        </w:rPr>
      </w:pPr>
      <w:r w:rsidRPr="00173BE5">
        <w:rPr>
          <w:rFonts w:cs="ArialMT"/>
          <w:bCs/>
          <w:sz w:val="22"/>
          <w:szCs w:val="22"/>
          <w:lang w:val="en-US"/>
        </w:rPr>
        <w:t>In accordance with article 72 o</w:t>
      </w:r>
      <w:r w:rsidR="002534C5">
        <w:rPr>
          <w:rFonts w:cs="ArialMT"/>
          <w:bCs/>
          <w:sz w:val="22"/>
          <w:szCs w:val="22"/>
          <w:lang w:val="en-US"/>
        </w:rPr>
        <w:t>f the ENI-CBC Implementing Regulation</w:t>
      </w:r>
      <w:r w:rsidRPr="00173BE5">
        <w:rPr>
          <w:rFonts w:cs="ArialMT"/>
          <w:bCs/>
          <w:sz w:val="22"/>
          <w:szCs w:val="22"/>
          <w:lang w:val="en-US"/>
        </w:rPr>
        <w:t>, “</w:t>
      </w:r>
      <w:r w:rsidRPr="00173BE5">
        <w:rPr>
          <w:rFonts w:cs="ArialMT"/>
          <w:bCs/>
          <w:i/>
          <w:iCs/>
          <w:sz w:val="22"/>
          <w:szCs w:val="22"/>
          <w:lang w:val="en-US"/>
        </w:rPr>
        <w:t>the Commission shall make financial corrections by cancelling all or part of the Union contribution to a programme and effecting recovery from the Managing Authority in order to exclude from Union financing expenditure which is in breach of applicable law or related to deficiencies in the programme management and control systems which have been detected by the Commission or the European Court of Auditors</w:t>
      </w:r>
      <w:r w:rsidRPr="00173BE5">
        <w:rPr>
          <w:rFonts w:cs="ArialMT"/>
          <w:bCs/>
          <w:sz w:val="22"/>
          <w:szCs w:val="22"/>
          <w:lang w:val="en-US"/>
        </w:rPr>
        <w:t>”.</w:t>
      </w:r>
    </w:p>
    <w:p w:rsidR="00173BE5" w:rsidRPr="00173BE5" w:rsidRDefault="00173BE5" w:rsidP="00173BE5">
      <w:pPr>
        <w:tabs>
          <w:tab w:val="left" w:pos="0"/>
        </w:tabs>
        <w:spacing w:before="120" w:after="0" w:line="252" w:lineRule="auto"/>
        <w:jc w:val="both"/>
        <w:rPr>
          <w:rFonts w:cs="ArialMT"/>
          <w:bCs/>
          <w:sz w:val="22"/>
          <w:szCs w:val="22"/>
          <w:lang w:val="en-US"/>
        </w:rPr>
      </w:pPr>
      <w:r w:rsidRPr="00173BE5">
        <w:rPr>
          <w:rFonts w:cs="ArialMT"/>
          <w:bCs/>
          <w:sz w:val="22"/>
          <w:szCs w:val="22"/>
          <w:lang w:val="en-US"/>
        </w:rPr>
        <w:t>In accordance with article 74, “w</w:t>
      </w:r>
      <w:r w:rsidRPr="00173BE5">
        <w:rPr>
          <w:rFonts w:cs="ArialMT"/>
          <w:bCs/>
          <w:i/>
          <w:iCs/>
          <w:sz w:val="22"/>
          <w:szCs w:val="22"/>
          <w:lang w:val="en-US"/>
        </w:rPr>
        <w:t>here the recovery relates to systemic deficiencies in the programme management and control systems, the Managing Authority shall be responsible for reimbursing the amounts concerned to the Commission in accordance with the apportionment of liabilities among the participating countries as laid down in the programme</w:t>
      </w:r>
      <w:r w:rsidRPr="00173BE5">
        <w:rPr>
          <w:rFonts w:cs="ArialMT"/>
          <w:bCs/>
          <w:sz w:val="22"/>
          <w:szCs w:val="22"/>
          <w:lang w:val="en-US"/>
        </w:rPr>
        <w:t xml:space="preserve">”. </w:t>
      </w:r>
    </w:p>
    <w:p w:rsidR="00173BE5" w:rsidRPr="00173BE5" w:rsidRDefault="00173BE5" w:rsidP="00173BE5">
      <w:pPr>
        <w:tabs>
          <w:tab w:val="left" w:pos="0"/>
        </w:tabs>
        <w:spacing w:before="120" w:after="0" w:line="252" w:lineRule="auto"/>
        <w:jc w:val="both"/>
        <w:rPr>
          <w:rFonts w:cs="ArialMT"/>
          <w:bCs/>
          <w:sz w:val="22"/>
          <w:szCs w:val="22"/>
          <w:lang w:val="en-US"/>
        </w:rPr>
      </w:pPr>
      <w:r w:rsidRPr="00173BE5">
        <w:rPr>
          <w:rFonts w:cs="ArialMT"/>
          <w:bCs/>
          <w:sz w:val="22"/>
          <w:szCs w:val="22"/>
          <w:lang w:val="en-US"/>
        </w:rPr>
        <w:t>The criteria for apportionment shall be the following:</w:t>
      </w:r>
    </w:p>
    <w:p w:rsidR="00173BE5" w:rsidRPr="00173BE5" w:rsidRDefault="002534C5" w:rsidP="009D565C">
      <w:pPr>
        <w:pStyle w:val="ListParagraph"/>
        <w:numPr>
          <w:ilvl w:val="0"/>
          <w:numId w:val="71"/>
        </w:numPr>
        <w:tabs>
          <w:tab w:val="left" w:pos="0"/>
        </w:tabs>
        <w:spacing w:before="120" w:after="0" w:line="252" w:lineRule="auto"/>
        <w:jc w:val="both"/>
        <w:rPr>
          <w:rFonts w:cs="ArialMT"/>
          <w:bCs/>
          <w:sz w:val="22"/>
          <w:szCs w:val="22"/>
          <w:lang w:val="en-US"/>
        </w:rPr>
      </w:pPr>
      <w:r>
        <w:rPr>
          <w:rFonts w:cs="ArialMT"/>
          <w:bCs/>
          <w:sz w:val="22"/>
          <w:szCs w:val="22"/>
          <w:lang w:val="en-US"/>
        </w:rPr>
        <w:t>I</w:t>
      </w:r>
      <w:r w:rsidR="00173BE5" w:rsidRPr="00173BE5">
        <w:rPr>
          <w:rFonts w:cs="ArialMT"/>
          <w:bCs/>
          <w:sz w:val="22"/>
          <w:szCs w:val="22"/>
          <w:lang w:val="en-US"/>
        </w:rPr>
        <w:t>f the systemic deficiency concerns one specific country, this country shall be responsible for</w:t>
      </w:r>
      <w:r w:rsidR="00CA2264">
        <w:rPr>
          <w:rFonts w:cs="ArialMT"/>
          <w:bCs/>
          <w:sz w:val="22"/>
          <w:szCs w:val="22"/>
          <w:lang w:val="en-US"/>
        </w:rPr>
        <w:t xml:space="preserve"> reimbursing to the Programme accounts</w:t>
      </w:r>
      <w:r w:rsidR="00173BE5" w:rsidRPr="00173BE5">
        <w:rPr>
          <w:rFonts w:cs="ArialMT"/>
          <w:bCs/>
          <w:sz w:val="22"/>
          <w:szCs w:val="22"/>
          <w:lang w:val="en-US"/>
        </w:rPr>
        <w:t xml:space="preserve"> the amount </w:t>
      </w:r>
      <w:r w:rsidR="009D565C" w:rsidRPr="009D565C">
        <w:rPr>
          <w:rFonts w:cs="ArialMT"/>
          <w:bCs/>
          <w:sz w:val="22"/>
          <w:szCs w:val="22"/>
          <w:lang w:val="en-US"/>
        </w:rPr>
        <w:t xml:space="preserve">identified as a result of </w:t>
      </w:r>
      <w:r w:rsidR="009D565C">
        <w:rPr>
          <w:rFonts w:cs="ArialMT"/>
          <w:bCs/>
          <w:sz w:val="22"/>
          <w:szCs w:val="22"/>
          <w:lang w:val="en-US"/>
        </w:rPr>
        <w:t>the</w:t>
      </w:r>
      <w:r w:rsidR="00173BE5" w:rsidRPr="00173BE5">
        <w:rPr>
          <w:rFonts w:cs="ArialMT"/>
          <w:bCs/>
          <w:sz w:val="22"/>
          <w:szCs w:val="22"/>
          <w:lang w:val="en-US"/>
        </w:rPr>
        <w:t xml:space="preserve"> financial correction;</w:t>
      </w:r>
    </w:p>
    <w:p w:rsidR="00DC2B28" w:rsidRPr="0018000E" w:rsidRDefault="002534C5" w:rsidP="00173BE5">
      <w:pPr>
        <w:pStyle w:val="ListParagraph"/>
        <w:numPr>
          <w:ilvl w:val="0"/>
          <w:numId w:val="71"/>
        </w:numPr>
        <w:tabs>
          <w:tab w:val="left" w:pos="0"/>
        </w:tabs>
        <w:spacing w:before="120" w:after="0" w:line="252" w:lineRule="auto"/>
        <w:jc w:val="both"/>
        <w:rPr>
          <w:rFonts w:cs="ArialMT"/>
          <w:bCs/>
          <w:sz w:val="22"/>
          <w:szCs w:val="22"/>
          <w:lang w:val="en-US"/>
        </w:rPr>
      </w:pPr>
      <w:r>
        <w:rPr>
          <w:rFonts w:cs="ArialMT"/>
          <w:bCs/>
          <w:sz w:val="22"/>
          <w:szCs w:val="22"/>
          <w:lang w:val="en-US"/>
        </w:rPr>
        <w:t>If</w:t>
      </w:r>
      <w:r w:rsidR="00173BE5" w:rsidRPr="00173BE5">
        <w:rPr>
          <w:rFonts w:cs="ArialMT"/>
          <w:bCs/>
          <w:sz w:val="22"/>
          <w:szCs w:val="22"/>
          <w:lang w:val="en-US"/>
        </w:rPr>
        <w:t xml:space="preserve"> the systemic deficiency concerns the whole system, each country shall be responsible for </w:t>
      </w:r>
      <w:r w:rsidR="00CA2264" w:rsidRPr="00CA2264">
        <w:rPr>
          <w:rFonts w:cs="ArialMT"/>
          <w:bCs/>
          <w:sz w:val="22"/>
          <w:szCs w:val="22"/>
          <w:lang w:val="en-US"/>
        </w:rPr>
        <w:t xml:space="preserve">reimbursing to the Programme accounts </w:t>
      </w:r>
      <w:r w:rsidR="009D565C" w:rsidRPr="009D565C">
        <w:rPr>
          <w:rFonts w:cs="ArialMT"/>
          <w:bCs/>
          <w:sz w:val="22"/>
          <w:szCs w:val="22"/>
          <w:lang w:val="en-US"/>
        </w:rPr>
        <w:t xml:space="preserve">the amount representing the percentage of the financial correction applied to </w:t>
      </w:r>
      <w:r w:rsidR="009D565C">
        <w:rPr>
          <w:rFonts w:cs="ArialMT"/>
          <w:bCs/>
          <w:sz w:val="22"/>
          <w:szCs w:val="22"/>
          <w:lang w:val="en-US"/>
        </w:rPr>
        <w:t xml:space="preserve">the </w:t>
      </w:r>
      <w:r w:rsidR="00173BE5" w:rsidRPr="00173BE5">
        <w:rPr>
          <w:rFonts w:cs="ArialMT"/>
          <w:bCs/>
          <w:sz w:val="22"/>
          <w:szCs w:val="22"/>
          <w:lang w:val="en-US"/>
        </w:rPr>
        <w:t xml:space="preserve">expenditure incurred by the beneficiaries </w:t>
      </w:r>
      <w:r w:rsidR="00916356">
        <w:rPr>
          <w:rFonts w:cs="ArialMT"/>
          <w:bCs/>
          <w:sz w:val="22"/>
          <w:szCs w:val="22"/>
          <w:lang w:val="en-US"/>
        </w:rPr>
        <w:t>of the respective</w:t>
      </w:r>
      <w:r w:rsidR="00173BE5" w:rsidRPr="00173BE5">
        <w:rPr>
          <w:rFonts w:cs="ArialMT"/>
          <w:bCs/>
          <w:sz w:val="22"/>
          <w:szCs w:val="22"/>
          <w:lang w:val="en-US"/>
        </w:rPr>
        <w:t xml:space="preserve"> country and declared by the MA to the European Commission at the date of the decision to apply the financial correction. </w:t>
      </w:r>
    </w:p>
    <w:p w:rsidR="00DD6103" w:rsidRPr="0018000E" w:rsidRDefault="00EE745F" w:rsidP="0018000E">
      <w:pPr>
        <w:pStyle w:val="Heading3"/>
        <w:spacing w:before="480" w:after="240" w:line="264" w:lineRule="auto"/>
        <w:rPr>
          <w:b/>
          <w:sz w:val="28"/>
          <w:szCs w:val="28"/>
          <w:lang w:val="en-GB"/>
        </w:rPr>
      </w:pPr>
      <w:bookmarkStart w:id="134" w:name="_Toc288133477"/>
      <w:r w:rsidRPr="0018000E">
        <w:rPr>
          <w:b/>
          <w:sz w:val="28"/>
          <w:szCs w:val="28"/>
          <w:lang w:val="en-GB"/>
        </w:rPr>
        <w:t xml:space="preserve">Rules </w:t>
      </w:r>
      <w:r w:rsidR="00DD6103" w:rsidRPr="0018000E">
        <w:rPr>
          <w:b/>
          <w:sz w:val="28"/>
          <w:szCs w:val="28"/>
          <w:lang w:val="en-GB"/>
        </w:rPr>
        <w:t>of</w:t>
      </w:r>
      <w:r w:rsidRPr="0018000E">
        <w:rPr>
          <w:b/>
          <w:sz w:val="28"/>
          <w:szCs w:val="28"/>
          <w:lang w:val="en-GB"/>
        </w:rPr>
        <w:t xml:space="preserve"> transfer, use and monitoring of co-financing</w:t>
      </w:r>
      <w:bookmarkEnd w:id="133"/>
      <w:bookmarkEnd w:id="134"/>
    </w:p>
    <w:p w:rsidR="00DD6103" w:rsidRPr="007D3961" w:rsidRDefault="00DD6103" w:rsidP="00C144A2">
      <w:pPr>
        <w:spacing w:before="240" w:after="120"/>
        <w:rPr>
          <w:b/>
          <w:lang w:val="en-GB"/>
        </w:rPr>
      </w:pPr>
      <w:r w:rsidRPr="007D3961">
        <w:rPr>
          <w:b/>
          <w:lang w:val="en-GB"/>
        </w:rPr>
        <w:t>Co-financing principle</w:t>
      </w:r>
    </w:p>
    <w:p w:rsidR="007D3961" w:rsidRPr="008E396A" w:rsidRDefault="00DD6103" w:rsidP="008E396A">
      <w:pPr>
        <w:spacing w:before="120" w:after="0" w:line="252" w:lineRule="auto"/>
        <w:jc w:val="both"/>
        <w:rPr>
          <w:sz w:val="22"/>
          <w:szCs w:val="22"/>
          <w:lang w:val="en-GB"/>
        </w:rPr>
      </w:pPr>
      <w:r w:rsidRPr="008E396A">
        <w:rPr>
          <w:sz w:val="22"/>
          <w:szCs w:val="22"/>
          <w:lang w:val="en-GB"/>
        </w:rPr>
        <w:t xml:space="preserve">Article 12 of ENI-CBC Implementing Rules states that co-financing shall amount to at least 10% of the Union contribution, that is 4.903.860 €. This minimum amount may come from the projects and from the contribution of the participating countries to the Technical Assistance. </w:t>
      </w:r>
    </w:p>
    <w:p w:rsidR="00DD6103" w:rsidRPr="008E396A" w:rsidRDefault="00DD6103" w:rsidP="008E396A">
      <w:pPr>
        <w:spacing w:before="120" w:after="0" w:line="252" w:lineRule="auto"/>
        <w:jc w:val="both"/>
        <w:rPr>
          <w:sz w:val="22"/>
          <w:szCs w:val="22"/>
          <w:lang w:val="en-GB"/>
        </w:rPr>
      </w:pPr>
      <w:r w:rsidRPr="008E396A">
        <w:rPr>
          <w:sz w:val="22"/>
          <w:szCs w:val="22"/>
          <w:lang w:val="en-GB"/>
        </w:rPr>
        <w:t xml:space="preserve">Under the co-financing principle, as stated in article 183 of the Rules of Application (RAP) of the Financial Regulation (Commission Delegated Regulation (EU) No 1268/2012), the resources which are necessary to carry out the projects shall not be provided entirely by the Union contribution. </w:t>
      </w:r>
    </w:p>
    <w:p w:rsidR="00DD6103" w:rsidRPr="008E396A" w:rsidRDefault="00DD6103" w:rsidP="008E396A">
      <w:pPr>
        <w:spacing w:before="120" w:after="0" w:line="252" w:lineRule="auto"/>
        <w:jc w:val="both"/>
        <w:rPr>
          <w:sz w:val="22"/>
          <w:szCs w:val="22"/>
          <w:lang w:val="en-GB"/>
        </w:rPr>
      </w:pPr>
      <w:r w:rsidRPr="008E396A">
        <w:rPr>
          <w:sz w:val="22"/>
          <w:szCs w:val="22"/>
          <w:lang w:val="en-GB"/>
        </w:rPr>
        <w:t>The percentage of Union contribution to projects shall be defined in the calls for proposals and the grant contracts.</w:t>
      </w:r>
    </w:p>
    <w:p w:rsidR="00DD6103" w:rsidRPr="008E396A" w:rsidRDefault="00DD6103" w:rsidP="008E396A">
      <w:pPr>
        <w:spacing w:before="120" w:after="0" w:line="252" w:lineRule="auto"/>
        <w:jc w:val="both"/>
        <w:rPr>
          <w:sz w:val="22"/>
          <w:szCs w:val="22"/>
          <w:lang w:val="en-GB"/>
        </w:rPr>
      </w:pPr>
      <w:r w:rsidRPr="008E396A">
        <w:rPr>
          <w:sz w:val="22"/>
          <w:szCs w:val="22"/>
          <w:lang w:val="en-GB"/>
        </w:rPr>
        <w:t>The co-financing may take the following forms:</w:t>
      </w:r>
    </w:p>
    <w:p w:rsidR="00DD6103" w:rsidRPr="007D3961" w:rsidRDefault="00DD6103" w:rsidP="00DF5D1F">
      <w:pPr>
        <w:numPr>
          <w:ilvl w:val="0"/>
          <w:numId w:val="29"/>
        </w:numPr>
        <w:spacing w:before="120" w:after="0" w:line="264" w:lineRule="auto"/>
        <w:contextualSpacing/>
        <w:jc w:val="both"/>
        <w:rPr>
          <w:rFonts w:cs="ArialMT"/>
          <w:bCs/>
          <w:sz w:val="22"/>
          <w:szCs w:val="22"/>
        </w:rPr>
      </w:pPr>
      <w:r w:rsidRPr="007D3961">
        <w:rPr>
          <w:rFonts w:cs="ArialMT"/>
          <w:bCs/>
          <w:sz w:val="22"/>
          <w:szCs w:val="22"/>
        </w:rPr>
        <w:t>Beneficiary’s own resources</w:t>
      </w:r>
    </w:p>
    <w:p w:rsidR="00DD6103" w:rsidRPr="00CA3055" w:rsidRDefault="00DD6103" w:rsidP="00DF5D1F">
      <w:pPr>
        <w:numPr>
          <w:ilvl w:val="0"/>
          <w:numId w:val="29"/>
        </w:numPr>
        <w:spacing w:before="120" w:after="0" w:line="264" w:lineRule="auto"/>
        <w:contextualSpacing/>
        <w:jc w:val="both"/>
        <w:rPr>
          <w:rFonts w:cs="ArialMT"/>
          <w:bCs/>
          <w:sz w:val="22"/>
          <w:szCs w:val="22"/>
        </w:rPr>
      </w:pPr>
      <w:r w:rsidRPr="00CA3055">
        <w:rPr>
          <w:rFonts w:cs="ArialMT"/>
          <w:bCs/>
          <w:sz w:val="22"/>
          <w:szCs w:val="22"/>
        </w:rPr>
        <w:t>Income generated by the project</w:t>
      </w:r>
    </w:p>
    <w:p w:rsidR="00DD6103" w:rsidRPr="00682784" w:rsidRDefault="00DD6103" w:rsidP="00DF5D1F">
      <w:pPr>
        <w:numPr>
          <w:ilvl w:val="0"/>
          <w:numId w:val="29"/>
        </w:numPr>
        <w:spacing w:before="120" w:after="0" w:line="264" w:lineRule="auto"/>
        <w:contextualSpacing/>
        <w:jc w:val="both"/>
        <w:rPr>
          <w:rFonts w:cs="ArialMT"/>
          <w:bCs/>
          <w:sz w:val="22"/>
          <w:szCs w:val="22"/>
          <w:lang w:val="en-GB"/>
        </w:rPr>
      </w:pPr>
      <w:r w:rsidRPr="00682784">
        <w:rPr>
          <w:rFonts w:cs="ArialMT"/>
          <w:bCs/>
          <w:sz w:val="22"/>
          <w:szCs w:val="22"/>
          <w:lang w:val="en-GB"/>
        </w:rPr>
        <w:t>Financial contributions by third parties, from sources other than the Union</w:t>
      </w:r>
    </w:p>
    <w:p w:rsidR="00DD6103" w:rsidRPr="008E396A" w:rsidRDefault="00DD6103" w:rsidP="008E396A">
      <w:pPr>
        <w:spacing w:before="120" w:after="0" w:line="252" w:lineRule="auto"/>
        <w:jc w:val="both"/>
        <w:rPr>
          <w:sz w:val="22"/>
          <w:szCs w:val="22"/>
          <w:lang w:val="en-GB"/>
        </w:rPr>
      </w:pPr>
      <w:r w:rsidRPr="008E396A">
        <w:rPr>
          <w:sz w:val="22"/>
          <w:szCs w:val="22"/>
          <w:lang w:val="en-GB"/>
        </w:rPr>
        <w:t xml:space="preserve">Together with the Union contribution, these sources of co-financing shall constitute the project receipts, as defined by the article 125(5) of the Financial Regulation (EU, Euratom) No 966/2012. </w:t>
      </w:r>
    </w:p>
    <w:p w:rsidR="00DD6103" w:rsidRPr="007D3961" w:rsidRDefault="00DD6103" w:rsidP="00DF5D1F">
      <w:pPr>
        <w:spacing w:before="240" w:after="120"/>
        <w:jc w:val="both"/>
        <w:rPr>
          <w:b/>
          <w:lang w:val="en-GB"/>
        </w:rPr>
      </w:pPr>
      <w:r w:rsidRPr="007D3961">
        <w:rPr>
          <w:b/>
          <w:lang w:val="en-GB"/>
        </w:rPr>
        <w:t>Use and monitoring of co-financing</w:t>
      </w:r>
    </w:p>
    <w:p w:rsidR="00DD6103" w:rsidRPr="00682784" w:rsidRDefault="00DD6103" w:rsidP="00DF5D1F">
      <w:pPr>
        <w:spacing w:before="120"/>
        <w:contextualSpacing/>
        <w:jc w:val="both"/>
        <w:rPr>
          <w:rFonts w:cs="ArialMT"/>
          <w:bCs/>
          <w:sz w:val="22"/>
          <w:szCs w:val="22"/>
          <w:lang w:val="en-GB"/>
        </w:rPr>
      </w:pPr>
      <w:r w:rsidRPr="00682784">
        <w:rPr>
          <w:rFonts w:cs="ArialMT"/>
          <w:bCs/>
          <w:sz w:val="22"/>
          <w:szCs w:val="22"/>
          <w:lang w:val="en-GB"/>
        </w:rPr>
        <w:t>The Grant Contract shall include the sources of the co-financing by the project beneficiaries. The co-financing will be monitored and included in the programme accounting through the declaration on expenditure and receipts prepared by the beneficiaries, verified by a controller, which will be part of the requests for payment of the grant.</w:t>
      </w:r>
    </w:p>
    <w:p w:rsidR="00EE745F" w:rsidRPr="001368E0" w:rsidRDefault="00EE745F" w:rsidP="00DF5D1F">
      <w:pPr>
        <w:spacing w:after="60" w:line="264" w:lineRule="auto"/>
        <w:jc w:val="both"/>
        <w:rPr>
          <w:i/>
          <w:color w:val="983620"/>
          <w:sz w:val="22"/>
          <w:szCs w:val="22"/>
          <w:lang w:val="en-GB"/>
        </w:rPr>
      </w:pPr>
    </w:p>
    <w:p w:rsidR="00EE745F" w:rsidRPr="001368E0" w:rsidRDefault="00EE745F" w:rsidP="00EE745F">
      <w:pPr>
        <w:pStyle w:val="Heading3"/>
        <w:spacing w:before="200" w:line="264" w:lineRule="auto"/>
        <w:rPr>
          <w:b/>
          <w:sz w:val="28"/>
          <w:szCs w:val="28"/>
          <w:lang w:val="en-GB"/>
        </w:rPr>
      </w:pPr>
      <w:bookmarkStart w:id="135" w:name="_Toc288133478"/>
      <w:bookmarkStart w:id="136" w:name="_Toc402864398"/>
      <w:r w:rsidRPr="001368E0">
        <w:rPr>
          <w:b/>
          <w:sz w:val="28"/>
          <w:szCs w:val="28"/>
          <w:lang w:val="en-GB"/>
        </w:rPr>
        <w:t xml:space="preserve">Reporting and exchange of computerised data between the Managing Authority and the </w:t>
      </w:r>
      <w:r w:rsidR="002615B2" w:rsidRPr="001368E0">
        <w:rPr>
          <w:b/>
          <w:sz w:val="28"/>
          <w:szCs w:val="28"/>
          <w:lang w:val="en-GB"/>
        </w:rPr>
        <w:t>EC</w:t>
      </w:r>
      <w:bookmarkEnd w:id="135"/>
      <w:r w:rsidRPr="001368E0">
        <w:rPr>
          <w:b/>
          <w:sz w:val="28"/>
          <w:szCs w:val="28"/>
          <w:lang w:val="en-GB"/>
        </w:rPr>
        <w:t xml:space="preserve"> </w:t>
      </w:r>
      <w:bookmarkEnd w:id="136"/>
    </w:p>
    <w:p w:rsidR="008E396A" w:rsidRPr="008E396A" w:rsidRDefault="008E396A" w:rsidP="008E396A">
      <w:pPr>
        <w:spacing w:before="120" w:after="0" w:line="252" w:lineRule="auto"/>
        <w:jc w:val="both"/>
        <w:rPr>
          <w:sz w:val="22"/>
          <w:szCs w:val="22"/>
          <w:lang w:val="en-GB"/>
        </w:rPr>
      </w:pPr>
      <w:r w:rsidRPr="008E396A">
        <w:rPr>
          <w:sz w:val="22"/>
          <w:szCs w:val="22"/>
          <w:lang w:val="en-GB"/>
        </w:rPr>
        <w:t>A description of the IT systems for the reporting and exchange of computerised data between the M</w:t>
      </w:r>
      <w:r w:rsidR="00A930DA">
        <w:rPr>
          <w:sz w:val="22"/>
          <w:szCs w:val="22"/>
          <w:lang w:val="en-GB"/>
        </w:rPr>
        <w:t xml:space="preserve">anaging </w:t>
      </w:r>
      <w:r w:rsidRPr="008E396A">
        <w:rPr>
          <w:sz w:val="22"/>
          <w:szCs w:val="22"/>
          <w:lang w:val="en-GB"/>
        </w:rPr>
        <w:t>A</w:t>
      </w:r>
      <w:r w:rsidR="00A930DA">
        <w:rPr>
          <w:sz w:val="22"/>
          <w:szCs w:val="22"/>
          <w:lang w:val="en-GB"/>
        </w:rPr>
        <w:t>uthority</w:t>
      </w:r>
      <w:r w:rsidRPr="008E396A">
        <w:rPr>
          <w:sz w:val="22"/>
          <w:szCs w:val="22"/>
          <w:lang w:val="en-GB"/>
        </w:rPr>
        <w:t xml:space="preserve"> and the E</w:t>
      </w:r>
      <w:r w:rsidR="00A930DA">
        <w:rPr>
          <w:sz w:val="22"/>
          <w:szCs w:val="22"/>
          <w:lang w:val="en-GB"/>
        </w:rPr>
        <w:t xml:space="preserve">uropean </w:t>
      </w:r>
      <w:r w:rsidRPr="008E396A">
        <w:rPr>
          <w:sz w:val="22"/>
          <w:szCs w:val="22"/>
          <w:lang w:val="en-GB"/>
        </w:rPr>
        <w:t>C</w:t>
      </w:r>
      <w:r w:rsidR="00A930DA">
        <w:rPr>
          <w:sz w:val="22"/>
          <w:szCs w:val="22"/>
          <w:lang w:val="en-GB"/>
        </w:rPr>
        <w:t>ommission (unit C2, DG NEAR)</w:t>
      </w:r>
      <w:r w:rsidRPr="008E396A">
        <w:rPr>
          <w:sz w:val="22"/>
          <w:szCs w:val="22"/>
          <w:lang w:val="en-GB"/>
        </w:rPr>
        <w:t xml:space="preserve"> </w:t>
      </w:r>
      <w:r w:rsidR="007031E5">
        <w:rPr>
          <w:sz w:val="22"/>
          <w:szCs w:val="22"/>
          <w:lang w:val="en-GB"/>
        </w:rPr>
        <w:t>is required under the ENI CBC Implementing Regulation</w:t>
      </w:r>
      <w:r w:rsidRPr="008E396A">
        <w:rPr>
          <w:sz w:val="22"/>
          <w:szCs w:val="22"/>
          <w:lang w:val="en-GB"/>
        </w:rPr>
        <w:t xml:space="preserve"> (Art 4.5m). The E</w:t>
      </w:r>
      <w:r w:rsidR="00A930DA">
        <w:rPr>
          <w:sz w:val="22"/>
          <w:szCs w:val="22"/>
          <w:lang w:val="en-GB"/>
        </w:rPr>
        <w:t xml:space="preserve">uropean </w:t>
      </w:r>
      <w:r w:rsidRPr="008E396A">
        <w:rPr>
          <w:sz w:val="22"/>
          <w:szCs w:val="22"/>
          <w:lang w:val="en-GB"/>
        </w:rPr>
        <w:t>C</w:t>
      </w:r>
      <w:r w:rsidR="00A930DA">
        <w:rPr>
          <w:sz w:val="22"/>
          <w:szCs w:val="22"/>
          <w:lang w:val="en-GB"/>
        </w:rPr>
        <w:t>ommission</w:t>
      </w:r>
      <w:r w:rsidRPr="008E396A">
        <w:rPr>
          <w:sz w:val="22"/>
          <w:szCs w:val="22"/>
          <w:lang w:val="en-GB"/>
        </w:rPr>
        <w:t xml:space="preserve"> has proposed that this be done via KEEP, a comprehensive online database of Territorial Cooperation projects, project partners and programmes (</w:t>
      </w:r>
      <w:hyperlink r:id="rId82" w:history="1">
        <w:r w:rsidR="008679D3" w:rsidRPr="00461121">
          <w:rPr>
            <w:rStyle w:val="Hyperlink"/>
            <w:sz w:val="22"/>
            <w:szCs w:val="22"/>
            <w:lang w:val="en-GB"/>
          </w:rPr>
          <w:t>www.territorialcooperation.eu/keep/</w:t>
        </w:r>
      </w:hyperlink>
      <w:r w:rsidRPr="008E396A">
        <w:rPr>
          <w:sz w:val="22"/>
          <w:szCs w:val="22"/>
          <w:lang w:val="en-GB"/>
        </w:rPr>
        <w:t>) which was operational during the 2007-2013 programme period. Although most statistics needed by the E</w:t>
      </w:r>
      <w:r w:rsidR="00A930DA">
        <w:rPr>
          <w:sz w:val="22"/>
          <w:szCs w:val="22"/>
          <w:lang w:val="en-GB"/>
        </w:rPr>
        <w:t xml:space="preserve">uropean </w:t>
      </w:r>
      <w:r w:rsidRPr="008E396A">
        <w:rPr>
          <w:sz w:val="22"/>
          <w:szCs w:val="22"/>
          <w:lang w:val="en-GB"/>
        </w:rPr>
        <w:t>C</w:t>
      </w:r>
      <w:r w:rsidR="00A930DA">
        <w:rPr>
          <w:sz w:val="22"/>
          <w:szCs w:val="22"/>
          <w:lang w:val="en-GB"/>
        </w:rPr>
        <w:t>ommission</w:t>
      </w:r>
      <w:r w:rsidRPr="008E396A">
        <w:rPr>
          <w:sz w:val="22"/>
          <w:szCs w:val="22"/>
          <w:lang w:val="en-GB"/>
        </w:rPr>
        <w:t xml:space="preserve"> are already included in KEEP, a new KEEP template is being developed for the 2014-2020 programme period. It is anticipated that most data required by the E</w:t>
      </w:r>
      <w:r w:rsidR="00A930DA">
        <w:rPr>
          <w:sz w:val="22"/>
          <w:szCs w:val="22"/>
          <w:lang w:val="en-GB"/>
        </w:rPr>
        <w:t xml:space="preserve">uropean </w:t>
      </w:r>
      <w:r w:rsidRPr="008E396A">
        <w:rPr>
          <w:sz w:val="22"/>
          <w:szCs w:val="22"/>
          <w:lang w:val="en-GB"/>
        </w:rPr>
        <w:t>C</w:t>
      </w:r>
      <w:r w:rsidR="00A930DA">
        <w:rPr>
          <w:sz w:val="22"/>
          <w:szCs w:val="22"/>
          <w:lang w:val="en-GB"/>
        </w:rPr>
        <w:t>ommission</w:t>
      </w:r>
      <w:r w:rsidRPr="008E396A">
        <w:rPr>
          <w:sz w:val="22"/>
          <w:szCs w:val="22"/>
          <w:lang w:val="en-GB"/>
        </w:rPr>
        <w:t xml:space="preserve"> will be kept in the KEEP database rather than being available only via programme reports. As well as being a tool for programmes to share data with the E</w:t>
      </w:r>
      <w:r w:rsidR="00A930DA">
        <w:rPr>
          <w:sz w:val="22"/>
          <w:szCs w:val="22"/>
          <w:lang w:val="en-GB"/>
        </w:rPr>
        <w:t xml:space="preserve">uropean </w:t>
      </w:r>
      <w:r w:rsidRPr="008E396A">
        <w:rPr>
          <w:sz w:val="22"/>
          <w:szCs w:val="22"/>
          <w:lang w:val="en-GB"/>
        </w:rPr>
        <w:t>C</w:t>
      </w:r>
      <w:r w:rsidR="00A930DA">
        <w:rPr>
          <w:sz w:val="22"/>
          <w:szCs w:val="22"/>
          <w:lang w:val="en-GB"/>
        </w:rPr>
        <w:t>ommission</w:t>
      </w:r>
      <w:r w:rsidRPr="008E396A">
        <w:rPr>
          <w:sz w:val="22"/>
          <w:szCs w:val="22"/>
          <w:lang w:val="en-GB"/>
        </w:rPr>
        <w:t>, KEEP will also allow for the sharing of data between programmes.</w:t>
      </w:r>
    </w:p>
    <w:p w:rsidR="00EE745F" w:rsidRPr="001368E0" w:rsidRDefault="00EE745F" w:rsidP="00435FAF">
      <w:pPr>
        <w:pStyle w:val="Heading3"/>
        <w:spacing w:before="360" w:line="264" w:lineRule="auto"/>
        <w:rPr>
          <w:b/>
          <w:sz w:val="28"/>
          <w:szCs w:val="28"/>
          <w:lang w:val="en-GB"/>
        </w:rPr>
      </w:pPr>
      <w:bookmarkStart w:id="137" w:name="_Toc402864399"/>
      <w:bookmarkStart w:id="138" w:name="_Toc288133479"/>
      <w:r w:rsidRPr="001368E0">
        <w:rPr>
          <w:b/>
          <w:sz w:val="28"/>
          <w:szCs w:val="28"/>
          <w:lang w:val="en-GB"/>
        </w:rPr>
        <w:t>Programme language</w:t>
      </w:r>
      <w:bookmarkEnd w:id="137"/>
      <w:bookmarkEnd w:id="138"/>
    </w:p>
    <w:p w:rsidR="00EE745F" w:rsidRPr="00435FAF" w:rsidRDefault="00EE745F" w:rsidP="00435FAF">
      <w:pPr>
        <w:spacing w:before="120" w:after="0" w:line="252" w:lineRule="auto"/>
        <w:jc w:val="both"/>
        <w:rPr>
          <w:sz w:val="22"/>
          <w:szCs w:val="22"/>
          <w:lang w:val="en-GB"/>
        </w:rPr>
      </w:pPr>
      <w:r w:rsidRPr="00435FAF">
        <w:rPr>
          <w:sz w:val="22"/>
          <w:szCs w:val="22"/>
          <w:lang w:val="en-GB"/>
        </w:rPr>
        <w:t xml:space="preserve">As the programme is by definition multinational, in order to facilitate programme management and to shorten procedures and in accordance with Article 7 of the </w:t>
      </w:r>
      <w:r w:rsidR="007031E5">
        <w:rPr>
          <w:sz w:val="22"/>
          <w:szCs w:val="22"/>
          <w:lang w:val="en-GB"/>
        </w:rPr>
        <w:t xml:space="preserve">ENI CBC </w:t>
      </w:r>
      <w:r w:rsidRPr="00435FAF">
        <w:rPr>
          <w:sz w:val="22"/>
          <w:szCs w:val="22"/>
          <w:lang w:val="en-GB"/>
        </w:rPr>
        <w:t>Implemen</w:t>
      </w:r>
      <w:r w:rsidR="007031E5">
        <w:rPr>
          <w:sz w:val="22"/>
          <w:szCs w:val="22"/>
          <w:lang w:val="en-GB"/>
        </w:rPr>
        <w:t>ting Regulation</w:t>
      </w:r>
      <w:r w:rsidRPr="00435FAF">
        <w:rPr>
          <w:sz w:val="22"/>
          <w:szCs w:val="22"/>
          <w:lang w:val="en-GB"/>
        </w:rPr>
        <w:t xml:space="preserve">, the official language used in the programme is English. </w:t>
      </w:r>
    </w:p>
    <w:p w:rsidR="00186091" w:rsidRDefault="00EE745F" w:rsidP="00EE745F">
      <w:pPr>
        <w:pStyle w:val="Heading1"/>
        <w:spacing w:before="120" w:after="0" w:line="264" w:lineRule="auto"/>
        <w:jc w:val="left"/>
        <w:rPr>
          <w:sz w:val="22"/>
          <w:szCs w:val="22"/>
          <w:lang w:val="en-GB"/>
        </w:rPr>
      </w:pPr>
      <w:r>
        <w:rPr>
          <w:sz w:val="22"/>
          <w:szCs w:val="22"/>
          <w:lang w:val="en-GB"/>
        </w:rPr>
        <w:t xml:space="preserve"> </w:t>
      </w:r>
    </w:p>
    <w:p w:rsidR="00E326B7" w:rsidRDefault="00E326B7" w:rsidP="00E326B7">
      <w:pPr>
        <w:pStyle w:val="Heading1"/>
        <w:numPr>
          <w:ilvl w:val="1"/>
          <w:numId w:val="3"/>
        </w:numPr>
        <w:spacing w:before="120" w:after="0" w:line="264" w:lineRule="auto"/>
        <w:jc w:val="left"/>
        <w:rPr>
          <w:sz w:val="40"/>
          <w:szCs w:val="40"/>
          <w:lang w:val="en-GB"/>
        </w:rPr>
      </w:pPr>
      <w:r>
        <w:rPr>
          <w:sz w:val="40"/>
          <w:szCs w:val="40"/>
          <w:lang w:val="en-GB"/>
        </w:rPr>
        <w:br w:type="column"/>
      </w:r>
      <w:bookmarkStart w:id="139" w:name="_Toc288133480"/>
      <w:r>
        <w:rPr>
          <w:sz w:val="40"/>
          <w:szCs w:val="40"/>
          <w:lang w:val="en-GB"/>
        </w:rPr>
        <w:t>ANNEXES</w:t>
      </w:r>
      <w:bookmarkEnd w:id="139"/>
    </w:p>
    <w:p w:rsidR="002E081C" w:rsidRDefault="002E081C" w:rsidP="006142D6">
      <w:pPr>
        <w:pStyle w:val="Heading3"/>
        <w:rPr>
          <w:sz w:val="28"/>
          <w:szCs w:val="28"/>
          <w:lang w:val="en-GB"/>
        </w:rPr>
      </w:pPr>
    </w:p>
    <w:p w:rsidR="00635505" w:rsidRDefault="00E326B7" w:rsidP="006142D6">
      <w:pPr>
        <w:pStyle w:val="Heading3"/>
        <w:rPr>
          <w:sz w:val="28"/>
          <w:szCs w:val="28"/>
          <w:lang w:val="en-GB"/>
        </w:rPr>
      </w:pPr>
      <w:bookmarkStart w:id="140" w:name="_Toc288133481"/>
      <w:r w:rsidRPr="007C7DEB">
        <w:rPr>
          <w:sz w:val="28"/>
          <w:szCs w:val="28"/>
          <w:lang w:val="en-GB"/>
        </w:rPr>
        <w:t>Annex 1 –</w:t>
      </w:r>
      <w:r w:rsidR="00635505">
        <w:rPr>
          <w:sz w:val="28"/>
          <w:szCs w:val="28"/>
          <w:lang w:val="en-GB"/>
        </w:rPr>
        <w:t xml:space="preserve"> Summar</w:t>
      </w:r>
      <w:r w:rsidR="00177A82">
        <w:rPr>
          <w:sz w:val="28"/>
          <w:szCs w:val="28"/>
          <w:lang w:val="en-GB"/>
        </w:rPr>
        <w:t xml:space="preserve">y of mapping of </w:t>
      </w:r>
      <w:r w:rsidR="00177A82" w:rsidRPr="00177A82">
        <w:rPr>
          <w:sz w:val="28"/>
          <w:szCs w:val="28"/>
          <w:lang w:val="en-GB"/>
        </w:rPr>
        <w:t>projects awarded under the Black Sea Basin 2007-13 two calls for proposals and of the survey on current priorities and future needs</w:t>
      </w:r>
      <w:bookmarkEnd w:id="140"/>
    </w:p>
    <w:p w:rsidR="00A95B72" w:rsidRDefault="00635505" w:rsidP="006142D6">
      <w:pPr>
        <w:pStyle w:val="Heading3"/>
        <w:rPr>
          <w:sz w:val="28"/>
          <w:szCs w:val="28"/>
          <w:lang w:val="en-GB"/>
        </w:rPr>
      </w:pPr>
      <w:bookmarkStart w:id="141" w:name="_Toc288133482"/>
      <w:r>
        <w:rPr>
          <w:sz w:val="28"/>
          <w:szCs w:val="28"/>
          <w:lang w:val="en-GB"/>
        </w:rPr>
        <w:t xml:space="preserve">Annex 2 - Full </w:t>
      </w:r>
      <w:r w:rsidR="00A95B72">
        <w:rPr>
          <w:sz w:val="28"/>
          <w:szCs w:val="28"/>
          <w:lang w:val="en-GB"/>
        </w:rPr>
        <w:t>SWOT</w:t>
      </w:r>
      <w:r w:rsidR="000874D4">
        <w:rPr>
          <w:sz w:val="28"/>
          <w:szCs w:val="28"/>
          <w:lang w:val="en-GB"/>
        </w:rPr>
        <w:t xml:space="preserve"> and</w:t>
      </w:r>
      <w:r w:rsidR="000874D4" w:rsidRPr="000874D4">
        <w:rPr>
          <w:rFonts w:eastAsia="Times New Roman"/>
          <w:i/>
          <w:color w:val="000000"/>
          <w:sz w:val="20"/>
          <w:szCs w:val="20"/>
          <w:lang w:val="en-GB"/>
        </w:rPr>
        <w:t xml:space="preserve"> </w:t>
      </w:r>
      <w:r w:rsidR="000874D4">
        <w:rPr>
          <w:sz w:val="28"/>
          <w:szCs w:val="28"/>
          <w:lang w:val="en-GB"/>
        </w:rPr>
        <w:t>c</w:t>
      </w:r>
      <w:r w:rsidR="000874D4" w:rsidRPr="000874D4">
        <w:rPr>
          <w:sz w:val="28"/>
          <w:szCs w:val="28"/>
          <w:lang w:val="en-GB"/>
        </w:rPr>
        <w:t>ombined outcomes of SWOT and past experience analyses</w:t>
      </w:r>
      <w:bookmarkEnd w:id="141"/>
      <w:r w:rsidR="000874D4" w:rsidRPr="000874D4">
        <w:rPr>
          <w:sz w:val="28"/>
          <w:szCs w:val="28"/>
          <w:lang w:val="en-GB"/>
        </w:rPr>
        <w:t xml:space="preserve"> </w:t>
      </w:r>
    </w:p>
    <w:p w:rsidR="00252307" w:rsidRDefault="00426A75" w:rsidP="006142D6">
      <w:pPr>
        <w:pStyle w:val="Heading3"/>
        <w:rPr>
          <w:sz w:val="28"/>
          <w:szCs w:val="28"/>
          <w:lang w:val="en-GB"/>
        </w:rPr>
      </w:pPr>
      <w:bookmarkStart w:id="142" w:name="_Toc288133483"/>
      <w:r>
        <w:rPr>
          <w:sz w:val="28"/>
          <w:szCs w:val="28"/>
          <w:lang w:val="en-GB"/>
        </w:rPr>
        <w:t>Annex 2 - Outcome</w:t>
      </w:r>
      <w:r w:rsidR="00252307">
        <w:rPr>
          <w:sz w:val="28"/>
          <w:szCs w:val="28"/>
          <w:lang w:val="en-GB"/>
        </w:rPr>
        <w:t>s</w:t>
      </w:r>
      <w:r w:rsidR="00A95B72">
        <w:rPr>
          <w:sz w:val="28"/>
          <w:szCs w:val="28"/>
          <w:lang w:val="en-GB"/>
        </w:rPr>
        <w:t xml:space="preserve"> from stakeholders</w:t>
      </w:r>
      <w:r w:rsidR="00E326B7" w:rsidRPr="007C7DEB">
        <w:rPr>
          <w:sz w:val="28"/>
          <w:szCs w:val="28"/>
          <w:lang w:val="en-GB"/>
        </w:rPr>
        <w:t xml:space="preserve"> consultations</w:t>
      </w:r>
      <w:bookmarkEnd w:id="142"/>
      <w:r w:rsidR="00A95B72">
        <w:rPr>
          <w:sz w:val="28"/>
          <w:szCs w:val="28"/>
          <w:lang w:val="en-GB"/>
        </w:rPr>
        <w:t xml:space="preserve"> </w:t>
      </w:r>
    </w:p>
    <w:p w:rsidR="00252307" w:rsidRDefault="00E56D3E" w:rsidP="006142D6">
      <w:pPr>
        <w:pStyle w:val="Heading3"/>
        <w:rPr>
          <w:sz w:val="28"/>
          <w:szCs w:val="28"/>
          <w:lang w:val="en-GB"/>
        </w:rPr>
      </w:pPr>
      <w:bookmarkStart w:id="143" w:name="_Toc288133484"/>
      <w:r>
        <w:rPr>
          <w:sz w:val="28"/>
          <w:szCs w:val="28"/>
          <w:lang w:val="en-GB"/>
        </w:rPr>
        <w:t>Annex 3 – M</w:t>
      </w:r>
      <w:r w:rsidR="00252307">
        <w:rPr>
          <w:sz w:val="28"/>
          <w:szCs w:val="28"/>
          <w:lang w:val="en-GB"/>
        </w:rPr>
        <w:t xml:space="preserve">onitoring and evaluation </w:t>
      </w:r>
      <w:r>
        <w:rPr>
          <w:sz w:val="28"/>
          <w:szCs w:val="28"/>
          <w:lang w:val="en-GB"/>
        </w:rPr>
        <w:t>system and</w:t>
      </w:r>
      <w:r w:rsidR="00D97192">
        <w:rPr>
          <w:sz w:val="28"/>
          <w:szCs w:val="28"/>
          <w:lang w:val="en-GB"/>
        </w:rPr>
        <w:t xml:space="preserve"> </w:t>
      </w:r>
      <w:r w:rsidR="00252307">
        <w:rPr>
          <w:sz w:val="28"/>
          <w:szCs w:val="28"/>
          <w:lang w:val="en-GB"/>
        </w:rPr>
        <w:t>plan</w:t>
      </w:r>
      <w:bookmarkEnd w:id="143"/>
    </w:p>
    <w:p w:rsidR="00252307" w:rsidRDefault="00E56D3E" w:rsidP="006142D6">
      <w:pPr>
        <w:pStyle w:val="Heading3"/>
        <w:rPr>
          <w:sz w:val="28"/>
          <w:szCs w:val="28"/>
          <w:lang w:val="en-GB"/>
        </w:rPr>
      </w:pPr>
      <w:bookmarkStart w:id="144" w:name="_Toc288133485"/>
      <w:r>
        <w:rPr>
          <w:sz w:val="28"/>
          <w:szCs w:val="28"/>
          <w:lang w:val="en-GB"/>
        </w:rPr>
        <w:t>Annex 4 – C</w:t>
      </w:r>
      <w:r w:rsidR="00252307">
        <w:rPr>
          <w:sz w:val="28"/>
          <w:szCs w:val="28"/>
          <w:lang w:val="en-GB"/>
        </w:rPr>
        <w:t>ommunication strategy</w:t>
      </w:r>
      <w:r w:rsidR="00D02479">
        <w:rPr>
          <w:sz w:val="28"/>
          <w:szCs w:val="28"/>
          <w:lang w:val="en-GB"/>
        </w:rPr>
        <w:t xml:space="preserve"> and annual information and communication plan 2016</w:t>
      </w:r>
      <w:bookmarkEnd w:id="144"/>
    </w:p>
    <w:p w:rsidR="00186091" w:rsidRPr="00333E8E" w:rsidRDefault="00E56D3E" w:rsidP="006142D6">
      <w:pPr>
        <w:pStyle w:val="Heading3"/>
        <w:rPr>
          <w:rStyle w:val="Heading1Char"/>
        </w:rPr>
      </w:pPr>
      <w:bookmarkStart w:id="145" w:name="_Toc288133486"/>
      <w:r>
        <w:rPr>
          <w:sz w:val="28"/>
          <w:szCs w:val="28"/>
          <w:lang w:val="en-GB"/>
        </w:rPr>
        <w:t xml:space="preserve">Annex 5 – </w:t>
      </w:r>
      <w:r w:rsidR="00F2269E">
        <w:rPr>
          <w:sz w:val="28"/>
          <w:szCs w:val="28"/>
          <w:lang w:val="en-GB"/>
        </w:rPr>
        <w:t>Report on s</w:t>
      </w:r>
      <w:r w:rsidR="00252307">
        <w:rPr>
          <w:sz w:val="28"/>
          <w:szCs w:val="28"/>
          <w:lang w:val="en-GB"/>
        </w:rPr>
        <w:t>trategic environmental assessment</w:t>
      </w:r>
      <w:bookmarkEnd w:id="145"/>
      <w:r w:rsidR="00186091" w:rsidRPr="00E326B7">
        <w:rPr>
          <w:sz w:val="22"/>
          <w:szCs w:val="22"/>
          <w:lang w:val="en-GB"/>
        </w:rPr>
        <w:br w:type="column"/>
      </w:r>
      <w:bookmarkStart w:id="146" w:name="_Toc288133487"/>
      <w:r w:rsidR="00186091" w:rsidRPr="00333E8E">
        <w:rPr>
          <w:rStyle w:val="Heading1Char"/>
        </w:rPr>
        <w:t>Notes and Sources</w:t>
      </w:r>
      <w:bookmarkEnd w:id="146"/>
    </w:p>
    <w:p w:rsidR="00FC7BBB" w:rsidRDefault="00FC7BBB" w:rsidP="00EE745F">
      <w:pPr>
        <w:pStyle w:val="Heading1"/>
        <w:spacing w:before="120" w:after="0" w:line="264" w:lineRule="auto"/>
        <w:jc w:val="left"/>
        <w:rPr>
          <w:sz w:val="22"/>
          <w:szCs w:val="22"/>
          <w:lang w:val="en-GB"/>
        </w:rPr>
      </w:pPr>
    </w:p>
    <w:sectPr w:rsidR="00FC7BBB" w:rsidSect="00FF3A3D">
      <w:footerReference w:type="first" r:id="rId83"/>
      <w:footnotePr>
        <w:numFmt w:val="lowerRoman"/>
      </w:footnotePr>
      <w:endnotePr>
        <w:numFmt w:val="decimal"/>
      </w:endnotePr>
      <w:pgSz w:w="12240" w:h="15840" w:code="1"/>
      <w:pgMar w:top="794" w:right="601" w:bottom="794" w:left="760" w:header="794"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060" w:rsidRDefault="00606060" w:rsidP="00AB0047">
      <w:pPr>
        <w:spacing w:after="0" w:line="240" w:lineRule="auto"/>
      </w:pPr>
      <w:r>
        <w:separator/>
      </w:r>
    </w:p>
  </w:endnote>
  <w:endnote w:type="continuationSeparator" w:id="0">
    <w:p w:rsidR="00606060" w:rsidRDefault="00606060" w:rsidP="00AB0047">
      <w:pPr>
        <w:spacing w:after="0" w:line="240" w:lineRule="auto"/>
      </w:pPr>
      <w:r>
        <w:continuationSeparator/>
      </w:r>
    </w:p>
  </w:endnote>
  <w:endnote w:id="1">
    <w:p w:rsidR="004725B0" w:rsidRPr="00682784" w:rsidRDefault="004725B0">
      <w:pPr>
        <w:pStyle w:val="EndnoteText"/>
        <w:rPr>
          <w:lang w:val="en-GB"/>
        </w:rPr>
      </w:pPr>
      <w:r>
        <w:rPr>
          <w:rStyle w:val="EndnoteReference"/>
        </w:rPr>
        <w:endnoteRef/>
      </w:r>
      <w:r w:rsidRPr="00682784">
        <w:rPr>
          <w:lang w:val="en-GB"/>
        </w:rPr>
        <w:t xml:space="preserve"> </w:t>
      </w:r>
      <w:r w:rsidRPr="00682784">
        <w:rPr>
          <w:sz w:val="20"/>
          <w:szCs w:val="20"/>
          <w:lang w:val="en-GB"/>
        </w:rPr>
        <w:t>Source : EC, DG Regional Policy (map of the ENPI CBC BSB 2007-13 programme – same regions included in the ENI CBC programme)</w:t>
      </w:r>
    </w:p>
  </w:endnote>
  <w:endnote w:id="2">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w:t>
      </w:r>
      <w:r w:rsidRPr="004B58D3">
        <w:rPr>
          <w:rFonts w:eastAsia="Times New Roman"/>
          <w:color w:val="000000"/>
          <w:sz w:val="22"/>
          <w:szCs w:val="22"/>
          <w:lang w:val="en-GB"/>
        </w:rPr>
        <w:t>Source: Data provided by participating countries, 2012 (except for Russia, 2005); World Bank, World Development Indicators (WDI) 2011 for Armenia</w:t>
      </w:r>
    </w:p>
  </w:endnote>
  <w:endnote w:id="3">
    <w:p w:rsidR="004725B0" w:rsidRPr="004B58D3" w:rsidRDefault="004725B0" w:rsidP="005072B1">
      <w:pPr>
        <w:pStyle w:val="FootnoteText"/>
        <w:rPr>
          <w:sz w:val="22"/>
          <w:szCs w:val="22"/>
          <w:lang w:val="en-GB"/>
        </w:rPr>
      </w:pPr>
      <w:r w:rsidRPr="00222AF8">
        <w:rPr>
          <w:rStyle w:val="EndnoteReference"/>
          <w:sz w:val="22"/>
          <w:szCs w:val="22"/>
        </w:rPr>
        <w:endnoteRef/>
      </w:r>
      <w:r w:rsidRPr="004B58D3">
        <w:rPr>
          <w:sz w:val="22"/>
          <w:szCs w:val="22"/>
          <w:lang w:val="en-GB"/>
        </w:rPr>
        <w:t xml:space="preserve"> Source: Statistical data provided by participating countries in 2006 and 2013.</w:t>
      </w:r>
    </w:p>
  </w:endnote>
  <w:endnote w:id="4">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Statistical data provided by participating countries in 2006 and 2013.</w:t>
      </w:r>
    </w:p>
  </w:endnote>
  <w:endnote w:id="5">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World Development Indicators (WDI)</w:t>
      </w:r>
    </w:p>
  </w:endnote>
  <w:endnote w:id="6">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World Development Indicators (WDI)</w:t>
      </w:r>
    </w:p>
  </w:endnote>
  <w:endnote w:id="7">
    <w:p w:rsidR="004725B0" w:rsidRPr="004B58D3" w:rsidRDefault="004725B0" w:rsidP="005072B1">
      <w:pPr>
        <w:pStyle w:val="EndnoteText"/>
        <w:rPr>
          <w:lang w:val="en-GB"/>
        </w:rPr>
      </w:pPr>
      <w:r>
        <w:rPr>
          <w:rStyle w:val="EndnoteReference"/>
        </w:rPr>
        <w:endnoteRef/>
      </w:r>
      <w:r w:rsidRPr="004B58D3">
        <w:rPr>
          <w:lang w:val="en-GB"/>
        </w:rPr>
        <w:t xml:space="preserve"> </w:t>
      </w:r>
      <w:r w:rsidRPr="004B58D3">
        <w:rPr>
          <w:sz w:val="22"/>
          <w:szCs w:val="22"/>
          <w:lang w:val="en-GB"/>
        </w:rPr>
        <w:t>Source: World Bank, World Development Indicators (WDI)</w:t>
      </w:r>
    </w:p>
  </w:endnote>
  <w:endnote w:id="8">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OECD, </w:t>
      </w:r>
      <w:r w:rsidRPr="004B58D3">
        <w:rPr>
          <w:i/>
          <w:sz w:val="22"/>
          <w:szCs w:val="22"/>
          <w:lang w:val="en-GB"/>
        </w:rPr>
        <w:t>International migration outlook 2013</w:t>
      </w:r>
    </w:p>
  </w:endnote>
  <w:endnote w:id="9">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WDI</w:t>
      </w:r>
    </w:p>
  </w:endnote>
  <w:endnote w:id="10">
    <w:p w:rsidR="004725B0" w:rsidRPr="004B58D3" w:rsidRDefault="004725B0" w:rsidP="005072B1">
      <w:pPr>
        <w:pStyle w:val="EndnoteText"/>
        <w:rPr>
          <w:i/>
          <w:sz w:val="22"/>
          <w:szCs w:val="22"/>
          <w:lang w:val="en-GB"/>
        </w:rPr>
      </w:pPr>
      <w:r w:rsidRPr="00222AF8">
        <w:rPr>
          <w:rStyle w:val="EndnoteReference"/>
          <w:sz w:val="22"/>
          <w:szCs w:val="22"/>
        </w:rPr>
        <w:endnoteRef/>
      </w:r>
      <w:r w:rsidRPr="004B58D3">
        <w:rPr>
          <w:sz w:val="22"/>
          <w:szCs w:val="22"/>
          <w:lang w:val="en-GB"/>
        </w:rPr>
        <w:t xml:space="preserve"> Source: International Organisation for Migration (IMO) - </w:t>
      </w:r>
      <w:r w:rsidRPr="004B58D3">
        <w:rPr>
          <w:i/>
          <w:sz w:val="22"/>
          <w:szCs w:val="22"/>
          <w:lang w:val="en-GB"/>
        </w:rPr>
        <w:t>Migration in the Black Sea Region, An overview 2008</w:t>
      </w:r>
    </w:p>
  </w:endnote>
  <w:endnote w:id="11">
    <w:p w:rsidR="004725B0" w:rsidRPr="00F41AD2" w:rsidRDefault="004725B0" w:rsidP="005072B1">
      <w:pPr>
        <w:spacing w:after="0" w:line="240" w:lineRule="auto"/>
        <w:rPr>
          <w:sz w:val="22"/>
          <w:szCs w:val="22"/>
          <w:lang w:val="en-GB"/>
        </w:rPr>
      </w:pPr>
      <w:r w:rsidRPr="00F41AD2">
        <w:rPr>
          <w:rStyle w:val="EndnoteReference"/>
        </w:rPr>
        <w:endnoteRef/>
      </w:r>
      <w:r w:rsidRPr="00F41AD2">
        <w:rPr>
          <w:lang w:val="en-GB"/>
        </w:rPr>
        <w:t xml:space="preserve"> </w:t>
      </w:r>
      <w:r w:rsidRPr="00F41AD2">
        <w:rPr>
          <w:sz w:val="22"/>
          <w:szCs w:val="22"/>
          <w:lang w:val="en-GB"/>
        </w:rPr>
        <w:t>Source: International Organisation for Migration (IMO) – Country migration profiles 2008 for Armenia, Azerbaijan, Bulgaria, Georgia, Greece, Moldova, Russia, Turkey, Ukraine; Extended migration profile 2012 for Moldova; OECD, International Migration outlook 2013</w:t>
      </w:r>
    </w:p>
  </w:endnote>
  <w:endnote w:id="12">
    <w:p w:rsidR="004725B0" w:rsidRPr="00F41AD2" w:rsidRDefault="004725B0" w:rsidP="005072B1">
      <w:pPr>
        <w:pStyle w:val="EndnoteText"/>
        <w:rPr>
          <w:lang w:val="en-GB"/>
        </w:rPr>
      </w:pPr>
      <w:r w:rsidRPr="00F41AD2">
        <w:rPr>
          <w:rStyle w:val="EndnoteReference"/>
        </w:rPr>
        <w:endnoteRef/>
      </w:r>
      <w:r w:rsidRPr="00F41AD2">
        <w:rPr>
          <w:lang w:val="en-GB"/>
        </w:rPr>
        <w:t xml:space="preserve"> </w:t>
      </w:r>
      <w:r w:rsidRPr="00F41AD2">
        <w:rPr>
          <w:sz w:val="22"/>
          <w:szCs w:val="22"/>
          <w:lang w:val="en-GB"/>
        </w:rPr>
        <w:t xml:space="preserve">Source: International Organisation for Migration (IMO) – </w:t>
      </w:r>
      <w:r w:rsidRPr="00F41AD2">
        <w:rPr>
          <w:i/>
          <w:sz w:val="22"/>
          <w:szCs w:val="22"/>
          <w:lang w:val="en-GB"/>
        </w:rPr>
        <w:t>Country migration profiles 2008</w:t>
      </w:r>
      <w:r w:rsidRPr="00F41AD2">
        <w:rPr>
          <w:sz w:val="22"/>
          <w:szCs w:val="22"/>
          <w:lang w:val="en-GB"/>
        </w:rPr>
        <w:t xml:space="preserve"> for Armenia, Azerbaijan, Bulgaria, Georgia, Greece, Moldova, Russia, Turkey, Ukraine; </w:t>
      </w:r>
      <w:r w:rsidRPr="00F41AD2">
        <w:rPr>
          <w:i/>
          <w:sz w:val="22"/>
          <w:szCs w:val="22"/>
          <w:lang w:val="en-GB"/>
        </w:rPr>
        <w:t>Extended migration profile 2012</w:t>
      </w:r>
      <w:r w:rsidRPr="00F41AD2">
        <w:rPr>
          <w:sz w:val="22"/>
          <w:szCs w:val="22"/>
          <w:lang w:val="en-GB"/>
        </w:rPr>
        <w:t xml:space="preserve"> for Moldova</w:t>
      </w:r>
    </w:p>
  </w:endnote>
  <w:endnote w:id="13">
    <w:p w:rsidR="004725B0" w:rsidRPr="00F41AD2" w:rsidRDefault="004725B0" w:rsidP="005072B1">
      <w:pPr>
        <w:pStyle w:val="EndnoteText"/>
        <w:rPr>
          <w:lang w:val="en-GB"/>
        </w:rPr>
      </w:pPr>
      <w:r w:rsidRPr="00F41AD2">
        <w:rPr>
          <w:rStyle w:val="EndnoteReference"/>
        </w:rPr>
        <w:endnoteRef/>
      </w:r>
      <w:r w:rsidRPr="00F41AD2">
        <w:rPr>
          <w:lang w:val="en-GB"/>
        </w:rPr>
        <w:t xml:space="preserve"> </w:t>
      </w:r>
      <w:r w:rsidRPr="00F41AD2">
        <w:rPr>
          <w:sz w:val="22"/>
          <w:szCs w:val="22"/>
          <w:lang w:val="en-GB"/>
        </w:rPr>
        <w:t xml:space="preserve">Source: International Organisation for Migration (IMO) – </w:t>
      </w:r>
      <w:r w:rsidRPr="00F41AD2">
        <w:rPr>
          <w:i/>
          <w:sz w:val="22"/>
          <w:szCs w:val="22"/>
          <w:lang w:val="en-GB"/>
        </w:rPr>
        <w:t>Country migration profile 2008, Turkey</w:t>
      </w:r>
    </w:p>
  </w:endnote>
  <w:endnote w:id="14">
    <w:p w:rsidR="004725B0" w:rsidRPr="00775B26" w:rsidRDefault="004725B0" w:rsidP="005072B1">
      <w:pPr>
        <w:pStyle w:val="EndnoteText"/>
        <w:rPr>
          <w:lang w:val="en-GB"/>
        </w:rPr>
      </w:pPr>
      <w:r w:rsidRPr="00F41AD2">
        <w:rPr>
          <w:rStyle w:val="EndnoteReference"/>
        </w:rPr>
        <w:endnoteRef/>
      </w:r>
      <w:r w:rsidRPr="00F41AD2">
        <w:rPr>
          <w:lang w:val="en-GB"/>
        </w:rPr>
        <w:t xml:space="preserve"> </w:t>
      </w:r>
      <w:r w:rsidRPr="00F41AD2">
        <w:rPr>
          <w:sz w:val="22"/>
          <w:szCs w:val="22"/>
          <w:lang w:val="en-GB"/>
        </w:rPr>
        <w:t xml:space="preserve">Source: International Organisation for Migration (IMO) - </w:t>
      </w:r>
      <w:r w:rsidRPr="00F41AD2">
        <w:rPr>
          <w:i/>
          <w:sz w:val="22"/>
          <w:szCs w:val="22"/>
          <w:lang w:val="en-GB"/>
        </w:rPr>
        <w:t>Migration in the Black Sea Region, An overview 2008</w:t>
      </w:r>
    </w:p>
  </w:endnote>
  <w:endnote w:id="15">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Data provided by participating countries ; WDI for EU and Armenia</w:t>
      </w:r>
    </w:p>
  </w:endnote>
  <w:endnote w:id="16">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Data provided by participating countries</w:t>
      </w:r>
    </w:p>
  </w:endnote>
  <w:endnote w:id="17">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Data provided by participating countries</w:t>
      </w:r>
    </w:p>
  </w:endnote>
  <w:endnote w:id="18">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w:t>
      </w:r>
      <w:r>
        <w:rPr>
          <w:sz w:val="22"/>
          <w:szCs w:val="22"/>
          <w:lang w:val="en-GB"/>
        </w:rPr>
        <w:t>:</w:t>
      </w:r>
      <w:r w:rsidRPr="004B58D3">
        <w:rPr>
          <w:sz w:val="22"/>
          <w:szCs w:val="22"/>
          <w:lang w:val="en-GB"/>
        </w:rPr>
        <w:t xml:space="preserve"> World Bank WDI</w:t>
      </w:r>
    </w:p>
  </w:endnote>
  <w:endnote w:id="19">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 Black Sea Trade and Development Bank – </w:t>
      </w:r>
      <w:r w:rsidRPr="004B58D3">
        <w:rPr>
          <w:i/>
          <w:sz w:val="22"/>
          <w:szCs w:val="22"/>
          <w:lang w:val="en-GB"/>
        </w:rPr>
        <w:t xml:space="preserve">Black Sea Region : Sources of Sustainable Growth, Annual report </w:t>
      </w:r>
      <w:r w:rsidRPr="004B58D3">
        <w:rPr>
          <w:sz w:val="22"/>
          <w:szCs w:val="22"/>
          <w:lang w:val="en-GB"/>
        </w:rPr>
        <w:t>2012</w:t>
      </w:r>
    </w:p>
  </w:endnote>
  <w:endnote w:id="20">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w:t>
      </w:r>
      <w:r>
        <w:rPr>
          <w:sz w:val="22"/>
          <w:szCs w:val="22"/>
          <w:lang w:val="en-GB"/>
        </w:rPr>
        <w:t>:</w:t>
      </w:r>
      <w:r w:rsidRPr="004B58D3">
        <w:rPr>
          <w:sz w:val="22"/>
          <w:szCs w:val="22"/>
          <w:lang w:val="en-GB"/>
        </w:rPr>
        <w:t xml:space="preserve"> World Bank WDI</w:t>
      </w:r>
    </w:p>
  </w:endnote>
  <w:endnote w:id="21">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w:t>
      </w:r>
      <w:r>
        <w:rPr>
          <w:sz w:val="22"/>
          <w:szCs w:val="22"/>
          <w:lang w:val="en-GB"/>
        </w:rPr>
        <w:t>:</w:t>
      </w:r>
      <w:r w:rsidRPr="004B58D3">
        <w:rPr>
          <w:sz w:val="22"/>
          <w:szCs w:val="22"/>
          <w:lang w:val="en-GB"/>
        </w:rPr>
        <w:t xml:space="preserve"> World Bank WDI</w:t>
      </w:r>
    </w:p>
  </w:endnote>
  <w:endnote w:id="22">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Data provided by participating countries</w:t>
      </w:r>
    </w:p>
  </w:endnote>
  <w:endnote w:id="23">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Black Sea Trade and Development Bank – </w:t>
      </w:r>
      <w:r w:rsidRPr="004B58D3">
        <w:rPr>
          <w:i/>
          <w:sz w:val="22"/>
          <w:szCs w:val="22"/>
          <w:lang w:val="en-GB"/>
        </w:rPr>
        <w:t>Black Sea Region : Sources of Sustainable Growth</w:t>
      </w:r>
      <w:r w:rsidRPr="004B58D3">
        <w:rPr>
          <w:sz w:val="22"/>
          <w:szCs w:val="22"/>
          <w:lang w:val="en-GB"/>
        </w:rPr>
        <w:t xml:space="preserve">, Annual report 2012 </w:t>
      </w:r>
    </w:p>
  </w:endnote>
  <w:endnote w:id="24">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Black Sea Trade and Development Bank – </w:t>
      </w:r>
      <w:r w:rsidRPr="004B58D3">
        <w:rPr>
          <w:i/>
          <w:sz w:val="22"/>
          <w:szCs w:val="22"/>
          <w:lang w:val="en-GB"/>
        </w:rPr>
        <w:t xml:space="preserve">Black Sea Region : Sources of Sustainable Growth, Annual report </w:t>
      </w:r>
      <w:r w:rsidRPr="004B58D3">
        <w:rPr>
          <w:sz w:val="22"/>
          <w:szCs w:val="22"/>
          <w:lang w:val="en-GB"/>
        </w:rPr>
        <w:t>2012, and WDI</w:t>
      </w:r>
    </w:p>
  </w:endnote>
  <w:endnote w:id="25">
    <w:p w:rsidR="004725B0" w:rsidRPr="00775B26" w:rsidRDefault="004725B0" w:rsidP="005072B1">
      <w:pPr>
        <w:pStyle w:val="EndnoteText"/>
        <w:rPr>
          <w:i/>
          <w:lang w:val="en-GB"/>
        </w:rPr>
      </w:pPr>
      <w:r w:rsidRPr="00F41AD2">
        <w:rPr>
          <w:rStyle w:val="EndnoteReference"/>
        </w:rPr>
        <w:endnoteRef/>
      </w:r>
      <w:r w:rsidRPr="00F41AD2">
        <w:rPr>
          <w:lang w:val="en-GB"/>
        </w:rPr>
        <w:t xml:space="preserve"> </w:t>
      </w:r>
      <w:r w:rsidRPr="00F41AD2">
        <w:rPr>
          <w:sz w:val="22"/>
          <w:szCs w:val="22"/>
          <w:lang w:val="en-GB"/>
        </w:rPr>
        <w:t>Source</w:t>
      </w:r>
      <w:r>
        <w:rPr>
          <w:sz w:val="22"/>
          <w:szCs w:val="22"/>
          <w:lang w:val="en-GB"/>
        </w:rPr>
        <w:t>:</w:t>
      </w:r>
      <w:r w:rsidRPr="00F41AD2">
        <w:rPr>
          <w:sz w:val="22"/>
          <w:szCs w:val="22"/>
          <w:lang w:val="en-GB"/>
        </w:rPr>
        <w:t xml:space="preserve"> World Economic Forum, </w:t>
      </w:r>
      <w:r w:rsidRPr="00F41AD2">
        <w:rPr>
          <w:i/>
          <w:sz w:val="22"/>
          <w:szCs w:val="22"/>
          <w:lang w:val="en-GB"/>
        </w:rPr>
        <w:t>Global Competitiveness Report 2008-2009, Global Competitiveness report 2012-2013</w:t>
      </w:r>
    </w:p>
  </w:endnote>
  <w:endnote w:id="26">
    <w:p w:rsidR="004725B0" w:rsidRPr="00682784" w:rsidRDefault="004725B0" w:rsidP="005072B1">
      <w:pPr>
        <w:pStyle w:val="EndnoteText"/>
        <w:rPr>
          <w:lang w:val="en-GB"/>
        </w:rPr>
      </w:pPr>
      <w:r>
        <w:rPr>
          <w:rStyle w:val="EndnoteReference"/>
        </w:rPr>
        <w:endnoteRef/>
      </w:r>
      <w:r w:rsidRPr="00682784">
        <w:rPr>
          <w:lang w:val="en-GB"/>
        </w:rPr>
        <w:t xml:space="preserve"> </w:t>
      </w:r>
      <w:r w:rsidRPr="00F41AD2">
        <w:rPr>
          <w:sz w:val="22"/>
          <w:szCs w:val="22"/>
          <w:lang w:val="en-GB"/>
        </w:rPr>
        <w:t>Source</w:t>
      </w:r>
      <w:r>
        <w:rPr>
          <w:sz w:val="22"/>
          <w:szCs w:val="22"/>
          <w:lang w:val="en-GB"/>
        </w:rPr>
        <w:t>:</w:t>
      </w:r>
      <w:r w:rsidRPr="00F41AD2">
        <w:rPr>
          <w:sz w:val="22"/>
          <w:szCs w:val="22"/>
          <w:lang w:val="en-GB"/>
        </w:rPr>
        <w:t xml:space="preserve"> World Economic Forum,</w:t>
      </w:r>
      <w:r>
        <w:rPr>
          <w:sz w:val="22"/>
          <w:szCs w:val="22"/>
          <w:lang w:val="en-GB"/>
        </w:rPr>
        <w:t xml:space="preserve"> </w:t>
      </w:r>
      <w:r w:rsidRPr="00F41AD2">
        <w:rPr>
          <w:i/>
          <w:sz w:val="22"/>
          <w:szCs w:val="22"/>
          <w:lang w:val="en-GB"/>
        </w:rPr>
        <w:t>Global Competitiveness report 2012-2013</w:t>
      </w:r>
    </w:p>
  </w:endnote>
  <w:endnote w:id="27">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WDI</w:t>
      </w:r>
    </w:p>
  </w:endnote>
  <w:endnote w:id="28">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International Organisation for Migration (IMO) - </w:t>
      </w:r>
      <w:r w:rsidRPr="004B58D3">
        <w:rPr>
          <w:i/>
          <w:sz w:val="22"/>
          <w:szCs w:val="22"/>
          <w:lang w:val="en-GB"/>
        </w:rPr>
        <w:t xml:space="preserve">Migration in the Black Sea Region, An overview 2008 ; </w:t>
      </w:r>
      <w:r w:rsidRPr="004B58D3">
        <w:rPr>
          <w:sz w:val="22"/>
          <w:szCs w:val="22"/>
          <w:lang w:val="en-GB"/>
        </w:rPr>
        <w:t>European Training Foundation (ETF)</w:t>
      </w:r>
      <w:r w:rsidRPr="004B58D3">
        <w:rPr>
          <w:i/>
          <w:sz w:val="22"/>
          <w:szCs w:val="22"/>
          <w:lang w:val="en-GB"/>
        </w:rPr>
        <w:t xml:space="preserve"> – Black Sea labour market reviews </w:t>
      </w:r>
    </w:p>
  </w:endnote>
  <w:endnote w:id="29">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WDI</w:t>
      </w:r>
    </w:p>
  </w:endnote>
  <w:endnote w:id="30">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w:t>
      </w:r>
      <w:r>
        <w:rPr>
          <w:sz w:val="22"/>
          <w:szCs w:val="22"/>
          <w:lang w:val="en-GB"/>
        </w:rPr>
        <w:t xml:space="preserve"> </w:t>
      </w:r>
      <w:r w:rsidRPr="004B58D3">
        <w:rPr>
          <w:sz w:val="22"/>
          <w:szCs w:val="22"/>
          <w:lang w:val="en-GB"/>
        </w:rPr>
        <w:t>World Bank WDI</w:t>
      </w:r>
    </w:p>
  </w:endnote>
  <w:endnote w:id="31">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Commission on the Black Sea - </w:t>
      </w:r>
      <w:r w:rsidRPr="004B58D3">
        <w:rPr>
          <w:i/>
          <w:sz w:val="22"/>
          <w:szCs w:val="22"/>
          <w:lang w:val="en-GB"/>
        </w:rPr>
        <w:t>The Current State of Economic Development in the Black Sea Region, Policy Report, 2010</w:t>
      </w:r>
    </w:p>
  </w:endnote>
  <w:endnote w:id="32">
    <w:p w:rsidR="004725B0" w:rsidRPr="004B58D3" w:rsidRDefault="004725B0" w:rsidP="005072B1">
      <w:pPr>
        <w:pStyle w:val="EndnoteText"/>
        <w:rPr>
          <w:i/>
          <w:sz w:val="22"/>
          <w:szCs w:val="22"/>
          <w:lang w:val="en-GB"/>
        </w:rPr>
      </w:pPr>
      <w:r w:rsidRPr="00222AF8">
        <w:rPr>
          <w:rStyle w:val="EndnoteReference"/>
          <w:sz w:val="22"/>
          <w:szCs w:val="22"/>
        </w:rPr>
        <w:endnoteRef/>
      </w:r>
      <w:r w:rsidRPr="004B58D3">
        <w:rPr>
          <w:sz w:val="22"/>
          <w:szCs w:val="22"/>
          <w:lang w:val="en-GB"/>
        </w:rPr>
        <w:t xml:space="preserve"> Source: Commission on the Black Sea - </w:t>
      </w:r>
      <w:r w:rsidRPr="004B58D3">
        <w:rPr>
          <w:i/>
          <w:sz w:val="22"/>
          <w:szCs w:val="22"/>
          <w:lang w:val="en-GB"/>
        </w:rPr>
        <w:t>The Current State of Economic Development in the Black Sea Region, Policy Report, 2010</w:t>
      </w:r>
    </w:p>
  </w:endnote>
  <w:endnote w:id="33">
    <w:p w:rsidR="004725B0" w:rsidRPr="004B58D3" w:rsidRDefault="004725B0" w:rsidP="005072B1">
      <w:pPr>
        <w:pStyle w:val="EndnoteText"/>
        <w:rPr>
          <w:i/>
          <w:sz w:val="22"/>
          <w:szCs w:val="22"/>
          <w:lang w:val="en-GB"/>
        </w:rPr>
      </w:pPr>
      <w:r w:rsidRPr="00222AF8">
        <w:rPr>
          <w:rStyle w:val="EndnoteReference"/>
          <w:sz w:val="22"/>
          <w:szCs w:val="22"/>
        </w:rPr>
        <w:endnoteRef/>
      </w:r>
      <w:r w:rsidRPr="004B58D3">
        <w:rPr>
          <w:sz w:val="22"/>
          <w:szCs w:val="22"/>
          <w:vertAlign w:val="superscript"/>
          <w:lang w:val="en-GB"/>
        </w:rPr>
        <w:t xml:space="preserve"> </w:t>
      </w:r>
      <w:r w:rsidRPr="004B58D3">
        <w:rPr>
          <w:sz w:val="22"/>
          <w:szCs w:val="22"/>
          <w:lang w:val="en-GB"/>
        </w:rPr>
        <w:t xml:space="preserve">Source: OECD - </w:t>
      </w:r>
      <w:r w:rsidRPr="004B58D3">
        <w:rPr>
          <w:rStyle w:val="EndnoteReference"/>
          <w:i/>
          <w:sz w:val="22"/>
          <w:szCs w:val="22"/>
          <w:vertAlign w:val="baseline"/>
          <w:lang w:val="en-GB"/>
        </w:rPr>
        <w:t>SME Policy Index: Eastern Partner Countries 2012: Progress in the Implementation of the Small Business Act for Europe </w:t>
      </w:r>
      <w:r w:rsidRPr="004B58D3">
        <w:rPr>
          <w:i/>
          <w:sz w:val="22"/>
          <w:szCs w:val="22"/>
          <w:lang w:val="en-GB"/>
        </w:rPr>
        <w:t xml:space="preserve">; </w:t>
      </w:r>
      <w:r w:rsidRPr="004B58D3">
        <w:rPr>
          <w:sz w:val="22"/>
          <w:szCs w:val="22"/>
          <w:lang w:val="en-GB"/>
        </w:rPr>
        <w:t xml:space="preserve">OECD - </w:t>
      </w:r>
      <w:r w:rsidRPr="004B58D3">
        <w:rPr>
          <w:i/>
          <w:sz w:val="22"/>
          <w:szCs w:val="22"/>
          <w:lang w:val="en-GB"/>
        </w:rPr>
        <w:t>SME Policy Index : Western Balkans and Turkey 2012 </w:t>
      </w:r>
    </w:p>
  </w:endnote>
  <w:endnote w:id="34">
    <w:p w:rsidR="004725B0" w:rsidRPr="004B58D3" w:rsidRDefault="004725B0" w:rsidP="005072B1">
      <w:pPr>
        <w:spacing w:after="0" w:line="240" w:lineRule="auto"/>
        <w:rPr>
          <w:rFonts w:eastAsia="Times New Roman"/>
          <w:sz w:val="22"/>
          <w:szCs w:val="22"/>
          <w:lang w:val="en-GB"/>
        </w:rPr>
      </w:pPr>
      <w:r w:rsidRPr="00222AF8">
        <w:rPr>
          <w:rStyle w:val="EndnoteReference"/>
          <w:sz w:val="22"/>
          <w:szCs w:val="22"/>
        </w:rPr>
        <w:endnoteRef/>
      </w:r>
      <w:r w:rsidRPr="004B58D3">
        <w:rPr>
          <w:sz w:val="22"/>
          <w:szCs w:val="22"/>
          <w:lang w:val="en-GB"/>
        </w:rPr>
        <w:t xml:space="preserve"> Source: OECD </w:t>
      </w:r>
      <w:r w:rsidRPr="004B58D3">
        <w:rPr>
          <w:rStyle w:val="EndnoteReference"/>
          <w:i/>
          <w:sz w:val="22"/>
          <w:szCs w:val="22"/>
          <w:vertAlign w:val="baseline"/>
          <w:lang w:val="en-GB"/>
        </w:rPr>
        <w:t>SME Policy Index: Eastern Partner Countries 2012: Progress in the Implementation of the Small Business Act for Europe </w:t>
      </w:r>
      <w:r w:rsidRPr="004B58D3">
        <w:rPr>
          <w:i/>
          <w:sz w:val="22"/>
          <w:szCs w:val="22"/>
          <w:lang w:val="en-GB"/>
        </w:rPr>
        <w:t xml:space="preserve">; </w:t>
      </w:r>
      <w:r w:rsidRPr="004B58D3">
        <w:rPr>
          <w:sz w:val="22"/>
          <w:szCs w:val="22"/>
          <w:lang w:val="en-GB"/>
        </w:rPr>
        <w:t xml:space="preserve">OECD - </w:t>
      </w:r>
      <w:r w:rsidRPr="004B58D3">
        <w:rPr>
          <w:i/>
          <w:sz w:val="22"/>
          <w:szCs w:val="22"/>
          <w:lang w:val="en-GB"/>
        </w:rPr>
        <w:t>SME Policy Index : Western Balkans and Turkey 2012 ;</w:t>
      </w:r>
      <w:r w:rsidRPr="004B58D3">
        <w:rPr>
          <w:sz w:val="22"/>
          <w:szCs w:val="22"/>
          <w:lang w:val="en-GB"/>
        </w:rPr>
        <w:t xml:space="preserve"> OECD</w:t>
      </w:r>
      <w:r w:rsidRPr="004B58D3">
        <w:rPr>
          <w:i/>
          <w:sz w:val="22"/>
          <w:szCs w:val="22"/>
          <w:lang w:val="en-GB"/>
        </w:rPr>
        <w:t xml:space="preserve"> - The Impact of the Global Crisis on SME and Entrepreneurship Financing and Policy Response, 2009</w:t>
      </w:r>
    </w:p>
  </w:endnote>
  <w:endnote w:id="35">
    <w:p w:rsidR="004725B0" w:rsidRPr="00775B26" w:rsidRDefault="004725B0" w:rsidP="005072B1">
      <w:pPr>
        <w:pStyle w:val="EndnoteText"/>
        <w:rPr>
          <w:lang w:val="en-GB"/>
        </w:rPr>
      </w:pPr>
      <w:r>
        <w:rPr>
          <w:rStyle w:val="EndnoteReference"/>
        </w:rPr>
        <w:endnoteRef/>
      </w:r>
      <w:r w:rsidRPr="00775B26">
        <w:rPr>
          <w:lang w:val="en-GB"/>
        </w:rPr>
        <w:t xml:space="preserve"> </w:t>
      </w:r>
      <w:r w:rsidRPr="00775B26">
        <w:rPr>
          <w:sz w:val="22"/>
          <w:szCs w:val="22"/>
          <w:lang w:val="en-GB"/>
        </w:rPr>
        <w:t>Source : International Bank for Reconstruction and Development/World Bank,</w:t>
      </w:r>
      <w:r w:rsidRPr="00E372BE">
        <w:rPr>
          <w:i/>
          <w:sz w:val="22"/>
          <w:szCs w:val="22"/>
          <w:lang w:val="en-GB"/>
        </w:rPr>
        <w:t xml:space="preserve"> </w:t>
      </w:r>
      <w:r w:rsidRPr="00DF4A70">
        <w:rPr>
          <w:i/>
          <w:sz w:val="22"/>
          <w:szCs w:val="22"/>
          <w:lang w:val="en-GB"/>
        </w:rPr>
        <w:t>Doing Business 2013, Smarter Regulations for Small and Medium Size Enterprises</w:t>
      </w:r>
    </w:p>
  </w:endnote>
  <w:endnote w:id="36">
    <w:p w:rsidR="004725B0" w:rsidRPr="00775B26" w:rsidRDefault="004725B0" w:rsidP="005072B1">
      <w:pPr>
        <w:pStyle w:val="EndnoteText"/>
        <w:rPr>
          <w:lang w:val="en-GB"/>
        </w:rPr>
      </w:pPr>
      <w:r>
        <w:rPr>
          <w:rStyle w:val="EndnoteReference"/>
        </w:rPr>
        <w:endnoteRef/>
      </w:r>
      <w:r w:rsidRPr="00775B26">
        <w:rPr>
          <w:lang w:val="en-GB"/>
        </w:rPr>
        <w:t xml:space="preserve"> </w:t>
      </w:r>
      <w:r w:rsidRPr="00775B26">
        <w:rPr>
          <w:sz w:val="22"/>
          <w:szCs w:val="22"/>
          <w:lang w:val="en-GB"/>
        </w:rPr>
        <w:t xml:space="preserve">Source : International Bank for Reconstruction and Development/World Bank, </w:t>
      </w:r>
      <w:r w:rsidRPr="00DF4A70">
        <w:rPr>
          <w:i/>
          <w:sz w:val="22"/>
          <w:szCs w:val="22"/>
          <w:lang w:val="en-GB"/>
        </w:rPr>
        <w:t>Doing Business 2007, How to Reform ; Doing Business 2013, Smarter Regulations for Small and Medium Size Enterprises</w:t>
      </w:r>
    </w:p>
  </w:endnote>
  <w:endnote w:id="37">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WDI</w:t>
      </w:r>
    </w:p>
  </w:endnote>
  <w:endnote w:id="38">
    <w:p w:rsidR="004725B0" w:rsidRPr="004B58D3" w:rsidRDefault="004725B0" w:rsidP="005072B1">
      <w:pPr>
        <w:widowControl w:val="0"/>
        <w:autoSpaceDE w:val="0"/>
        <w:autoSpaceDN w:val="0"/>
        <w:adjustRightInd w:val="0"/>
        <w:spacing w:after="0" w:line="240" w:lineRule="auto"/>
        <w:rPr>
          <w:sz w:val="22"/>
          <w:szCs w:val="22"/>
          <w:lang w:val="en-GB"/>
        </w:rPr>
      </w:pPr>
      <w:r w:rsidRPr="00222AF8">
        <w:rPr>
          <w:rStyle w:val="EndnoteReference"/>
          <w:sz w:val="22"/>
          <w:szCs w:val="22"/>
        </w:rPr>
        <w:endnoteRef/>
      </w:r>
      <w:r w:rsidRPr="004B58D3">
        <w:rPr>
          <w:sz w:val="22"/>
          <w:szCs w:val="22"/>
          <w:lang w:val="en-GB"/>
        </w:rPr>
        <w:t xml:space="preserve"> Source: European Parliament, DG for external policies of the Union – </w:t>
      </w:r>
      <w:r w:rsidRPr="004B58D3">
        <w:rPr>
          <w:i/>
          <w:sz w:val="22"/>
          <w:szCs w:val="22"/>
          <w:lang w:val="en-GB"/>
        </w:rPr>
        <w:t>The EU’s Black Sea Synergy : Results and possible ways forward, Briefing 2010</w:t>
      </w:r>
      <w:r w:rsidRPr="004B58D3">
        <w:rPr>
          <w:sz w:val="22"/>
          <w:szCs w:val="22"/>
          <w:lang w:val="en-GB"/>
        </w:rPr>
        <w:t xml:space="preserve"> </w:t>
      </w:r>
    </w:p>
  </w:endnote>
  <w:endnote w:id="39">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Black Sea Trade and Development Bank – </w:t>
      </w:r>
      <w:r w:rsidRPr="004B58D3">
        <w:rPr>
          <w:i/>
          <w:sz w:val="22"/>
          <w:szCs w:val="22"/>
          <w:lang w:val="en-GB"/>
        </w:rPr>
        <w:t xml:space="preserve">Black Sea Region : Sources of Sustainable Growth, Annual report </w:t>
      </w:r>
      <w:r w:rsidRPr="004B58D3">
        <w:rPr>
          <w:sz w:val="22"/>
          <w:szCs w:val="22"/>
          <w:lang w:val="en-GB"/>
        </w:rPr>
        <w:t>2012</w:t>
      </w:r>
    </w:p>
  </w:endnote>
  <w:endnote w:id="40">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WDI</w:t>
      </w:r>
    </w:p>
  </w:endnote>
  <w:endnote w:id="41">
    <w:p w:rsidR="004725B0" w:rsidRPr="004B58D3" w:rsidRDefault="004725B0" w:rsidP="005072B1">
      <w:pPr>
        <w:pStyle w:val="Caption"/>
        <w:spacing w:after="0"/>
        <w:jc w:val="left"/>
        <w:rPr>
          <w:color w:val="auto"/>
          <w:sz w:val="22"/>
          <w:szCs w:val="22"/>
          <w:lang w:val="en-GB"/>
        </w:rPr>
      </w:pPr>
      <w:r w:rsidRPr="00A46540">
        <w:rPr>
          <w:rStyle w:val="EndnoteReference"/>
          <w:color w:val="auto"/>
          <w:sz w:val="22"/>
          <w:szCs w:val="22"/>
        </w:rPr>
        <w:endnoteRef/>
      </w:r>
      <w:r w:rsidRPr="004B58D3">
        <w:rPr>
          <w:color w:val="auto"/>
          <w:sz w:val="22"/>
          <w:szCs w:val="22"/>
          <w:lang w:val="en-GB"/>
        </w:rPr>
        <w:t xml:space="preserve"> </w:t>
      </w:r>
      <w:r w:rsidRPr="004B58D3">
        <w:rPr>
          <w:i w:val="0"/>
          <w:color w:val="auto"/>
          <w:sz w:val="22"/>
          <w:szCs w:val="22"/>
          <w:lang w:val="en-GB"/>
        </w:rPr>
        <w:t>Source: World Bank WDI</w:t>
      </w:r>
    </w:p>
  </w:endnote>
  <w:endnote w:id="42">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Information provided by participating countries</w:t>
      </w:r>
    </w:p>
  </w:endnote>
  <w:endnote w:id="43">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w:t>
      </w:r>
      <w:r>
        <w:rPr>
          <w:sz w:val="22"/>
          <w:szCs w:val="22"/>
          <w:lang w:val="en-GB"/>
        </w:rPr>
        <w:t>:</w:t>
      </w:r>
      <w:r w:rsidRPr="004B58D3">
        <w:rPr>
          <w:sz w:val="22"/>
          <w:szCs w:val="22"/>
          <w:lang w:val="en-GB"/>
        </w:rPr>
        <w:t>  Data provided by participating countries in 2013 and 2006 (during the ENPI CBC programme drafting)</w:t>
      </w:r>
    </w:p>
  </w:endnote>
  <w:endnote w:id="44">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Tourism Organisation (UNWTO) – </w:t>
      </w:r>
      <w:r w:rsidRPr="004B58D3">
        <w:rPr>
          <w:i/>
          <w:sz w:val="22"/>
          <w:szCs w:val="22"/>
          <w:lang w:val="en-GB"/>
        </w:rPr>
        <w:t xml:space="preserve">Tourism highlights 2013 ; </w:t>
      </w:r>
      <w:r w:rsidRPr="004B58D3">
        <w:rPr>
          <w:sz w:val="22"/>
          <w:szCs w:val="22"/>
          <w:lang w:val="en-GB"/>
        </w:rPr>
        <w:t>Data provided by participating country in 2013 and 2006</w:t>
      </w:r>
    </w:p>
  </w:endnote>
  <w:endnote w:id="45">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Tourism Organisation (UNWTO) – </w:t>
      </w:r>
      <w:r w:rsidRPr="004B58D3">
        <w:rPr>
          <w:i/>
          <w:sz w:val="22"/>
          <w:szCs w:val="22"/>
          <w:lang w:val="en-GB"/>
        </w:rPr>
        <w:t>Tourism highlights 2013</w:t>
      </w:r>
      <w:r w:rsidRPr="004B58D3">
        <w:rPr>
          <w:sz w:val="22"/>
          <w:szCs w:val="22"/>
          <w:lang w:val="en-GB"/>
        </w:rPr>
        <w:t xml:space="preserve"> </w:t>
      </w:r>
    </w:p>
  </w:endnote>
  <w:endnote w:id="46">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Data provided by participating countries</w:t>
      </w:r>
    </w:p>
  </w:endnote>
  <w:endnote w:id="47">
    <w:p w:rsidR="004725B0" w:rsidRPr="004B58D3" w:rsidRDefault="004725B0" w:rsidP="005072B1">
      <w:pPr>
        <w:pStyle w:val="EndnoteText"/>
        <w:rPr>
          <w:sz w:val="22"/>
          <w:szCs w:val="22"/>
          <w:lang w:val="en-GB"/>
        </w:rPr>
      </w:pPr>
      <w:r w:rsidRPr="00222AF8">
        <w:rPr>
          <w:rStyle w:val="EndnoteReference"/>
          <w:sz w:val="22"/>
          <w:szCs w:val="22"/>
        </w:rPr>
        <w:endnoteRef/>
      </w:r>
      <w:r w:rsidRPr="004B58D3">
        <w:rPr>
          <w:sz w:val="22"/>
          <w:szCs w:val="22"/>
          <w:lang w:val="en-GB"/>
        </w:rPr>
        <w:t xml:space="preserve"> Source: Data provided by participating countries</w:t>
      </w:r>
    </w:p>
  </w:endnote>
  <w:endnote w:id="48">
    <w:p w:rsidR="004725B0" w:rsidRPr="00F41AD2" w:rsidRDefault="004725B0" w:rsidP="005072B1">
      <w:pPr>
        <w:widowControl w:val="0"/>
        <w:autoSpaceDE w:val="0"/>
        <w:autoSpaceDN w:val="0"/>
        <w:adjustRightInd w:val="0"/>
        <w:spacing w:after="0" w:line="240" w:lineRule="auto"/>
        <w:rPr>
          <w:i/>
          <w:sz w:val="22"/>
          <w:szCs w:val="22"/>
          <w:lang w:val="en-GB"/>
        </w:rPr>
      </w:pPr>
      <w:r w:rsidRPr="00222AF8">
        <w:rPr>
          <w:rStyle w:val="EndnoteReference"/>
          <w:sz w:val="22"/>
          <w:szCs w:val="22"/>
        </w:rPr>
        <w:endnoteRef/>
      </w:r>
      <w:r w:rsidRPr="004B58D3">
        <w:rPr>
          <w:sz w:val="22"/>
          <w:szCs w:val="22"/>
          <w:lang w:val="en-GB"/>
        </w:rPr>
        <w:t xml:space="preserve"> Source: FIBL-IFOAM - </w:t>
      </w:r>
      <w:r w:rsidRPr="004B58D3">
        <w:rPr>
          <w:i/>
          <w:sz w:val="22"/>
          <w:szCs w:val="22"/>
          <w:lang w:val="en-GB"/>
        </w:rPr>
        <w:t xml:space="preserve">Organic Agriculture Worldwide: Key results from the FiBL-IFOAM survey on organic agriculture </w:t>
      </w:r>
      <w:r w:rsidRPr="00F41AD2">
        <w:rPr>
          <w:i/>
          <w:sz w:val="22"/>
          <w:szCs w:val="22"/>
          <w:lang w:val="en-GB"/>
        </w:rPr>
        <w:t>worldwide 2013</w:t>
      </w:r>
    </w:p>
  </w:endnote>
  <w:endnote w:id="49">
    <w:p w:rsidR="004725B0" w:rsidRPr="00F41AD2" w:rsidRDefault="004725B0" w:rsidP="005072B1">
      <w:pPr>
        <w:widowControl w:val="0"/>
        <w:autoSpaceDE w:val="0"/>
        <w:autoSpaceDN w:val="0"/>
        <w:adjustRightInd w:val="0"/>
        <w:spacing w:after="0" w:line="240" w:lineRule="auto"/>
        <w:rPr>
          <w:rFonts w:ascii="Times New Roman" w:hAnsi="Times New Roman"/>
          <w:sz w:val="28"/>
          <w:szCs w:val="28"/>
          <w:lang w:val="en-GB"/>
        </w:rPr>
      </w:pPr>
      <w:r w:rsidRPr="00F41AD2">
        <w:rPr>
          <w:rStyle w:val="EndnoteReference"/>
        </w:rPr>
        <w:endnoteRef/>
      </w:r>
      <w:r w:rsidRPr="00F41AD2">
        <w:rPr>
          <w:lang w:val="en-GB"/>
        </w:rPr>
        <w:t xml:space="preserve"> </w:t>
      </w:r>
      <w:r w:rsidRPr="00F41AD2">
        <w:rPr>
          <w:sz w:val="22"/>
          <w:szCs w:val="22"/>
          <w:lang w:val="en-GB"/>
        </w:rPr>
        <w:t>Source : Report of the First meeting of the ad hoc Working Group on the Black Sea (held in Constanta, Romania, 16-18 January 2012) at the General Fisheries Commission for the Mediteranean Committee on Aquaculture (held in Paris, France, 13-15 March 2013).</w:t>
      </w:r>
    </w:p>
  </w:endnote>
  <w:endnote w:id="50">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w:t>
      </w:r>
      <w:r>
        <w:rPr>
          <w:sz w:val="22"/>
          <w:szCs w:val="22"/>
          <w:lang w:val="en-GB"/>
        </w:rPr>
        <w:t xml:space="preserve"> </w:t>
      </w:r>
      <w:r w:rsidRPr="00F41AD2">
        <w:rPr>
          <w:sz w:val="22"/>
          <w:szCs w:val="22"/>
          <w:lang w:val="en-GB"/>
        </w:rPr>
        <w:t>World Bank WDI</w:t>
      </w:r>
    </w:p>
  </w:endnote>
  <w:endnote w:id="51">
    <w:p w:rsidR="004725B0" w:rsidRPr="00F41AD2" w:rsidRDefault="004725B0" w:rsidP="00D16147">
      <w:pPr>
        <w:spacing w:after="0"/>
        <w:rPr>
          <w:i/>
          <w:sz w:val="22"/>
          <w:szCs w:val="22"/>
          <w:lang w:val="en-GB"/>
        </w:rPr>
      </w:pPr>
      <w:r w:rsidRPr="00F41AD2">
        <w:rPr>
          <w:rStyle w:val="EndnoteReference"/>
          <w:sz w:val="22"/>
          <w:szCs w:val="22"/>
        </w:rPr>
        <w:endnoteRef/>
      </w:r>
      <w:r w:rsidRPr="00F41AD2">
        <w:rPr>
          <w:sz w:val="22"/>
          <w:szCs w:val="22"/>
          <w:lang w:val="en-GB"/>
        </w:rPr>
        <w:t xml:space="preserve"> Source: European Training Foundation (ETF) – </w:t>
      </w:r>
      <w:r w:rsidRPr="00F41AD2">
        <w:rPr>
          <w:i/>
          <w:sz w:val="22"/>
          <w:szCs w:val="22"/>
          <w:lang w:val="en-GB"/>
        </w:rPr>
        <w:t>Labour Markets and Employability trends and challenges in Armenia, Azerbaijan, Belarus, Georgia, Republic of Moldova and Ukraine, 2011</w:t>
      </w:r>
    </w:p>
  </w:endnote>
  <w:endnote w:id="52">
    <w:p w:rsidR="004725B0" w:rsidRPr="00F41AD2" w:rsidRDefault="004725B0" w:rsidP="00D16147">
      <w:pPr>
        <w:spacing w:after="0" w:line="240" w:lineRule="auto"/>
        <w:jc w:val="both"/>
        <w:rPr>
          <w:sz w:val="22"/>
          <w:szCs w:val="22"/>
          <w:lang w:val="en-GB"/>
        </w:rPr>
      </w:pPr>
      <w:r w:rsidRPr="00F41AD2">
        <w:rPr>
          <w:rStyle w:val="EndnoteReference"/>
          <w:sz w:val="22"/>
          <w:szCs w:val="22"/>
        </w:rPr>
        <w:endnoteRef/>
      </w:r>
      <w:r w:rsidRPr="00F41AD2">
        <w:rPr>
          <w:sz w:val="22"/>
          <w:szCs w:val="22"/>
          <w:lang w:val="en-GB"/>
        </w:rPr>
        <w:t xml:space="preserve"> Source: Bank for Reconstruction and Development (EBRD) and World Bank </w:t>
      </w:r>
      <w:r w:rsidRPr="00F41AD2">
        <w:rPr>
          <w:i/>
          <w:sz w:val="22"/>
          <w:szCs w:val="22"/>
          <w:lang w:val="en-GB"/>
        </w:rPr>
        <w:t>- 2009 Business Environment and Enterprise Performance Survey (BEEPS)</w:t>
      </w:r>
    </w:p>
  </w:endnote>
  <w:endnote w:id="53">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European Training Foundation (ETF) – </w:t>
      </w:r>
      <w:r w:rsidRPr="00F41AD2">
        <w:rPr>
          <w:i/>
          <w:sz w:val="22"/>
          <w:szCs w:val="22"/>
          <w:lang w:val="en-GB"/>
        </w:rPr>
        <w:t>Labour Markets and Employability trends and challenges in Armenia, Azerbaijan, Belarus, Georgia, Republic of Moldova and Ukraine, 2011</w:t>
      </w:r>
    </w:p>
  </w:endnote>
  <w:endnote w:id="54">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w:t>
      </w:r>
      <w:r>
        <w:rPr>
          <w:sz w:val="22"/>
          <w:szCs w:val="22"/>
          <w:lang w:val="en-GB"/>
        </w:rPr>
        <w:t xml:space="preserve"> </w:t>
      </w:r>
      <w:r w:rsidRPr="00F41AD2">
        <w:rPr>
          <w:sz w:val="22"/>
          <w:szCs w:val="22"/>
          <w:lang w:val="en-GB"/>
        </w:rPr>
        <w:t>World Bank WDI</w:t>
      </w:r>
    </w:p>
  </w:endnote>
  <w:endnote w:id="55">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Data provided by part</w:t>
      </w:r>
      <w:r>
        <w:rPr>
          <w:sz w:val="22"/>
          <w:szCs w:val="22"/>
          <w:lang w:val="en-GB"/>
        </w:rPr>
        <w:t>icipating countries in 2006 (</w:t>
      </w:r>
      <w:r w:rsidRPr="00F41AD2">
        <w:rPr>
          <w:sz w:val="22"/>
          <w:szCs w:val="22"/>
          <w:lang w:val="en-GB"/>
        </w:rPr>
        <w:t>for the Black Sea Basin ENPI CBC Programme drafting</w:t>
      </w:r>
      <w:r>
        <w:rPr>
          <w:sz w:val="22"/>
          <w:szCs w:val="22"/>
          <w:lang w:val="en-GB"/>
        </w:rPr>
        <w:t>)</w:t>
      </w:r>
    </w:p>
  </w:endnote>
  <w:endnote w:id="56">
    <w:p w:rsidR="004725B0" w:rsidRPr="00F41AD2" w:rsidRDefault="004725B0" w:rsidP="00D16147">
      <w:pPr>
        <w:pStyle w:val="EndnoteText"/>
        <w:rPr>
          <w:lang w:val="en-GB"/>
        </w:rPr>
      </w:pPr>
      <w:r w:rsidRPr="00F41AD2">
        <w:rPr>
          <w:rStyle w:val="EndnoteReference"/>
        </w:rPr>
        <w:endnoteRef/>
      </w:r>
      <w:r w:rsidRPr="00F41AD2">
        <w:rPr>
          <w:lang w:val="en-GB"/>
        </w:rPr>
        <w:t xml:space="preserve"> </w:t>
      </w:r>
      <w:r>
        <w:rPr>
          <w:sz w:val="22"/>
          <w:szCs w:val="22"/>
          <w:lang w:val="en-GB"/>
        </w:rPr>
        <w:t>Source</w:t>
      </w:r>
      <w:r w:rsidRPr="00F41AD2">
        <w:rPr>
          <w:sz w:val="22"/>
          <w:szCs w:val="22"/>
          <w:lang w:val="en-GB"/>
        </w:rPr>
        <w:t>: Eurostat</w:t>
      </w:r>
    </w:p>
  </w:endnote>
  <w:endnote w:id="57">
    <w:p w:rsidR="004725B0" w:rsidRPr="004B58D3"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World Bank WDI</w:t>
      </w:r>
    </w:p>
  </w:endnote>
  <w:endnote w:id="58">
    <w:p w:rsidR="004725B0" w:rsidRPr="004B58D3" w:rsidRDefault="004725B0" w:rsidP="00D16147">
      <w:pPr>
        <w:spacing w:after="0" w:line="240" w:lineRule="auto"/>
        <w:rPr>
          <w:i/>
          <w:sz w:val="22"/>
          <w:szCs w:val="22"/>
          <w:lang w:val="en-GB"/>
        </w:rPr>
      </w:pPr>
      <w:r w:rsidRPr="00222AF8">
        <w:rPr>
          <w:rStyle w:val="EndnoteReference"/>
          <w:sz w:val="22"/>
          <w:szCs w:val="22"/>
        </w:rPr>
        <w:endnoteRef/>
      </w:r>
      <w:r w:rsidRPr="004B58D3">
        <w:rPr>
          <w:sz w:val="22"/>
          <w:szCs w:val="22"/>
          <w:lang w:val="en-GB"/>
        </w:rPr>
        <w:t xml:space="preserve"> Source: European Training Foundation (ETF) – </w:t>
      </w:r>
      <w:r w:rsidRPr="004B58D3">
        <w:rPr>
          <w:i/>
          <w:sz w:val="22"/>
          <w:szCs w:val="22"/>
          <w:lang w:val="en-GB"/>
        </w:rPr>
        <w:t>Labour Markets and Employability trends and challenges in Armenia, Azerbaijan, Belarus, Georgia, Republic of Moldova and Ukraine, 2011</w:t>
      </w:r>
    </w:p>
  </w:endnote>
  <w:endnote w:id="59">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European Training Foundation (ETF)</w:t>
      </w:r>
      <w:r w:rsidRPr="004B58D3">
        <w:rPr>
          <w:i/>
          <w:sz w:val="22"/>
          <w:szCs w:val="22"/>
          <w:lang w:val="en-GB"/>
        </w:rPr>
        <w:t xml:space="preserve"> – Black Sea labour market reviews</w:t>
      </w:r>
    </w:p>
  </w:endnote>
  <w:endnote w:id="60">
    <w:p w:rsidR="004725B0" w:rsidRPr="00682784" w:rsidRDefault="004725B0" w:rsidP="00D16147">
      <w:pPr>
        <w:pStyle w:val="EndnoteText"/>
        <w:rPr>
          <w:lang w:val="en-GB"/>
        </w:rPr>
      </w:pPr>
      <w:r>
        <w:rPr>
          <w:rStyle w:val="EndnoteReference"/>
        </w:rPr>
        <w:endnoteRef/>
      </w:r>
      <w:r w:rsidRPr="00682784">
        <w:rPr>
          <w:lang w:val="en-GB"/>
        </w:rPr>
        <w:t xml:space="preserve"> </w:t>
      </w:r>
      <w:r w:rsidRPr="004B58D3">
        <w:rPr>
          <w:sz w:val="22"/>
          <w:szCs w:val="22"/>
          <w:lang w:val="en-GB"/>
        </w:rPr>
        <w:t>Source: Data provided by participating countries</w:t>
      </w:r>
    </w:p>
  </w:endnote>
  <w:endnote w:id="61">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Data provided by participating countries</w:t>
      </w:r>
    </w:p>
  </w:endnote>
  <w:endnote w:id="62">
    <w:p w:rsidR="004725B0" w:rsidRPr="004B58D3" w:rsidRDefault="004725B0" w:rsidP="00D16147">
      <w:pPr>
        <w:pStyle w:val="Caption"/>
        <w:spacing w:after="0"/>
        <w:jc w:val="left"/>
        <w:rPr>
          <w:color w:val="auto"/>
          <w:sz w:val="22"/>
          <w:szCs w:val="22"/>
          <w:lang w:val="en-GB"/>
        </w:rPr>
      </w:pPr>
      <w:r w:rsidRPr="00A46540">
        <w:rPr>
          <w:rStyle w:val="EndnoteReference"/>
          <w:color w:val="auto"/>
          <w:sz w:val="22"/>
          <w:szCs w:val="22"/>
        </w:rPr>
        <w:endnoteRef/>
      </w:r>
      <w:r w:rsidRPr="004B58D3">
        <w:rPr>
          <w:color w:val="auto"/>
          <w:sz w:val="22"/>
          <w:szCs w:val="22"/>
          <w:lang w:val="en-GB"/>
        </w:rPr>
        <w:t xml:space="preserve"> </w:t>
      </w:r>
      <w:r w:rsidRPr="004B58D3">
        <w:rPr>
          <w:i w:val="0"/>
          <w:color w:val="auto"/>
          <w:sz w:val="22"/>
          <w:szCs w:val="22"/>
          <w:lang w:val="en-GB"/>
        </w:rPr>
        <w:t>Source: World Bank WDI</w:t>
      </w:r>
    </w:p>
  </w:endnote>
  <w:endnote w:id="63">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WDI</w:t>
      </w:r>
    </w:p>
  </w:endnote>
  <w:endnote w:id="64">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Black Sea Commission – </w:t>
      </w:r>
      <w:r w:rsidRPr="004B58D3">
        <w:rPr>
          <w:i/>
          <w:sz w:val="22"/>
          <w:szCs w:val="22"/>
          <w:lang w:val="en-GB"/>
        </w:rPr>
        <w:t xml:space="preserve">State of the Environnement Report 2001-2007 ; </w:t>
      </w:r>
      <w:r w:rsidRPr="004B58D3">
        <w:rPr>
          <w:sz w:val="22"/>
          <w:szCs w:val="22"/>
          <w:lang w:val="en-GB"/>
        </w:rPr>
        <w:t xml:space="preserve">UNEP/GIWA </w:t>
      </w:r>
      <w:r w:rsidRPr="004B58D3">
        <w:rPr>
          <w:i/>
          <w:sz w:val="22"/>
          <w:szCs w:val="22"/>
          <w:lang w:val="en-GB"/>
        </w:rPr>
        <w:t>Eutrophication in the Black Sea Region, Impact assessment and causal chain analysis, 2005</w:t>
      </w:r>
    </w:p>
  </w:endnote>
  <w:endnote w:id="65">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United Nations Environmental Programme (UNEP)/Global International Waters Assessment (GIWA) –</w:t>
      </w:r>
      <w:r w:rsidRPr="004B58D3">
        <w:rPr>
          <w:rFonts w:cs="Arial"/>
          <w:sz w:val="22"/>
          <w:szCs w:val="22"/>
          <w:lang w:val="en-GB"/>
        </w:rPr>
        <w:t xml:space="preserve"> </w:t>
      </w:r>
      <w:r w:rsidRPr="004B58D3">
        <w:rPr>
          <w:i/>
          <w:sz w:val="22"/>
          <w:szCs w:val="22"/>
          <w:lang w:val="en-GB"/>
        </w:rPr>
        <w:t>Eutrophication in the Black Sea Region, Impact assessment and causal chain analysis, 2005</w:t>
      </w:r>
    </w:p>
  </w:endnote>
  <w:endnote w:id="66">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Black Sea Commission – </w:t>
      </w:r>
      <w:r w:rsidRPr="004B58D3">
        <w:rPr>
          <w:i/>
          <w:sz w:val="22"/>
          <w:szCs w:val="22"/>
          <w:lang w:val="en-GB"/>
        </w:rPr>
        <w:t>State of the Environnement Report 2001-2007</w:t>
      </w:r>
    </w:p>
  </w:endnote>
  <w:endnote w:id="67">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Black Sea Commission - </w:t>
      </w:r>
      <w:r w:rsidRPr="004B58D3">
        <w:rPr>
          <w:i/>
          <w:sz w:val="22"/>
          <w:szCs w:val="22"/>
          <w:lang w:val="en-GB"/>
        </w:rPr>
        <w:t xml:space="preserve">State of </w:t>
      </w:r>
      <w:r>
        <w:rPr>
          <w:i/>
          <w:sz w:val="22"/>
          <w:szCs w:val="22"/>
          <w:lang w:val="en-GB"/>
        </w:rPr>
        <w:t xml:space="preserve">the </w:t>
      </w:r>
      <w:r w:rsidRPr="004B58D3">
        <w:rPr>
          <w:i/>
          <w:sz w:val="22"/>
          <w:szCs w:val="22"/>
          <w:lang w:val="en-GB"/>
        </w:rPr>
        <w:t>Environment Report 2001-2007.</w:t>
      </w:r>
    </w:p>
  </w:endnote>
  <w:endnote w:id="68">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European Environment Agency – </w:t>
      </w:r>
      <w:r w:rsidRPr="004B58D3">
        <w:rPr>
          <w:i/>
          <w:sz w:val="22"/>
          <w:szCs w:val="22"/>
          <w:lang w:val="en-GB"/>
        </w:rPr>
        <w:t>Europe’s biodiversity – biogeographical regions and seas, the Black Sea 2012</w:t>
      </w:r>
    </w:p>
  </w:endnote>
  <w:endnote w:id="69">
    <w:p w:rsidR="004725B0" w:rsidRPr="004B58D3" w:rsidRDefault="004725B0" w:rsidP="00D16147">
      <w:pPr>
        <w:pStyle w:val="EndnoteText"/>
        <w:rPr>
          <w:i/>
          <w:sz w:val="22"/>
          <w:szCs w:val="22"/>
          <w:lang w:val="en-GB"/>
        </w:rPr>
      </w:pPr>
      <w:r w:rsidRPr="00222AF8">
        <w:rPr>
          <w:rStyle w:val="EndnoteReference"/>
          <w:sz w:val="22"/>
          <w:szCs w:val="22"/>
        </w:rPr>
        <w:endnoteRef/>
      </w:r>
      <w:r w:rsidRPr="004B58D3">
        <w:rPr>
          <w:sz w:val="22"/>
          <w:szCs w:val="22"/>
          <w:lang w:val="en-GB"/>
        </w:rPr>
        <w:t xml:space="preserve"> Source: European Environment Agency – </w:t>
      </w:r>
      <w:r w:rsidRPr="004B58D3">
        <w:rPr>
          <w:i/>
          <w:sz w:val="22"/>
          <w:szCs w:val="22"/>
          <w:lang w:val="en-GB"/>
        </w:rPr>
        <w:t>Europe’s biodiversity – biogeographical regions and seas, the Black Sea 2012</w:t>
      </w:r>
    </w:p>
  </w:endnote>
  <w:endnote w:id="70">
    <w:p w:rsidR="004725B0" w:rsidRPr="004B58D3" w:rsidRDefault="004725B0" w:rsidP="00D16147">
      <w:pPr>
        <w:pStyle w:val="EndnoteText"/>
        <w:rPr>
          <w:lang w:val="en-GB"/>
        </w:rPr>
      </w:pPr>
      <w:r>
        <w:rPr>
          <w:rStyle w:val="EndnoteReference"/>
        </w:rPr>
        <w:endnoteRef/>
      </w:r>
      <w:r w:rsidRPr="004B58D3">
        <w:rPr>
          <w:lang w:val="en-GB"/>
        </w:rPr>
        <w:t xml:space="preserve"> </w:t>
      </w:r>
      <w:r w:rsidRPr="004B58D3">
        <w:rPr>
          <w:sz w:val="22"/>
          <w:szCs w:val="22"/>
          <w:lang w:val="en-GB"/>
        </w:rPr>
        <w:t>UNECE : United Nations Economic Commission for Europe</w:t>
      </w:r>
    </w:p>
  </w:endnote>
  <w:endnote w:id="71">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European Environment Agency – </w:t>
      </w:r>
      <w:r w:rsidRPr="004B58D3">
        <w:rPr>
          <w:i/>
          <w:sz w:val="22"/>
          <w:szCs w:val="22"/>
          <w:lang w:val="en-GB"/>
        </w:rPr>
        <w:t>Europe’s biodiversity – biogeographical regions and seas, the Black Sea 2012</w:t>
      </w:r>
    </w:p>
  </w:endnote>
  <w:endnote w:id="72">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WDI</w:t>
      </w:r>
    </w:p>
  </w:endnote>
  <w:endnote w:id="73">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WDI</w:t>
      </w:r>
    </w:p>
  </w:endnote>
  <w:endnote w:id="74">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United Nations Environmental Programme (UNEP)/Global International Waters Assessment (GIWA) –</w:t>
      </w:r>
      <w:r w:rsidRPr="004B58D3">
        <w:rPr>
          <w:rFonts w:cs="Arial"/>
          <w:sz w:val="22"/>
          <w:szCs w:val="22"/>
          <w:lang w:val="en-GB"/>
        </w:rPr>
        <w:t xml:space="preserve"> </w:t>
      </w:r>
      <w:r w:rsidRPr="004B58D3">
        <w:rPr>
          <w:i/>
          <w:sz w:val="22"/>
          <w:szCs w:val="22"/>
          <w:lang w:val="en-GB"/>
        </w:rPr>
        <w:t>Eutrophication in the Black Sea Region, Impact assessment and causal chain analysis, 2005</w:t>
      </w:r>
    </w:p>
  </w:endnote>
  <w:endnote w:id="75">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United Nations Environmental Programme (UNEP)/Global International Waters Assessment (GIWA) –</w:t>
      </w:r>
      <w:r w:rsidRPr="004B58D3">
        <w:rPr>
          <w:rFonts w:cs="Arial"/>
          <w:sz w:val="22"/>
          <w:szCs w:val="22"/>
          <w:lang w:val="en-GB"/>
        </w:rPr>
        <w:t xml:space="preserve"> </w:t>
      </w:r>
      <w:r w:rsidRPr="004B58D3">
        <w:rPr>
          <w:i/>
          <w:sz w:val="22"/>
          <w:szCs w:val="22"/>
          <w:lang w:val="en-GB"/>
        </w:rPr>
        <w:t>Eutrophication in the Black Sea Region, Impact assessment and causal chain analysis, 2005</w:t>
      </w:r>
    </w:p>
  </w:endnote>
  <w:endnote w:id="76">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United Nations Environmental Programme (UNEP)/Global International Waters Assessment (GIWA) –</w:t>
      </w:r>
      <w:r w:rsidRPr="004B58D3">
        <w:rPr>
          <w:rFonts w:cs="Arial"/>
          <w:sz w:val="22"/>
          <w:szCs w:val="22"/>
          <w:lang w:val="en-GB"/>
        </w:rPr>
        <w:t xml:space="preserve"> </w:t>
      </w:r>
      <w:r w:rsidRPr="004B58D3">
        <w:rPr>
          <w:i/>
          <w:sz w:val="22"/>
          <w:szCs w:val="22"/>
          <w:lang w:val="en-GB"/>
        </w:rPr>
        <w:t>Eutrophication in the Black Sea Region, Impact assessment and causal chain analysis, 2005</w:t>
      </w:r>
    </w:p>
  </w:endnote>
  <w:endnote w:id="77">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WDI</w:t>
      </w:r>
    </w:p>
  </w:endnote>
  <w:endnote w:id="78">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WDI</w:t>
      </w:r>
    </w:p>
  </w:endnote>
  <w:endnote w:id="79">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WWF – </w:t>
      </w:r>
      <w:r w:rsidRPr="004B58D3">
        <w:rPr>
          <w:i/>
          <w:sz w:val="22"/>
          <w:szCs w:val="22"/>
          <w:lang w:val="en-GB"/>
        </w:rPr>
        <w:t>Greening the Black Sea Synergy, 2008</w:t>
      </w:r>
    </w:p>
  </w:endnote>
  <w:endnote w:id="80">
    <w:p w:rsidR="004725B0" w:rsidRPr="00F41AD2" w:rsidRDefault="004725B0" w:rsidP="00D16147">
      <w:pPr>
        <w:pStyle w:val="EndnoteText"/>
        <w:rPr>
          <w:lang w:val="en-GB"/>
        </w:rPr>
      </w:pPr>
      <w:r w:rsidRPr="00F41AD2">
        <w:rPr>
          <w:rStyle w:val="EndnoteReference"/>
        </w:rPr>
        <w:endnoteRef/>
      </w:r>
      <w:r w:rsidRPr="00F41AD2">
        <w:rPr>
          <w:lang w:val="en-GB"/>
        </w:rPr>
        <w:t xml:space="preserve"> </w:t>
      </w:r>
      <w:r w:rsidRPr="00F41AD2">
        <w:rPr>
          <w:sz w:val="22"/>
          <w:szCs w:val="22"/>
          <w:lang w:val="en-GB"/>
        </w:rPr>
        <w:t xml:space="preserve">Source: SEAS-ERA, </w:t>
      </w:r>
      <w:r w:rsidRPr="00F41AD2">
        <w:rPr>
          <w:i/>
          <w:sz w:val="22"/>
          <w:szCs w:val="22"/>
          <w:lang w:val="en-GB"/>
        </w:rPr>
        <w:t>Black Sea Strategic Research Agenda, April 2012</w:t>
      </w:r>
    </w:p>
  </w:endnote>
  <w:endnote w:id="81">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World Bank WDI</w:t>
      </w:r>
    </w:p>
  </w:endnote>
  <w:endnote w:id="82">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Data provided by participating countries</w:t>
      </w:r>
    </w:p>
  </w:endnote>
  <w:endnote w:id="83">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World Bank Indicators</w:t>
      </w:r>
    </w:p>
  </w:endnote>
  <w:endnote w:id="84">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World Health Organisation (WHO) – </w:t>
      </w:r>
      <w:r w:rsidRPr="00F41AD2">
        <w:rPr>
          <w:i/>
          <w:sz w:val="22"/>
          <w:szCs w:val="22"/>
          <w:lang w:val="en-GB"/>
        </w:rPr>
        <w:t>European Health Report 2012</w:t>
      </w:r>
    </w:p>
  </w:endnote>
  <w:endnote w:id="85">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World Health Organisation (WHO) – </w:t>
      </w:r>
      <w:r w:rsidRPr="00F41AD2">
        <w:rPr>
          <w:i/>
          <w:sz w:val="22"/>
          <w:szCs w:val="22"/>
          <w:lang w:val="en-GB"/>
        </w:rPr>
        <w:t>European Health Report 2012</w:t>
      </w:r>
    </w:p>
  </w:endnote>
  <w:endnote w:id="86">
    <w:p w:rsidR="004725B0" w:rsidRPr="00F41AD2" w:rsidRDefault="004725B0" w:rsidP="00D16147">
      <w:pPr>
        <w:pStyle w:val="EndnoteText"/>
        <w:rPr>
          <w:lang w:val="en-GB"/>
        </w:rPr>
      </w:pPr>
      <w:r w:rsidRPr="00F41AD2">
        <w:rPr>
          <w:rStyle w:val="EndnoteReference"/>
        </w:rPr>
        <w:endnoteRef/>
      </w:r>
      <w:r w:rsidRPr="00F41AD2">
        <w:rPr>
          <w:sz w:val="22"/>
          <w:szCs w:val="22"/>
          <w:lang w:val="en-GB"/>
        </w:rPr>
        <w:t>Source: World Health Organisation (WHO) statistics</w:t>
      </w:r>
    </w:p>
  </w:endnote>
  <w:endnote w:id="87">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 World Bank Health Nutrition and Population Statistics</w:t>
      </w:r>
    </w:p>
  </w:endnote>
  <w:endnote w:id="88">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World Health Organisation (WHO) – </w:t>
      </w:r>
      <w:r w:rsidRPr="00F41AD2">
        <w:rPr>
          <w:i/>
          <w:sz w:val="22"/>
          <w:szCs w:val="22"/>
          <w:lang w:val="en-GB"/>
        </w:rPr>
        <w:t>European Health Report 2012</w:t>
      </w:r>
    </w:p>
  </w:endnote>
  <w:endnote w:id="89">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World Health Organisation (WHO) – </w:t>
      </w:r>
      <w:r w:rsidRPr="00F41AD2">
        <w:rPr>
          <w:i/>
          <w:sz w:val="22"/>
          <w:szCs w:val="22"/>
          <w:lang w:val="en-GB"/>
        </w:rPr>
        <w:t>European Health Report 2012</w:t>
      </w:r>
    </w:p>
  </w:endnote>
  <w:endnote w:id="90">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WHO statistics</w:t>
      </w:r>
    </w:p>
  </w:endnote>
  <w:endnote w:id="91">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WB Health Nutrition and Population Statistics</w:t>
      </w:r>
    </w:p>
  </w:endnote>
  <w:endnote w:id="92">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WB Health Nutrition and Population Statistics</w:t>
      </w:r>
    </w:p>
  </w:endnote>
  <w:endnote w:id="93">
    <w:p w:rsidR="004725B0" w:rsidRPr="00F41AD2" w:rsidRDefault="004725B0" w:rsidP="00D16147">
      <w:pPr>
        <w:pStyle w:val="EndnoteText"/>
        <w:rPr>
          <w:lang w:val="en-GB"/>
        </w:rPr>
      </w:pPr>
      <w:r w:rsidRPr="00F41AD2">
        <w:rPr>
          <w:rStyle w:val="EndnoteReference"/>
        </w:rPr>
        <w:endnoteRef/>
      </w:r>
      <w:r w:rsidRPr="00F41AD2">
        <w:rPr>
          <w:lang w:val="en-GB"/>
        </w:rPr>
        <w:t xml:space="preserve"> </w:t>
      </w:r>
      <w:r w:rsidRPr="00F41AD2">
        <w:rPr>
          <w:sz w:val="22"/>
          <w:szCs w:val="22"/>
          <w:lang w:val="en-GB"/>
        </w:rPr>
        <w:t>Source: WB Poverty Statistics</w:t>
      </w:r>
    </w:p>
  </w:endnote>
  <w:endnote w:id="94">
    <w:p w:rsidR="004725B0" w:rsidRPr="00F41AD2" w:rsidRDefault="004725B0" w:rsidP="00D16147">
      <w:pPr>
        <w:widowControl w:val="0"/>
        <w:autoSpaceDE w:val="0"/>
        <w:autoSpaceDN w:val="0"/>
        <w:adjustRightInd w:val="0"/>
        <w:spacing w:after="0" w:line="240" w:lineRule="auto"/>
        <w:rPr>
          <w:sz w:val="22"/>
          <w:szCs w:val="22"/>
          <w:lang w:val="en-GB"/>
        </w:rPr>
      </w:pPr>
      <w:r w:rsidRPr="00F41AD2">
        <w:rPr>
          <w:rStyle w:val="EndnoteReference"/>
        </w:rPr>
        <w:endnoteRef/>
      </w:r>
      <w:r w:rsidRPr="00F41AD2">
        <w:rPr>
          <w:lang w:val="en-GB"/>
        </w:rPr>
        <w:t xml:space="preserve"> </w:t>
      </w:r>
      <w:r w:rsidRPr="00F41AD2">
        <w:rPr>
          <w:sz w:val="22"/>
          <w:szCs w:val="22"/>
          <w:lang w:val="en-GB"/>
        </w:rPr>
        <w:t>Source: WHO, 2010 report -</w:t>
      </w:r>
      <w:r w:rsidRPr="00F41AD2">
        <w:rPr>
          <w:rFonts w:ascii="Times New Roman" w:hAnsi="Times New Roman"/>
          <w:color w:val="FFFFFF"/>
          <w:sz w:val="44"/>
          <w:szCs w:val="44"/>
          <w:lang w:val="en-GB"/>
        </w:rPr>
        <w:t xml:space="preserve"> </w:t>
      </w:r>
      <w:r w:rsidRPr="00F41AD2">
        <w:rPr>
          <w:i/>
          <w:sz w:val="22"/>
          <w:szCs w:val="22"/>
          <w:lang w:val="en-GB"/>
        </w:rPr>
        <w:t>Poverty and social exclusion in the WHO European Region: health systems respond</w:t>
      </w:r>
    </w:p>
  </w:endnote>
  <w:endnote w:id="95">
    <w:p w:rsidR="004725B0" w:rsidRPr="00F41AD2" w:rsidRDefault="004725B0" w:rsidP="00D16147">
      <w:pPr>
        <w:pStyle w:val="EndnoteText"/>
        <w:rPr>
          <w:lang w:val="en-GB"/>
        </w:rPr>
      </w:pPr>
      <w:r w:rsidRPr="00F41AD2">
        <w:rPr>
          <w:rStyle w:val="EndnoteReference"/>
        </w:rPr>
        <w:endnoteRef/>
      </w:r>
      <w:r w:rsidRPr="00F41AD2">
        <w:rPr>
          <w:lang w:val="en-GB"/>
        </w:rPr>
        <w:t xml:space="preserve"> </w:t>
      </w:r>
      <w:r w:rsidRPr="00F41AD2">
        <w:rPr>
          <w:sz w:val="22"/>
          <w:szCs w:val="22"/>
          <w:lang w:val="en-GB"/>
        </w:rPr>
        <w:t>Source: WB Gender Statistics</w:t>
      </w:r>
    </w:p>
  </w:endnote>
  <w:endnote w:id="96">
    <w:p w:rsidR="004725B0" w:rsidRPr="00F41AD2" w:rsidRDefault="004725B0" w:rsidP="00D16147">
      <w:pPr>
        <w:pStyle w:val="EndnoteText"/>
        <w:rPr>
          <w:lang w:val="en-GB"/>
        </w:rPr>
      </w:pPr>
      <w:r w:rsidRPr="00F41AD2">
        <w:rPr>
          <w:rStyle w:val="EndnoteReference"/>
        </w:rPr>
        <w:endnoteRef/>
      </w:r>
      <w:r w:rsidRPr="00F41AD2">
        <w:rPr>
          <w:lang w:val="en-GB"/>
        </w:rPr>
        <w:t xml:space="preserve"> </w:t>
      </w:r>
      <w:r w:rsidRPr="00F41AD2">
        <w:rPr>
          <w:sz w:val="22"/>
          <w:szCs w:val="22"/>
          <w:lang w:val="en-GB"/>
        </w:rPr>
        <w:t>Source: United Nations Development Programme (UNDP)</w:t>
      </w:r>
    </w:p>
  </w:endnote>
  <w:endnote w:id="97">
    <w:p w:rsidR="004725B0" w:rsidRPr="004B58D3"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International Organisation for Migration (IMO) - </w:t>
      </w:r>
      <w:r w:rsidRPr="00F41AD2">
        <w:rPr>
          <w:i/>
          <w:sz w:val="22"/>
          <w:szCs w:val="22"/>
          <w:lang w:val="en-GB"/>
        </w:rPr>
        <w:t>Migration in the Black Sea Region, An overview 2008</w:t>
      </w:r>
      <w:r w:rsidRPr="004B58D3">
        <w:rPr>
          <w:i/>
          <w:sz w:val="22"/>
          <w:szCs w:val="22"/>
          <w:lang w:val="en-GB"/>
        </w:rPr>
        <w:t> </w:t>
      </w:r>
    </w:p>
  </w:endnote>
  <w:endnote w:id="98">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European Parliament, DG for external policies of the Union – </w:t>
      </w:r>
      <w:r w:rsidRPr="004B58D3">
        <w:rPr>
          <w:i/>
          <w:sz w:val="22"/>
          <w:szCs w:val="22"/>
          <w:lang w:val="en-GB"/>
        </w:rPr>
        <w:t>The EU’s Black Sea Synergy : Results and possible ways forward, Briefing 2010</w:t>
      </w:r>
    </w:p>
  </w:endnote>
  <w:endnote w:id="99">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European Parliament, DG for external policies of the Union – </w:t>
      </w:r>
      <w:r w:rsidRPr="004B58D3">
        <w:rPr>
          <w:i/>
          <w:sz w:val="22"/>
          <w:szCs w:val="22"/>
          <w:lang w:val="en-GB"/>
        </w:rPr>
        <w:t>The EU’s Black Sea Synergy : Results and possible ways forward, Briefing 2010</w:t>
      </w:r>
    </w:p>
  </w:endnote>
  <w:endnote w:id="100">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European Commission, Maritime affairs, European Atlas of the Seas</w:t>
      </w:r>
    </w:p>
  </w:endnote>
  <w:endnote w:id="101">
    <w:p w:rsidR="004725B0" w:rsidRPr="00775B26" w:rsidRDefault="004725B0" w:rsidP="00D16147">
      <w:pPr>
        <w:pStyle w:val="EndnoteText"/>
        <w:rPr>
          <w:lang w:val="en-GB"/>
        </w:rPr>
      </w:pPr>
      <w:r>
        <w:rPr>
          <w:rStyle w:val="EndnoteReference"/>
        </w:rPr>
        <w:endnoteRef/>
      </w:r>
      <w:r w:rsidRPr="00775B26">
        <w:rPr>
          <w:lang w:val="en-GB"/>
        </w:rPr>
        <w:t xml:space="preserve"> </w:t>
      </w:r>
      <w:r w:rsidRPr="004B58D3">
        <w:rPr>
          <w:sz w:val="22"/>
          <w:szCs w:val="22"/>
          <w:lang w:val="en-GB"/>
        </w:rPr>
        <w:t>Sour</w:t>
      </w:r>
      <w:r>
        <w:rPr>
          <w:sz w:val="22"/>
          <w:szCs w:val="22"/>
          <w:lang w:val="en-GB"/>
        </w:rPr>
        <w:t xml:space="preserve">ce: International Energy Agency, </w:t>
      </w:r>
      <w:r w:rsidRPr="00D83563">
        <w:rPr>
          <w:i/>
          <w:sz w:val="22"/>
          <w:szCs w:val="22"/>
          <w:lang w:val="en-GB"/>
        </w:rPr>
        <w:t>Oil Supply Security 2007</w:t>
      </w:r>
    </w:p>
  </w:endnote>
  <w:endnote w:id="102">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European Commission, Maritime affairs, European Atlas of the Seas</w:t>
      </w:r>
    </w:p>
  </w:endnote>
  <w:endnote w:id="103">
    <w:p w:rsidR="004725B0" w:rsidRPr="00222AF8" w:rsidRDefault="004725B0" w:rsidP="00D16147">
      <w:pPr>
        <w:spacing w:after="0"/>
        <w:ind w:left="357" w:hanging="357"/>
        <w:rPr>
          <w:b/>
          <w:sz w:val="22"/>
          <w:szCs w:val="22"/>
          <w:lang w:val="en-US"/>
        </w:rPr>
      </w:pPr>
      <w:r w:rsidRPr="00222AF8">
        <w:rPr>
          <w:rStyle w:val="EndnoteReference"/>
          <w:sz w:val="22"/>
          <w:szCs w:val="22"/>
        </w:rPr>
        <w:endnoteRef/>
      </w:r>
      <w:r w:rsidRPr="004B58D3">
        <w:rPr>
          <w:sz w:val="22"/>
          <w:szCs w:val="22"/>
          <w:lang w:val="en-GB"/>
        </w:rPr>
        <w:t xml:space="preserve"> Source: BSEC report </w:t>
      </w:r>
      <w:r w:rsidRPr="004B58D3">
        <w:rPr>
          <w:i/>
          <w:sz w:val="22"/>
          <w:szCs w:val="22"/>
          <w:lang w:val="en-GB"/>
        </w:rPr>
        <w:t>Development of the Sea Transport in the Black Sea Region: problems and prospects, 2009</w:t>
      </w:r>
    </w:p>
  </w:endnote>
  <w:endnote w:id="104">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 European Commission, Maritime affairs, European Atlas of the Seas</w:t>
      </w:r>
    </w:p>
  </w:endnote>
  <w:endnote w:id="105">
    <w:p w:rsidR="004725B0" w:rsidRPr="00F41AD2" w:rsidRDefault="004725B0" w:rsidP="00D16147">
      <w:pPr>
        <w:pStyle w:val="EndnoteText"/>
        <w:rPr>
          <w:lang w:val="en-GB"/>
        </w:rPr>
      </w:pPr>
      <w:r w:rsidRPr="00F41AD2">
        <w:rPr>
          <w:rStyle w:val="EndnoteReference"/>
        </w:rPr>
        <w:endnoteRef/>
      </w:r>
      <w:r w:rsidRPr="00F41AD2">
        <w:rPr>
          <w:lang w:val="en-GB"/>
        </w:rPr>
        <w:t xml:space="preserve"> </w:t>
      </w:r>
      <w:r w:rsidRPr="00F41AD2">
        <w:rPr>
          <w:sz w:val="22"/>
          <w:szCs w:val="22"/>
          <w:lang w:val="en-GB"/>
        </w:rPr>
        <w:t>Source : DG TREN, High Level Group Motorways of the Sea axis</w:t>
      </w:r>
    </w:p>
  </w:endnote>
  <w:endnote w:id="106">
    <w:p w:rsidR="004725B0" w:rsidRPr="00F41AD2" w:rsidRDefault="004725B0" w:rsidP="00D16147">
      <w:pPr>
        <w:pStyle w:val="EndnoteText"/>
        <w:rPr>
          <w:lang w:val="en-GB"/>
        </w:rPr>
      </w:pPr>
      <w:r w:rsidRPr="00F41AD2">
        <w:rPr>
          <w:rStyle w:val="EndnoteReference"/>
        </w:rPr>
        <w:endnoteRef/>
      </w:r>
      <w:r w:rsidRPr="00F41AD2">
        <w:rPr>
          <w:lang w:val="en-GB"/>
        </w:rPr>
        <w:t xml:space="preserve"> </w:t>
      </w:r>
      <w:r w:rsidRPr="00F41AD2">
        <w:rPr>
          <w:sz w:val="22"/>
          <w:szCs w:val="22"/>
          <w:lang w:val="en-GB"/>
        </w:rPr>
        <w:t xml:space="preserve">Source: Motorways of the Sea for the Black Sea and Caspian Sea project financed by EU’s TRACECA programme, </w:t>
      </w:r>
      <w:r w:rsidRPr="00F41AD2">
        <w:rPr>
          <w:i/>
          <w:sz w:val="22"/>
          <w:szCs w:val="22"/>
          <w:lang w:val="en-GB"/>
        </w:rPr>
        <w:t>Ports and Maritime Links, July 2010</w:t>
      </w:r>
      <w:r w:rsidRPr="00F41AD2">
        <w:rPr>
          <w:lang w:val="en-GB"/>
        </w:rPr>
        <w:t xml:space="preserve"> </w:t>
      </w:r>
    </w:p>
  </w:endnote>
  <w:endnote w:id="107">
    <w:p w:rsidR="004725B0" w:rsidRPr="00F41AD2"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Source: BSEC report </w:t>
      </w:r>
      <w:r w:rsidRPr="00F41AD2">
        <w:rPr>
          <w:i/>
          <w:sz w:val="22"/>
          <w:szCs w:val="22"/>
          <w:lang w:val="en-GB"/>
        </w:rPr>
        <w:t>Development of the Sea Transport in the Black Sea Region: problems and prospects, 2009</w:t>
      </w:r>
    </w:p>
  </w:endnote>
  <w:endnote w:id="108">
    <w:p w:rsidR="004725B0" w:rsidRPr="004B58D3" w:rsidRDefault="004725B0" w:rsidP="00D16147">
      <w:pPr>
        <w:pStyle w:val="EndnoteText"/>
        <w:rPr>
          <w:sz w:val="22"/>
          <w:szCs w:val="22"/>
          <w:lang w:val="en-GB"/>
        </w:rPr>
      </w:pPr>
      <w:r w:rsidRPr="00F41AD2">
        <w:rPr>
          <w:rStyle w:val="EndnoteReference"/>
          <w:sz w:val="22"/>
          <w:szCs w:val="22"/>
        </w:rPr>
        <w:endnoteRef/>
      </w:r>
      <w:r w:rsidRPr="00F41AD2">
        <w:rPr>
          <w:sz w:val="22"/>
          <w:szCs w:val="22"/>
          <w:lang w:val="en-GB"/>
        </w:rPr>
        <w:t xml:space="preserve"> As emphasized in the 2011 Declaration of BSEC Transport Ministers on Transport in the Black Sea region</w:t>
      </w:r>
    </w:p>
  </w:endnote>
  <w:endnote w:id="109">
    <w:p w:rsidR="004725B0" w:rsidRPr="00775B26" w:rsidRDefault="004725B0" w:rsidP="00D16147">
      <w:pPr>
        <w:pStyle w:val="EndnoteText"/>
        <w:rPr>
          <w:lang w:val="en-GB"/>
        </w:rPr>
      </w:pPr>
      <w:r>
        <w:rPr>
          <w:rStyle w:val="EndnoteReference"/>
        </w:rPr>
        <w:endnoteRef/>
      </w:r>
      <w:r w:rsidRPr="00775B26">
        <w:rPr>
          <w:lang w:val="en-GB"/>
        </w:rPr>
        <w:t xml:space="preserve"> </w:t>
      </w:r>
      <w:r>
        <w:rPr>
          <w:sz w:val="22"/>
          <w:szCs w:val="22"/>
          <w:lang w:val="en-GB"/>
        </w:rPr>
        <w:t>Source: TRACECA</w:t>
      </w:r>
    </w:p>
  </w:endnote>
  <w:endnote w:id="110">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World Bank WDI</w:t>
      </w:r>
    </w:p>
  </w:endnote>
  <w:endnote w:id="111">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Data provided by participating countries in 2006 and 2013 ; World Bank WDI</w:t>
      </w:r>
    </w:p>
  </w:endnote>
  <w:endnote w:id="112">
    <w:p w:rsidR="004725B0" w:rsidRPr="004B58D3" w:rsidRDefault="004725B0" w:rsidP="00D16147">
      <w:pPr>
        <w:pStyle w:val="EndnoteText"/>
        <w:rPr>
          <w:sz w:val="22"/>
          <w:szCs w:val="22"/>
          <w:lang w:val="en-GB"/>
        </w:rPr>
      </w:pPr>
      <w:r w:rsidRPr="00222AF8">
        <w:rPr>
          <w:rStyle w:val="EndnoteReference"/>
          <w:sz w:val="22"/>
          <w:szCs w:val="22"/>
        </w:rPr>
        <w:endnoteRef/>
      </w:r>
      <w:r>
        <w:rPr>
          <w:sz w:val="22"/>
          <w:szCs w:val="22"/>
          <w:lang w:val="en-GB"/>
        </w:rPr>
        <w:t xml:space="preserve"> Source: I</w:t>
      </w:r>
      <w:r w:rsidRPr="004B58D3">
        <w:rPr>
          <w:sz w:val="22"/>
          <w:szCs w:val="22"/>
          <w:lang w:val="en-GB"/>
        </w:rPr>
        <w:t>nformation provided by participating countries</w:t>
      </w:r>
    </w:p>
  </w:endnote>
  <w:endnote w:id="113">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Source:UNESCO website</w:t>
      </w:r>
    </w:p>
  </w:endnote>
  <w:endnote w:id="114">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German Marshall Fund (GMF), </w:t>
      </w:r>
      <w:r w:rsidRPr="004B58D3">
        <w:rPr>
          <w:i/>
          <w:sz w:val="22"/>
          <w:szCs w:val="22"/>
          <w:lang w:val="en-GB"/>
        </w:rPr>
        <w:t>Black Sea Trust for Regional Cooperation, On Wider Europe, March 2013</w:t>
      </w:r>
    </w:p>
  </w:endnote>
  <w:endnote w:id="115">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Council of Europe website</w:t>
      </w:r>
    </w:p>
  </w:endnote>
  <w:endnote w:id="116">
    <w:p w:rsidR="004725B0" w:rsidRPr="004B58D3" w:rsidRDefault="004725B0" w:rsidP="00D16147">
      <w:pPr>
        <w:pStyle w:val="EndnoteText"/>
        <w:rPr>
          <w:sz w:val="22"/>
          <w:szCs w:val="22"/>
          <w:lang w:val="en-GB"/>
        </w:rPr>
      </w:pPr>
      <w:r w:rsidRPr="00222AF8">
        <w:rPr>
          <w:rStyle w:val="EndnoteReference"/>
          <w:sz w:val="22"/>
          <w:szCs w:val="22"/>
        </w:rPr>
        <w:endnoteRef/>
      </w:r>
      <w:r w:rsidRPr="004B58D3">
        <w:rPr>
          <w:sz w:val="22"/>
          <w:szCs w:val="22"/>
          <w:lang w:val="en-GB"/>
        </w:rPr>
        <w:t xml:space="preserve"> Source: Assembly of European Regions website</w:t>
      </w:r>
    </w:p>
  </w:endnote>
  <w:endnote w:id="117">
    <w:p w:rsidR="004725B0" w:rsidRPr="001368E0" w:rsidRDefault="004725B0" w:rsidP="005D47A4">
      <w:pPr>
        <w:pStyle w:val="Heading3"/>
        <w:spacing w:before="0"/>
        <w:rPr>
          <w:bCs w:val="0"/>
          <w:color w:val="auto"/>
          <w:sz w:val="22"/>
          <w:szCs w:val="22"/>
          <w:lang w:val="en-GB"/>
        </w:rPr>
      </w:pPr>
      <w:r w:rsidRPr="001368E0">
        <w:rPr>
          <w:bCs w:val="0"/>
          <w:color w:val="auto"/>
          <w:sz w:val="22"/>
          <w:szCs w:val="22"/>
          <w:vertAlign w:val="superscript"/>
        </w:rPr>
        <w:endnoteRef/>
      </w:r>
      <w:r w:rsidRPr="001368E0">
        <w:rPr>
          <w:bCs w:val="0"/>
          <w:color w:val="auto"/>
          <w:sz w:val="22"/>
          <w:szCs w:val="22"/>
          <w:vertAlign w:val="superscript"/>
          <w:lang w:val="en-GB"/>
        </w:rPr>
        <w:t xml:space="preserve"> </w:t>
      </w:r>
      <w:r w:rsidRPr="001368E0">
        <w:rPr>
          <w:bCs w:val="0"/>
          <w:color w:val="auto"/>
          <w:sz w:val="22"/>
          <w:szCs w:val="22"/>
          <w:lang w:val="en-GB"/>
        </w:rPr>
        <w:t>Source: European Parliament resolution of 20 January 2011 on an EU Strategy for the Black Sea</w:t>
      </w:r>
    </w:p>
    <w:p w:rsidR="004725B0" w:rsidRPr="004B58D3" w:rsidRDefault="004725B0" w:rsidP="005D47A4">
      <w:pPr>
        <w:pStyle w:val="EndnoteText"/>
        <w:rPr>
          <w:sz w:val="22"/>
          <w:szCs w:val="22"/>
          <w:lang w:val="en-GB"/>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Thorndale AMT">
    <w:altName w:val="Times New Roman"/>
    <w:charset w:val="00"/>
    <w:family w:val="roman"/>
    <w:pitch w:val="variable"/>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AFF" w:usb1="C000605B" w:usb2="00000029" w:usb3="00000000" w:csb0="000101FF" w:csb1="00000000"/>
  </w:font>
  <w:font w:name="Times">
    <w:panose1 w:val="02020603050405020304"/>
    <w:charset w:val="EE"/>
    <w:family w:val="roman"/>
    <w:pitch w:val="variable"/>
    <w:sig w:usb0="E0002AEF" w:usb1="C0007841" w:usb2="00000009" w:usb3="00000000" w:csb0="000001FF" w:csb1="00000000"/>
  </w:font>
  <w:font w:name="Utopia Std">
    <w:altName w:val="Cambria"/>
    <w:panose1 w:val="00000000000000000000"/>
    <w:charset w:val="4D"/>
    <w:family w:val="roman"/>
    <w:notTrueType/>
    <w:pitch w:val="default"/>
    <w:sig w:usb0="00000003" w:usb1="00000000" w:usb2="00000000" w:usb3="00000000" w:csb0="00000001" w:csb1="00000000"/>
  </w:font>
  <w:font w:name="Helvetica 65 Medium">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wis721 Lt BT">
    <w:charset w:val="00"/>
    <w:family w:val="swiss"/>
    <w:pitch w:val="variable"/>
    <w:sig w:usb0="00000087" w:usb1="00000000" w:usb2="00000000" w:usb3="00000000" w:csb0="0000001B" w:csb1="00000000"/>
  </w:font>
  <w:font w:name="EUAlbertina">
    <w:altName w:val="Cambria"/>
    <w:panose1 w:val="00000000000000000000"/>
    <w:charset w:val="00"/>
    <w:family w:val="swiss"/>
    <w:notTrueType/>
    <w:pitch w:val="default"/>
    <w:sig w:usb0="00000003" w:usb1="00000000" w:usb2="00000000" w:usb3="00000000" w:csb0="00000001" w:csb1="00000000"/>
  </w:font>
  <w:font w:name="Helvetica Neue">
    <w:charset w:val="00"/>
    <w:family w:val="auto"/>
    <w:pitch w:val="variable"/>
    <w:sig w:usb0="80000067" w:usb1="00000000" w:usb2="00000000" w:usb3="00000000" w:csb0="00000001" w:csb1="00000000"/>
  </w:font>
  <w:font w:name="v)àÔˇøﬁ‡Õ">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Lucida Grande">
    <w:altName w:val="Arial"/>
    <w:charset w:val="00"/>
    <w:family w:val="auto"/>
    <w:pitch w:val="variable"/>
    <w:sig w:usb0="E1000AEF" w:usb1="5000A1FF" w:usb2="00000000" w:usb3="00000000" w:csb0="000001B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B0" w:rsidRDefault="004725B0" w:rsidP="00754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25B0" w:rsidRDefault="004725B0" w:rsidP="003B368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788"/>
      <w:gridCol w:w="4788"/>
    </w:tblGrid>
    <w:tr w:rsidR="004725B0" w:rsidRPr="001368E0" w:rsidTr="00AB0047">
      <w:tc>
        <w:tcPr>
          <w:tcW w:w="4788" w:type="dxa"/>
        </w:tcPr>
        <w:p w:rsidR="004725B0" w:rsidRPr="001368E0" w:rsidRDefault="004725B0" w:rsidP="00C91ECF">
          <w:pPr>
            <w:pStyle w:val="Footer"/>
            <w:spacing w:line="240" w:lineRule="auto"/>
            <w:rPr>
              <w:b/>
              <w:color w:val="auto"/>
              <w:sz w:val="24"/>
              <w:lang w:val="en-GB"/>
            </w:rPr>
          </w:pPr>
          <w:r w:rsidRPr="001368E0">
            <w:t>Black Sea Basin 2014-2020</w:t>
          </w:r>
        </w:p>
      </w:tc>
      <w:tc>
        <w:tcPr>
          <w:tcW w:w="4788" w:type="dxa"/>
        </w:tcPr>
        <w:p w:rsidR="004725B0" w:rsidRPr="001368E0" w:rsidRDefault="004725B0" w:rsidP="00A84CEA">
          <w:pPr>
            <w:pStyle w:val="Header-FooterRight"/>
            <w:spacing w:before="0" w:line="240" w:lineRule="auto"/>
          </w:pPr>
          <w:fldSimple w:instr="PAGE">
            <w:r w:rsidR="006102F6">
              <w:rPr>
                <w:noProof/>
              </w:rPr>
              <w:t>iv</w:t>
            </w:r>
          </w:fldSimple>
        </w:p>
      </w:tc>
    </w:tr>
  </w:tbl>
  <w:p w:rsidR="004725B0" w:rsidRPr="001368E0" w:rsidRDefault="004725B0" w:rsidP="00A84CEA">
    <w:pPr>
      <w:pStyle w:val="NoSpacing"/>
      <w:rPr>
        <w:color w:val="595959"/>
        <w:sz w:val="16"/>
        <w:szCs w:val="16"/>
      </w:rPr>
    </w:pPr>
    <w:r w:rsidRPr="001368E0">
      <w:rPr>
        <w:color w:val="595959"/>
        <w:sz w:val="16"/>
        <w:szCs w:val="16"/>
      </w:rPr>
      <w:t>Draft 5 March 2015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B0" w:rsidRDefault="004725B0" w:rsidP="00754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02F6">
      <w:rPr>
        <w:rStyle w:val="PageNumber"/>
        <w:noProof/>
      </w:rPr>
      <w:t>10</w:t>
    </w:r>
    <w:r>
      <w:rPr>
        <w:rStyle w:val="PageNumber"/>
      </w:rPr>
      <w:fldChar w:fldCharType="end"/>
    </w:r>
  </w:p>
  <w:tbl>
    <w:tblPr>
      <w:tblW w:w="0" w:type="auto"/>
      <w:tblLook w:val="04A0"/>
    </w:tblPr>
    <w:tblGrid>
      <w:gridCol w:w="4788"/>
      <w:gridCol w:w="4788"/>
    </w:tblGrid>
    <w:tr w:rsidR="004725B0" w:rsidRPr="001368E0" w:rsidTr="00AB0047">
      <w:tc>
        <w:tcPr>
          <w:tcW w:w="4788" w:type="dxa"/>
        </w:tcPr>
        <w:p w:rsidR="004725B0" w:rsidRPr="001368E0" w:rsidRDefault="004725B0" w:rsidP="003B368B">
          <w:pPr>
            <w:pStyle w:val="Footer"/>
            <w:ind w:right="360"/>
            <w:rPr>
              <w:b/>
              <w:color w:val="auto"/>
              <w:sz w:val="24"/>
              <w:lang w:val="en-GB"/>
            </w:rPr>
          </w:pPr>
          <w:r w:rsidRPr="001368E0">
            <w:t>Black Sea Basin 2014-2020</w:t>
          </w:r>
        </w:p>
      </w:tc>
      <w:tc>
        <w:tcPr>
          <w:tcW w:w="4788" w:type="dxa"/>
        </w:tcPr>
        <w:p w:rsidR="004725B0" w:rsidRPr="001368E0" w:rsidRDefault="004725B0" w:rsidP="00AB0047">
          <w:pPr>
            <w:pStyle w:val="Header-FooterRight"/>
            <w:rPr>
              <w:lang w:val="en-GB"/>
            </w:rPr>
          </w:pPr>
        </w:p>
      </w:tc>
    </w:tr>
  </w:tbl>
  <w:p w:rsidR="004725B0" w:rsidRPr="001368E0" w:rsidRDefault="004725B0" w:rsidP="00AB0047">
    <w:pPr>
      <w:pStyle w:val="NoSpacing"/>
      <w:rPr>
        <w:color w:val="595959"/>
        <w:sz w:val="16"/>
        <w:szCs w:val="16"/>
      </w:rPr>
    </w:pPr>
    <w:r w:rsidRPr="001368E0">
      <w:rPr>
        <w:color w:val="595959"/>
        <w:sz w:val="16"/>
        <w:szCs w:val="16"/>
      </w:rPr>
      <w:t>Prepared by ENI CBC -  SPP</w:t>
    </w:r>
  </w:p>
  <w:p w:rsidR="004725B0" w:rsidRDefault="004725B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788"/>
      <w:gridCol w:w="4788"/>
    </w:tblGrid>
    <w:tr w:rsidR="004725B0" w:rsidRPr="001368E0" w:rsidTr="00AB0047">
      <w:tc>
        <w:tcPr>
          <w:tcW w:w="4788" w:type="dxa"/>
        </w:tcPr>
        <w:p w:rsidR="004725B0" w:rsidRPr="001368E0" w:rsidRDefault="004725B0" w:rsidP="00AB0047">
          <w:pPr>
            <w:pStyle w:val="Footer"/>
            <w:rPr>
              <w:b/>
              <w:color w:val="auto"/>
              <w:sz w:val="24"/>
              <w:lang w:val="en-GB"/>
            </w:rPr>
          </w:pPr>
          <w:r w:rsidRPr="001368E0">
            <w:t>Black Sea Basin 2014-2020</w:t>
          </w:r>
        </w:p>
      </w:tc>
      <w:tc>
        <w:tcPr>
          <w:tcW w:w="4788" w:type="dxa"/>
        </w:tcPr>
        <w:p w:rsidR="004725B0" w:rsidRPr="001368E0" w:rsidRDefault="004725B0" w:rsidP="00AB0047">
          <w:pPr>
            <w:pStyle w:val="Header-FooterRight"/>
          </w:pPr>
          <w:fldSimple w:instr="PAGE">
            <w:r w:rsidR="006102F6">
              <w:rPr>
                <w:noProof/>
              </w:rPr>
              <w:t>1</w:t>
            </w:r>
          </w:fldSimple>
        </w:p>
      </w:tc>
    </w:tr>
  </w:tbl>
  <w:p w:rsidR="004725B0" w:rsidRDefault="004725B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B0" w:rsidRDefault="004725B0" w:rsidP="00754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7A31">
      <w:rPr>
        <w:rStyle w:val="PageNumber"/>
        <w:noProof/>
      </w:rPr>
      <w:t>74</w:t>
    </w:r>
    <w:r>
      <w:rPr>
        <w:rStyle w:val="PageNumber"/>
      </w:rPr>
      <w:fldChar w:fldCharType="end"/>
    </w:r>
  </w:p>
  <w:tbl>
    <w:tblPr>
      <w:tblW w:w="0" w:type="auto"/>
      <w:tblLook w:val="04A0"/>
    </w:tblPr>
    <w:tblGrid>
      <w:gridCol w:w="4788"/>
      <w:gridCol w:w="4788"/>
    </w:tblGrid>
    <w:tr w:rsidR="004725B0" w:rsidRPr="001368E0" w:rsidTr="00AB0047">
      <w:tc>
        <w:tcPr>
          <w:tcW w:w="4788" w:type="dxa"/>
        </w:tcPr>
        <w:p w:rsidR="004725B0" w:rsidRPr="001368E0" w:rsidRDefault="004725B0" w:rsidP="003B368B">
          <w:pPr>
            <w:pStyle w:val="Footer"/>
            <w:ind w:right="360"/>
            <w:rPr>
              <w:b/>
              <w:color w:val="auto"/>
              <w:sz w:val="24"/>
              <w:lang w:val="en-GB"/>
            </w:rPr>
          </w:pPr>
          <w:r w:rsidRPr="001368E0">
            <w:t>Black Sea Basin 2014-2020</w:t>
          </w:r>
        </w:p>
      </w:tc>
      <w:tc>
        <w:tcPr>
          <w:tcW w:w="4788" w:type="dxa"/>
        </w:tcPr>
        <w:p w:rsidR="004725B0" w:rsidRPr="001368E0" w:rsidRDefault="004725B0" w:rsidP="00AB0047">
          <w:pPr>
            <w:pStyle w:val="Header-FooterRight"/>
            <w:rPr>
              <w:lang w:val="en-GB"/>
            </w:rPr>
          </w:pPr>
        </w:p>
      </w:tc>
    </w:tr>
  </w:tbl>
  <w:p w:rsidR="004725B0" w:rsidRPr="001368E0" w:rsidRDefault="004725B0" w:rsidP="00AB0047">
    <w:pPr>
      <w:pStyle w:val="NoSpacing"/>
      <w:rPr>
        <w:color w:val="595959"/>
        <w:sz w:val="16"/>
        <w:szCs w:val="16"/>
      </w:rPr>
    </w:pPr>
    <w:r w:rsidRPr="001368E0">
      <w:rPr>
        <w:color w:val="595959"/>
        <w:sz w:val="16"/>
        <w:szCs w:val="16"/>
      </w:rPr>
      <w:t>Prepared by ENI CBC -  SPP</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788"/>
      <w:gridCol w:w="4788"/>
    </w:tblGrid>
    <w:tr w:rsidR="004725B0" w:rsidRPr="001368E0" w:rsidTr="00AB0047">
      <w:tc>
        <w:tcPr>
          <w:tcW w:w="4788" w:type="dxa"/>
        </w:tcPr>
        <w:p w:rsidR="004725B0" w:rsidRPr="001368E0" w:rsidRDefault="004725B0" w:rsidP="00AB0047">
          <w:pPr>
            <w:pStyle w:val="Footer"/>
            <w:rPr>
              <w:b/>
              <w:color w:val="auto"/>
              <w:sz w:val="24"/>
              <w:lang w:val="en-GB"/>
            </w:rPr>
          </w:pPr>
          <w:r w:rsidRPr="001368E0">
            <w:t>Black Sea Basin 2014-2020</w:t>
          </w:r>
        </w:p>
      </w:tc>
      <w:tc>
        <w:tcPr>
          <w:tcW w:w="4788" w:type="dxa"/>
        </w:tcPr>
        <w:p w:rsidR="004725B0" w:rsidRPr="001368E0" w:rsidRDefault="004725B0" w:rsidP="007642BB">
          <w:pPr>
            <w:pStyle w:val="Header-FooterRight"/>
          </w:pPr>
        </w:p>
      </w:tc>
    </w:tr>
  </w:tbl>
  <w:p w:rsidR="004725B0" w:rsidRPr="001368E0" w:rsidRDefault="004725B0" w:rsidP="00AB0047">
    <w:pPr>
      <w:pStyle w:val="NoSpacing"/>
      <w:rPr>
        <w:color w:val="595959"/>
        <w:sz w:val="16"/>
        <w:szCs w:val="16"/>
      </w:rPr>
    </w:pPr>
    <w:r w:rsidRPr="001368E0">
      <w:rPr>
        <w:color w:val="595959"/>
        <w:sz w:val="16"/>
        <w:szCs w:val="16"/>
      </w:rPr>
      <w:t>Prepared by ENI CBC -  SPP</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788"/>
      <w:gridCol w:w="4788"/>
    </w:tblGrid>
    <w:tr w:rsidR="004725B0" w:rsidRPr="001368E0" w:rsidTr="00AB0047">
      <w:tc>
        <w:tcPr>
          <w:tcW w:w="4788" w:type="dxa"/>
        </w:tcPr>
        <w:p w:rsidR="004725B0" w:rsidRPr="001368E0" w:rsidRDefault="004725B0" w:rsidP="00AB0047">
          <w:pPr>
            <w:pStyle w:val="Footer"/>
            <w:rPr>
              <w:b/>
              <w:color w:val="auto"/>
              <w:sz w:val="24"/>
              <w:lang w:val="en-GB"/>
            </w:rPr>
          </w:pPr>
          <w:r w:rsidRPr="001368E0">
            <w:t>Black Sea Basin 2014-2020</w:t>
          </w:r>
        </w:p>
      </w:tc>
      <w:tc>
        <w:tcPr>
          <w:tcW w:w="4788" w:type="dxa"/>
        </w:tcPr>
        <w:p w:rsidR="004725B0" w:rsidRPr="001368E0" w:rsidRDefault="004725B0" w:rsidP="00AB0047">
          <w:pPr>
            <w:pStyle w:val="Header-FooterRight"/>
          </w:pPr>
          <w:fldSimple w:instr="PAGE">
            <w:r w:rsidR="00197A31" w:rsidRPr="001368E0">
              <w:rPr>
                <w:noProof/>
              </w:rPr>
              <w:t>94</w:t>
            </w:r>
          </w:fldSimple>
        </w:p>
      </w:tc>
    </w:tr>
  </w:tbl>
  <w:p w:rsidR="004725B0" w:rsidRPr="001368E0" w:rsidRDefault="004725B0" w:rsidP="00AB0047">
    <w:pPr>
      <w:pStyle w:val="NoSpacing"/>
      <w:rPr>
        <w:color w:val="595959"/>
        <w:sz w:val="16"/>
        <w:szCs w:val="16"/>
      </w:rPr>
    </w:pPr>
    <w:r w:rsidRPr="001368E0">
      <w:rPr>
        <w:color w:val="595959"/>
        <w:sz w:val="16"/>
        <w:szCs w:val="16"/>
      </w:rPr>
      <w:t>Prepared by ENI CBC -  SPP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060" w:rsidRDefault="00606060" w:rsidP="00AB0047">
      <w:pPr>
        <w:spacing w:after="0" w:line="240" w:lineRule="auto"/>
      </w:pPr>
      <w:r>
        <w:separator/>
      </w:r>
    </w:p>
  </w:footnote>
  <w:footnote w:type="continuationSeparator" w:id="0">
    <w:p w:rsidR="00606060" w:rsidRDefault="00606060" w:rsidP="00AB0047">
      <w:pPr>
        <w:spacing w:after="0" w:line="240" w:lineRule="auto"/>
      </w:pPr>
      <w:r>
        <w:continuationSeparator/>
      </w:r>
    </w:p>
  </w:footnote>
  <w:footnote w:id="1">
    <w:p w:rsidR="004725B0" w:rsidRPr="001368E0" w:rsidRDefault="004725B0" w:rsidP="009E17B7">
      <w:pPr>
        <w:pStyle w:val="Default"/>
        <w:rPr>
          <w:rFonts w:ascii="Calisto MT" w:hAnsi="Calisto MT"/>
          <w:sz w:val="18"/>
          <w:szCs w:val="18"/>
          <w:lang w:val="en-GB"/>
        </w:rPr>
      </w:pPr>
      <w:r w:rsidRPr="001368E0">
        <w:rPr>
          <w:rStyle w:val="FootnoteReference"/>
          <w:rFonts w:ascii="Calisto MT" w:hAnsi="Calisto MT"/>
          <w:sz w:val="18"/>
          <w:szCs w:val="18"/>
        </w:rPr>
        <w:footnoteRef/>
      </w:r>
      <w:r w:rsidRPr="001368E0">
        <w:rPr>
          <w:rFonts w:ascii="Calisto MT" w:hAnsi="Calisto MT"/>
          <w:sz w:val="18"/>
          <w:szCs w:val="18"/>
          <w:lang w:val="en-GB"/>
        </w:rPr>
        <w:t xml:space="preserve"> </w:t>
      </w:r>
      <w:r w:rsidRPr="001368E0">
        <w:rPr>
          <w:rFonts w:ascii="Calisto MT" w:hAnsi="Calisto MT" w:cs="Times New Roman"/>
          <w:color w:val="auto"/>
          <w:sz w:val="18"/>
          <w:szCs w:val="18"/>
          <w:lang w:val="en-GB"/>
        </w:rPr>
        <w:t>Regulation (EU) No 232/2014 of the European Parliament and of the Council of 11 March 2014 establishing a European Neighbourhood Instrument</w:t>
      </w:r>
    </w:p>
  </w:footnote>
  <w:footnote w:id="2">
    <w:p w:rsidR="004725B0" w:rsidRPr="00682784" w:rsidRDefault="004725B0" w:rsidP="00D93FC9">
      <w:pPr>
        <w:pStyle w:val="Default"/>
        <w:rPr>
          <w:rFonts w:ascii="EUAlbertina" w:hAnsi="EUAlbertina" w:cs="EUAlbertina"/>
          <w:lang w:val="en-GB"/>
        </w:rPr>
      </w:pPr>
      <w:r w:rsidRPr="005E50B5">
        <w:rPr>
          <w:rStyle w:val="FootnoteReference"/>
          <w:sz w:val="18"/>
          <w:szCs w:val="18"/>
        </w:rPr>
        <w:footnoteRef/>
      </w:r>
      <w:r w:rsidRPr="005E50B5">
        <w:rPr>
          <w:sz w:val="18"/>
          <w:szCs w:val="18"/>
          <w:lang w:val="en-GB"/>
        </w:rPr>
        <w:t xml:space="preserve"> </w:t>
      </w:r>
      <w:r>
        <w:rPr>
          <w:sz w:val="18"/>
          <w:szCs w:val="18"/>
          <w:lang w:val="en-GB"/>
        </w:rPr>
        <w:t xml:space="preserve">Commission Implementing Regulation </w:t>
      </w:r>
      <w:r w:rsidRPr="001368E0">
        <w:rPr>
          <w:rFonts w:ascii="Calisto MT" w:hAnsi="Calisto MT" w:cs="Times New Roman"/>
          <w:color w:val="auto"/>
          <w:sz w:val="18"/>
          <w:szCs w:val="18"/>
          <w:lang w:val="en-GB"/>
        </w:rPr>
        <w:t>(EU) No 897/2014 of 18 August 2014 laying down specific provisions for the implementation of cross-border cooperation programmes financed under Regulation (EU) No 232/2014 of the European Parliament and the Council</w:t>
      </w:r>
    </w:p>
  </w:footnote>
  <w:footnote w:id="3">
    <w:p w:rsidR="004725B0" w:rsidRPr="00147C31" w:rsidRDefault="004725B0" w:rsidP="00F50E71">
      <w:pPr>
        <w:widowControl w:val="0"/>
        <w:autoSpaceDE w:val="0"/>
        <w:autoSpaceDN w:val="0"/>
        <w:adjustRightInd w:val="0"/>
        <w:spacing w:after="0" w:line="240" w:lineRule="auto"/>
        <w:rPr>
          <w:sz w:val="18"/>
          <w:szCs w:val="18"/>
          <w:lang w:val="en-GB"/>
        </w:rPr>
      </w:pPr>
      <w:r>
        <w:rPr>
          <w:rStyle w:val="FootnoteReference"/>
        </w:rPr>
        <w:footnoteRef/>
      </w:r>
      <w:r w:rsidRPr="00682784">
        <w:rPr>
          <w:lang w:val="en-GB"/>
        </w:rPr>
        <w:t xml:space="preserve"> </w:t>
      </w:r>
      <w:r>
        <w:rPr>
          <w:sz w:val="18"/>
          <w:szCs w:val="18"/>
          <w:lang w:val="en-GB"/>
        </w:rPr>
        <w:t xml:space="preserve">Programming document for European Union support to ENI Cross-Border Cooperation for the period 2014-2020, adopted by a Commission implementing decision on 08.10.2014 </w:t>
      </w:r>
    </w:p>
  </w:footnote>
  <w:footnote w:id="4">
    <w:p w:rsidR="004725B0" w:rsidRPr="005E50B5" w:rsidRDefault="004725B0" w:rsidP="00B90714">
      <w:pPr>
        <w:pStyle w:val="FootnoteText"/>
        <w:rPr>
          <w:sz w:val="18"/>
          <w:szCs w:val="18"/>
          <w:lang w:val="en-GB"/>
        </w:rPr>
      </w:pPr>
      <w:r w:rsidRPr="005E50B5">
        <w:rPr>
          <w:rStyle w:val="FootnoteReference"/>
          <w:sz w:val="18"/>
          <w:szCs w:val="18"/>
        </w:rPr>
        <w:footnoteRef/>
      </w:r>
      <w:r w:rsidRPr="005E50B5">
        <w:rPr>
          <w:sz w:val="18"/>
          <w:szCs w:val="18"/>
          <w:lang w:val="en-GB"/>
        </w:rPr>
        <w:t xml:space="preserve"> Russia did not </w:t>
      </w:r>
      <w:r>
        <w:rPr>
          <w:sz w:val="18"/>
          <w:szCs w:val="18"/>
          <w:lang w:val="en-GB"/>
        </w:rPr>
        <w:t>participate in</w:t>
      </w:r>
      <w:r w:rsidRPr="005E50B5">
        <w:rPr>
          <w:sz w:val="18"/>
          <w:szCs w:val="18"/>
          <w:lang w:val="en-GB"/>
        </w:rPr>
        <w:t xml:space="preserve"> the consultations </w:t>
      </w:r>
    </w:p>
  </w:footnote>
  <w:footnote w:id="5">
    <w:p w:rsidR="004725B0" w:rsidRPr="00682784" w:rsidRDefault="004725B0">
      <w:pPr>
        <w:pStyle w:val="FootnoteText"/>
        <w:rPr>
          <w:sz w:val="18"/>
          <w:szCs w:val="18"/>
          <w:lang w:val="en-GB"/>
        </w:rPr>
      </w:pPr>
    </w:p>
  </w:footnote>
  <w:footnote w:id="6">
    <w:p w:rsidR="004725B0" w:rsidRPr="00682784" w:rsidRDefault="004725B0">
      <w:pPr>
        <w:pStyle w:val="FootnoteText"/>
        <w:rPr>
          <w:sz w:val="18"/>
          <w:szCs w:val="18"/>
          <w:lang w:val="en-GB"/>
        </w:rPr>
      </w:pPr>
      <w:r w:rsidRPr="00B65574">
        <w:rPr>
          <w:rStyle w:val="FootnoteReference"/>
          <w:sz w:val="18"/>
          <w:szCs w:val="18"/>
        </w:rPr>
        <w:footnoteRef/>
      </w:r>
      <w:r w:rsidRPr="00682784">
        <w:rPr>
          <w:sz w:val="18"/>
          <w:szCs w:val="18"/>
          <w:lang w:val="en-GB"/>
        </w:rPr>
        <w:t xml:space="preserve"> See more details under the title ‘Nature of projects and types of support’ within the Programme Strategy Chapter. Note that specific provisions apply to international organisations and European Groupings.</w:t>
      </w:r>
    </w:p>
  </w:footnote>
  <w:footnote w:id="7">
    <w:p w:rsidR="004725B0" w:rsidRPr="005E50B5" w:rsidRDefault="004725B0" w:rsidP="00422207">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As listed in Annex I of Regulation (EU) N° 232/2014 of the European Parliament and of the Council of 11 March 2014 establishing a European Neighbourhood Instrument</w:t>
      </w:r>
    </w:p>
  </w:footnote>
  <w:footnote w:id="8">
    <w:p w:rsidR="004725B0" w:rsidRPr="005E50B5" w:rsidRDefault="004725B0" w:rsidP="002D1AFC">
      <w:pPr>
        <w:pStyle w:val="FootnoteText"/>
        <w:rPr>
          <w:sz w:val="18"/>
          <w:szCs w:val="18"/>
          <w:lang w:val="en-GB"/>
        </w:rPr>
      </w:pPr>
      <w:r w:rsidRPr="002C30C5">
        <w:rPr>
          <w:rStyle w:val="FootnoteReference"/>
          <w:sz w:val="18"/>
          <w:szCs w:val="18"/>
        </w:rPr>
        <w:footnoteRef/>
      </w:r>
      <w:r w:rsidRPr="002C30C5">
        <w:rPr>
          <w:sz w:val="18"/>
          <w:szCs w:val="18"/>
          <w:lang w:val="en-GB"/>
        </w:rPr>
        <w:t xml:space="preserve"> The Russian Federation has not been actively involved in the programme preparation and is unlikely to join the programme implementation</w:t>
      </w:r>
    </w:p>
  </w:footnote>
  <w:footnote w:id="9">
    <w:p w:rsidR="004725B0" w:rsidRPr="005E50B5" w:rsidRDefault="004725B0" w:rsidP="002D1AFC">
      <w:pPr>
        <w:widowControl w:val="0"/>
        <w:autoSpaceDE w:val="0"/>
        <w:autoSpaceDN w:val="0"/>
        <w:adjustRightInd w:val="0"/>
        <w:spacing w:after="0" w:line="240" w:lineRule="auto"/>
        <w:rPr>
          <w:sz w:val="18"/>
          <w:szCs w:val="18"/>
          <w:lang w:val="en-GB"/>
        </w:rPr>
      </w:pPr>
      <w:r w:rsidRPr="005E50B5">
        <w:rPr>
          <w:rStyle w:val="FootnoteReference"/>
          <w:sz w:val="18"/>
          <w:szCs w:val="18"/>
        </w:rPr>
        <w:footnoteRef/>
      </w:r>
      <w:r w:rsidRPr="005E50B5">
        <w:rPr>
          <w:sz w:val="18"/>
          <w:szCs w:val="18"/>
          <w:lang w:val="en-GB"/>
        </w:rPr>
        <w:t xml:space="preserve"> At the time of drafting this programme, and as provided in the ENI CBC programming document, the general EU restrictions on cooperation in regions that are illegally occupied by Russia are also applicable to CBC. Therefore, the regions of Sevastopol and the Crimea Republic are not currently eligible.</w:t>
      </w:r>
    </w:p>
  </w:footnote>
  <w:footnote w:id="10">
    <w:p w:rsidR="004725B0" w:rsidRPr="00682784" w:rsidRDefault="004725B0">
      <w:pPr>
        <w:pStyle w:val="FootnoteText"/>
        <w:rPr>
          <w:sz w:val="18"/>
          <w:szCs w:val="18"/>
          <w:lang w:val="en-GB"/>
        </w:rPr>
      </w:pPr>
      <w:r w:rsidRPr="001625ED">
        <w:rPr>
          <w:rStyle w:val="FootnoteReference"/>
          <w:sz w:val="18"/>
          <w:szCs w:val="18"/>
        </w:rPr>
        <w:footnoteRef/>
      </w:r>
      <w:r w:rsidRPr="00682784">
        <w:rPr>
          <w:sz w:val="18"/>
          <w:szCs w:val="18"/>
          <w:lang w:val="en-GB"/>
        </w:rPr>
        <w:t xml:space="preserve"> </w:t>
      </w:r>
      <w:r w:rsidRPr="001625ED">
        <w:rPr>
          <w:sz w:val="18"/>
          <w:szCs w:val="18"/>
          <w:lang w:val="en-GB"/>
        </w:rPr>
        <w:t>Please note though that at the time of drafting this programme, the general EU restrictions on cooperation in regions that are illegally occupied by Russia are also applicable to CBC, therefore the regions of Sevastopol and the Crimea Republic are not currently eligible. Note also that the Russian Federation has not been actively involved in the programme preparation and is unlikely to join the programme implementation.</w:t>
      </w:r>
    </w:p>
  </w:footnote>
  <w:footnote w:id="11">
    <w:p w:rsidR="004725B0" w:rsidRPr="00682784" w:rsidRDefault="004725B0">
      <w:pPr>
        <w:pStyle w:val="FootnoteText"/>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IPA in the case of Turkey</w:t>
      </w:r>
    </w:p>
  </w:footnote>
  <w:footnote w:id="12">
    <w:p w:rsidR="004725B0" w:rsidRPr="001368E0" w:rsidRDefault="004725B0" w:rsidP="00976C2F">
      <w:pPr>
        <w:pStyle w:val="Default"/>
        <w:rPr>
          <w:rFonts w:ascii="Calisto MT" w:hAnsi="Calisto MT"/>
          <w:sz w:val="18"/>
          <w:szCs w:val="18"/>
          <w:lang w:val="en-GB"/>
        </w:rPr>
      </w:pPr>
      <w:r w:rsidRPr="001368E0">
        <w:rPr>
          <w:rStyle w:val="FootnoteReference"/>
          <w:rFonts w:ascii="Calisto MT" w:hAnsi="Calisto MT"/>
          <w:sz w:val="18"/>
          <w:szCs w:val="18"/>
        </w:rPr>
        <w:footnoteRef/>
      </w:r>
      <w:r w:rsidRPr="001368E0">
        <w:rPr>
          <w:rFonts w:ascii="Calisto MT" w:hAnsi="Calisto MT"/>
          <w:sz w:val="18"/>
          <w:szCs w:val="18"/>
          <w:lang w:val="en-GB"/>
        </w:rPr>
        <w:t xml:space="preserve"> </w:t>
      </w:r>
      <w:r w:rsidRPr="001368E0">
        <w:rPr>
          <w:rFonts w:ascii="Calisto MT" w:hAnsi="Calisto MT" w:cs="Times New Roman"/>
          <w:color w:val="auto"/>
          <w:sz w:val="18"/>
          <w:szCs w:val="18"/>
          <w:lang w:val="en-GB"/>
        </w:rPr>
        <w:t>Regulation (EU) No 232/2014 of the European Parliament and of the Council of 11 March 2014 establishing a European Neighbourhood Instrument</w:t>
      </w:r>
    </w:p>
  </w:footnote>
  <w:footnote w:id="13">
    <w:p w:rsidR="004725B0" w:rsidRPr="005E50B5" w:rsidRDefault="004725B0">
      <w:pPr>
        <w:pStyle w:val="FootnoteText"/>
        <w:rPr>
          <w:sz w:val="18"/>
          <w:szCs w:val="18"/>
          <w:lang w:val="en-GB"/>
        </w:rPr>
      </w:pPr>
      <w:r w:rsidRPr="005E50B5">
        <w:rPr>
          <w:rStyle w:val="FootnoteReference"/>
          <w:sz w:val="18"/>
          <w:szCs w:val="18"/>
        </w:rPr>
        <w:footnoteRef/>
      </w:r>
      <w:r w:rsidRPr="005E50B5">
        <w:rPr>
          <w:sz w:val="18"/>
          <w:szCs w:val="18"/>
          <w:lang w:val="en-GB"/>
        </w:rPr>
        <w:t xml:space="preserve"> </w:t>
      </w:r>
      <w:r>
        <w:rPr>
          <w:sz w:val="18"/>
          <w:szCs w:val="18"/>
          <w:lang w:val="en-GB"/>
        </w:rPr>
        <w:t xml:space="preserve">Commission Implementing Regulation </w:t>
      </w:r>
      <w:r w:rsidRPr="00D93FC9">
        <w:rPr>
          <w:sz w:val="18"/>
          <w:szCs w:val="18"/>
          <w:lang w:val="en-GB"/>
        </w:rPr>
        <w:t>(EU) No 897/2014 of 18 August 2014 laying down specific provisions for the implementation of cross-border cooperation programmes financed under Regulation (EU) No 232/2014 of the European Parliament</w:t>
      </w:r>
      <w:r>
        <w:rPr>
          <w:sz w:val="18"/>
          <w:szCs w:val="18"/>
          <w:lang w:val="en-GB"/>
        </w:rPr>
        <w:t xml:space="preserve"> and the Council</w:t>
      </w:r>
    </w:p>
  </w:footnote>
  <w:footnote w:id="14">
    <w:p w:rsidR="004725B0" w:rsidRPr="004725B0" w:rsidRDefault="004725B0">
      <w:pPr>
        <w:pStyle w:val="FootnoteText"/>
        <w:rPr>
          <w:lang w:val="en-GB"/>
        </w:rPr>
      </w:pPr>
      <w:r>
        <w:rPr>
          <w:rStyle w:val="FootnoteReference"/>
        </w:rPr>
        <w:footnoteRef/>
      </w:r>
      <w:r w:rsidRPr="004725B0">
        <w:rPr>
          <w:lang w:val="en-GB"/>
        </w:rPr>
        <w:t xml:space="preserve"> </w:t>
      </w:r>
      <w:r>
        <w:rPr>
          <w:sz w:val="18"/>
          <w:szCs w:val="18"/>
          <w:lang w:val="en-GB"/>
        </w:rPr>
        <w:t>Programming document for European Union support to ENI Cross-Border Cooperation for the period 2014-2020, adopted by a Commission implementing decision on 08.10.2014</w:t>
      </w:r>
    </w:p>
  </w:footnote>
  <w:footnote w:id="15">
    <w:p w:rsidR="004725B0" w:rsidRPr="005E50B5" w:rsidRDefault="004725B0">
      <w:pPr>
        <w:pStyle w:val="FootnoteText"/>
        <w:rPr>
          <w:sz w:val="18"/>
          <w:szCs w:val="18"/>
          <w:lang w:val="en-GB"/>
        </w:rPr>
      </w:pPr>
      <w:r w:rsidRPr="005E50B5">
        <w:rPr>
          <w:rStyle w:val="FootnoteReference"/>
          <w:sz w:val="18"/>
          <w:szCs w:val="18"/>
        </w:rPr>
        <w:footnoteRef/>
      </w:r>
      <w:r w:rsidRPr="005E50B5">
        <w:rPr>
          <w:sz w:val="18"/>
          <w:szCs w:val="18"/>
          <w:lang w:val="en-GB"/>
        </w:rPr>
        <w:t xml:space="preserve"> Full text of the statement available on http://eeas.europa.eu/blacksea/doc/joint_statement_blacksea_en.pdf</w:t>
      </w:r>
    </w:p>
  </w:footnote>
  <w:footnote w:id="16">
    <w:p w:rsidR="004725B0" w:rsidRPr="005E50B5" w:rsidRDefault="004725B0">
      <w:pPr>
        <w:pStyle w:val="FootnoteText"/>
        <w:rPr>
          <w:sz w:val="18"/>
          <w:szCs w:val="18"/>
          <w:lang w:val="en-GB"/>
        </w:rPr>
      </w:pPr>
      <w:r w:rsidRPr="005E50B5">
        <w:rPr>
          <w:rStyle w:val="FootnoteReference"/>
          <w:sz w:val="18"/>
          <w:szCs w:val="18"/>
        </w:rPr>
        <w:footnoteRef/>
      </w:r>
      <w:r w:rsidRPr="005E50B5">
        <w:rPr>
          <w:sz w:val="18"/>
          <w:szCs w:val="18"/>
          <w:lang w:val="en-GB"/>
        </w:rPr>
        <w:t xml:space="preserve"> Full text of the resolution available on http://www.europarl.europa.eu</w:t>
      </w:r>
    </w:p>
  </w:footnote>
  <w:footnote w:id="17">
    <w:p w:rsidR="004725B0" w:rsidRPr="005E50B5" w:rsidRDefault="004725B0">
      <w:pPr>
        <w:pStyle w:val="FootnoteText"/>
        <w:rPr>
          <w:sz w:val="18"/>
          <w:szCs w:val="18"/>
          <w:lang w:val="en-GB"/>
        </w:rPr>
      </w:pPr>
      <w:r w:rsidRPr="005E50B5">
        <w:rPr>
          <w:rStyle w:val="FootnoteReference"/>
          <w:sz w:val="18"/>
          <w:szCs w:val="18"/>
        </w:rPr>
        <w:footnoteRef/>
      </w:r>
      <w:r w:rsidRPr="005E50B5">
        <w:rPr>
          <w:sz w:val="18"/>
          <w:szCs w:val="18"/>
          <w:lang w:val="en-GB"/>
        </w:rPr>
        <w:t xml:space="preserve"> More information on the Eastern Partnership is available at </w:t>
      </w:r>
      <w:hyperlink r:id="rId1" w:history="1">
        <w:r w:rsidRPr="005E50B5">
          <w:rPr>
            <w:rStyle w:val="Hyperlink"/>
            <w:sz w:val="18"/>
            <w:szCs w:val="18"/>
            <w:lang w:val="en-GB"/>
          </w:rPr>
          <w:t>http://eeas.europa.eu/eastern/index_en.htm</w:t>
        </w:r>
      </w:hyperlink>
      <w:r w:rsidRPr="005E50B5">
        <w:rPr>
          <w:sz w:val="18"/>
          <w:szCs w:val="18"/>
          <w:lang w:val="en-GB"/>
        </w:rPr>
        <w:t xml:space="preserve"> </w:t>
      </w:r>
    </w:p>
  </w:footnote>
  <w:footnote w:id="18">
    <w:p w:rsidR="004725B0" w:rsidRPr="005E50B5" w:rsidRDefault="004725B0">
      <w:pPr>
        <w:pStyle w:val="FootnoteText"/>
        <w:rPr>
          <w:sz w:val="18"/>
          <w:szCs w:val="18"/>
          <w:lang w:val="en-GB"/>
        </w:rPr>
      </w:pPr>
      <w:r w:rsidRPr="005E50B5">
        <w:rPr>
          <w:rStyle w:val="FootnoteReference"/>
          <w:sz w:val="18"/>
          <w:szCs w:val="18"/>
        </w:rPr>
        <w:footnoteRef/>
      </w:r>
      <w:r w:rsidRPr="005E50B5">
        <w:rPr>
          <w:sz w:val="18"/>
          <w:szCs w:val="18"/>
          <w:lang w:val="en-GB"/>
        </w:rPr>
        <w:t xml:space="preserve"> More information on the Danube Strategy and Action Plan is available on http://www.danube-region.eu</w:t>
      </w:r>
    </w:p>
  </w:footnote>
  <w:footnote w:id="19">
    <w:p w:rsidR="004725B0" w:rsidRPr="005E50B5" w:rsidRDefault="004725B0">
      <w:pPr>
        <w:pStyle w:val="FootnoteText"/>
        <w:rPr>
          <w:sz w:val="18"/>
          <w:szCs w:val="18"/>
          <w:lang w:val="en-GB"/>
        </w:rPr>
      </w:pPr>
      <w:r w:rsidRPr="005E50B5">
        <w:rPr>
          <w:rStyle w:val="FootnoteReference"/>
          <w:sz w:val="18"/>
          <w:szCs w:val="18"/>
        </w:rPr>
        <w:footnoteRef/>
      </w:r>
      <w:r w:rsidRPr="005E50B5">
        <w:rPr>
          <w:sz w:val="18"/>
          <w:szCs w:val="18"/>
          <w:lang w:val="en-GB"/>
        </w:rPr>
        <w:t xml:space="preserve"> DG Maritime affairs and fisheries is carrying out two studies on the blue growth potential of the Black Sea and on the use of the so-called maritime clusters, networks of firms, training establishments, research centres, local and regional authorities.</w:t>
      </w:r>
      <w:r w:rsidRPr="005E50B5">
        <w:rPr>
          <w:rFonts w:eastAsia="Times New Roman"/>
          <w:sz w:val="18"/>
          <w:szCs w:val="18"/>
          <w:lang w:val="en-GB"/>
        </w:rPr>
        <w:t xml:space="preserve"> (from Commissioner Maria Damanaki’s speech 30 Jan 2014, Black Sea Stakeholders' conference Sustainable Development of the blue economy in the Black Sea Bucharest, 30 January 2014)</w:t>
      </w:r>
    </w:p>
  </w:footnote>
  <w:footnote w:id="20">
    <w:p w:rsidR="004725B0" w:rsidRPr="00682784" w:rsidRDefault="004725B0">
      <w:pPr>
        <w:pStyle w:val="FootnoteText"/>
        <w:rPr>
          <w:sz w:val="18"/>
          <w:szCs w:val="18"/>
          <w:lang w:val="en-GB"/>
        </w:rPr>
      </w:pPr>
      <w:r w:rsidRPr="00FB4263">
        <w:rPr>
          <w:rStyle w:val="FootnoteReference"/>
          <w:sz w:val="18"/>
          <w:szCs w:val="18"/>
        </w:rPr>
        <w:footnoteRef/>
      </w:r>
      <w:r w:rsidRPr="00682784">
        <w:rPr>
          <w:sz w:val="18"/>
          <w:szCs w:val="18"/>
          <w:lang w:val="en-GB"/>
        </w:rPr>
        <w:t xml:space="preserve"> The part on ‘Safety and security challenges’ was nonetheless updated in February 2015 to reflect the situation in Ukraine and related major international crisis</w:t>
      </w:r>
    </w:p>
  </w:footnote>
  <w:footnote w:id="21">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w:t>
      </w:r>
      <w:r w:rsidRPr="005E50B5">
        <w:rPr>
          <w:rFonts w:eastAsia="Times New Roman"/>
          <w:color w:val="000000"/>
          <w:sz w:val="18"/>
          <w:szCs w:val="18"/>
          <w:lang w:val="en-GB"/>
        </w:rPr>
        <w:t>Data for Ukraine as of 01.01.2013. Data for Russia 2005.</w:t>
      </w:r>
    </w:p>
  </w:footnote>
  <w:footnote w:id="22">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Note that data for Russia has not been updated (as not provided at regional level), therefore the trend could not be calculated for Russian regions</w:t>
      </w:r>
    </w:p>
  </w:footnote>
  <w:footnote w:id="23">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Between 2005 and 2012, the population of ENI CBC programme eligible areas of Armenia decreased by 8%, of Bulgaria by 5%, of Romania by 11%, of Ukraine by 5%.</w:t>
      </w:r>
    </w:p>
  </w:footnote>
  <w:footnote w:id="24">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Net migration = </w:t>
      </w:r>
      <w:r w:rsidRPr="005E50B5">
        <w:rPr>
          <w:rFonts w:cs="Helvetica Neue"/>
          <w:sz w:val="18"/>
          <w:szCs w:val="18"/>
          <w:lang w:val="en-GB"/>
        </w:rPr>
        <w:t>total number of immigrants less the annual number of emigrants (including both citizens and noncitizens)</w:t>
      </w:r>
    </w:p>
  </w:footnote>
  <w:footnote w:id="25">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Please note that figure 6 presents stacked GDP growth (both negative and positive) per year</w:t>
      </w:r>
    </w:p>
  </w:footnote>
  <w:footnote w:id="26">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According to World Bank classification</w:t>
      </w:r>
    </w:p>
  </w:footnote>
  <w:footnote w:id="27">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See figures 1,2 and 5 for more details</w:t>
      </w:r>
    </w:p>
  </w:footnote>
  <w:footnote w:id="28">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SMEs : &lt;250 employees, &lt; €50 m turnover or &lt;€43m balance sheet total (as defined by the EC)</w:t>
      </w:r>
    </w:p>
  </w:footnote>
  <w:footnote w:id="29">
    <w:p w:rsidR="004725B0" w:rsidRPr="005E50B5" w:rsidRDefault="004725B0" w:rsidP="005072B1">
      <w:pPr>
        <w:pStyle w:val="FootnoteText"/>
        <w:rPr>
          <w:sz w:val="18"/>
          <w:szCs w:val="18"/>
          <w:lang w:val="en-GB"/>
        </w:rPr>
      </w:pPr>
      <w:r w:rsidRPr="005E50B5">
        <w:rPr>
          <w:rStyle w:val="FootnoteReference"/>
          <w:sz w:val="18"/>
          <w:szCs w:val="18"/>
        </w:rPr>
        <w:footnoteRef/>
      </w:r>
      <w:r>
        <w:rPr>
          <w:sz w:val="18"/>
          <w:szCs w:val="18"/>
          <w:lang w:val="en-GB"/>
        </w:rPr>
        <w:t xml:space="preserve"> B</w:t>
      </w:r>
      <w:r w:rsidRPr="005E50B5">
        <w:rPr>
          <w:sz w:val="18"/>
          <w:szCs w:val="18"/>
          <w:lang w:val="en-GB"/>
        </w:rPr>
        <w:t>ased on data provided by participating countries ; data for Georgia &lt; 100 emplo</w:t>
      </w:r>
      <w:r>
        <w:rPr>
          <w:sz w:val="18"/>
          <w:szCs w:val="18"/>
          <w:lang w:val="en-GB"/>
        </w:rPr>
        <w:t>yees </w:t>
      </w:r>
    </w:p>
  </w:footnote>
  <w:footnote w:id="30">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Value added =</w:t>
      </w:r>
      <w:r w:rsidRPr="005E50B5">
        <w:rPr>
          <w:rStyle w:val="field-content"/>
          <w:rFonts w:eastAsia="Times New Roman"/>
          <w:sz w:val="18"/>
          <w:szCs w:val="18"/>
          <w:lang w:val="en-GB"/>
        </w:rPr>
        <w:t xml:space="preserve"> </w:t>
      </w:r>
      <w:r w:rsidRPr="005E50B5">
        <w:rPr>
          <w:rFonts w:eastAsia="Times New Roman" w:cs="Arial"/>
          <w:sz w:val="18"/>
          <w:szCs w:val="18"/>
          <w:lang w:val="en-GB"/>
        </w:rPr>
        <w:t>the value of output less the value of intermediate consumption. It is a measure of the contribution to GDP made by an individual producer, industry or sector.</w:t>
      </w:r>
    </w:p>
  </w:footnote>
  <w:footnote w:id="31">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Trade openness ratio = trade-to-GDP ratio = the average of total trade (i.e. the sum of exports and imports of goods and services) relative to GDP. </w:t>
      </w:r>
      <w:r w:rsidRPr="005E50B5">
        <w:rPr>
          <w:rFonts w:eastAsia="Times New Roman"/>
          <w:sz w:val="18"/>
          <w:szCs w:val="18"/>
          <w:lang w:val="en-GB"/>
        </w:rPr>
        <w:t>It is used to measure the importance of international transactions relative to domestic transactions.</w:t>
      </w:r>
    </w:p>
  </w:footnote>
  <w:footnote w:id="32">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Regional data m</w:t>
      </w:r>
      <w:r>
        <w:rPr>
          <w:sz w:val="18"/>
          <w:szCs w:val="18"/>
          <w:lang w:val="en-GB"/>
        </w:rPr>
        <w:t>issing for Bulgaria and Ukraine</w:t>
      </w:r>
      <w:r w:rsidRPr="005E50B5">
        <w:rPr>
          <w:sz w:val="18"/>
          <w:szCs w:val="18"/>
          <w:lang w:val="en-GB"/>
        </w:rPr>
        <w:t>; data missing for Armenia</w:t>
      </w:r>
    </w:p>
  </w:footnote>
  <w:footnote w:id="33">
    <w:p w:rsidR="004725B0" w:rsidRPr="005E50B5" w:rsidRDefault="004725B0"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Note that regional data is missing for several countries</w:t>
      </w:r>
    </w:p>
  </w:footnote>
  <w:footnote w:id="34">
    <w:p w:rsidR="004725B0" w:rsidRPr="005E50B5" w:rsidRDefault="004725B0" w:rsidP="00D16147">
      <w:pPr>
        <w:spacing w:after="0"/>
        <w:rPr>
          <w:rFonts w:eastAsia="Times New Roman"/>
          <w:sz w:val="18"/>
          <w:szCs w:val="18"/>
          <w:lang w:val="en-GB"/>
        </w:rPr>
      </w:pPr>
      <w:r w:rsidRPr="005E50B5">
        <w:rPr>
          <w:rStyle w:val="FootnoteReference"/>
          <w:sz w:val="18"/>
          <w:szCs w:val="18"/>
        </w:rPr>
        <w:footnoteRef/>
      </w:r>
      <w:r w:rsidRPr="005E50B5">
        <w:rPr>
          <w:sz w:val="18"/>
          <w:szCs w:val="18"/>
          <w:lang w:val="en-GB"/>
        </w:rPr>
        <w:t xml:space="preserve"> </w:t>
      </w:r>
      <w:r w:rsidRPr="005E50B5">
        <w:rPr>
          <w:rFonts w:eastAsia="Times New Roman"/>
          <w:sz w:val="18"/>
          <w:szCs w:val="18"/>
          <w:lang w:val="en-GB"/>
        </w:rPr>
        <w:t>Tertiary education includes academic education as well as advanced vocational or professional education.</w:t>
      </w:r>
    </w:p>
  </w:footnote>
  <w:footnote w:id="35">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Note: regional information received doesn’t allow to draw a comprehensive picture</w:t>
      </w:r>
    </w:p>
  </w:footnote>
  <w:footnote w:id="36">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National data for average monthly rate, 2010.</w:t>
      </w:r>
    </w:p>
  </w:footnote>
  <w:footnote w:id="37">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w:t>
      </w:r>
      <w:r w:rsidRPr="005E50B5">
        <w:rPr>
          <w:rFonts w:eastAsia="Times New Roman"/>
          <w:color w:val="000000"/>
          <w:sz w:val="18"/>
          <w:szCs w:val="18"/>
          <w:lang w:val="en-GB"/>
        </w:rPr>
        <w:t>Data provided by participating countries, except provisionnal unemployment data for Armenia (2007) and Russia (2011) from World Bank, WDI.</w:t>
      </w:r>
    </w:p>
  </w:footnote>
  <w:footnote w:id="38">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Draft Note : Data provided by participating countries are not comparable (sometimes including higher education institutions, even if they do not carry out research activities) so more precise figures cannot be given</w:t>
      </w:r>
    </w:p>
  </w:footnote>
  <w:footnote w:id="39">
    <w:p w:rsidR="004725B0" w:rsidRPr="005E50B5" w:rsidRDefault="004725B0" w:rsidP="00D16147">
      <w:pPr>
        <w:pStyle w:val="FootnoteText"/>
        <w:rPr>
          <w:sz w:val="18"/>
          <w:szCs w:val="18"/>
          <w:lang w:val="en-GB"/>
        </w:rPr>
      </w:pPr>
      <w:r w:rsidRPr="005E50B5">
        <w:rPr>
          <w:sz w:val="18"/>
          <w:szCs w:val="18"/>
          <w:vertAlign w:val="superscript"/>
        </w:rPr>
        <w:footnoteRef/>
      </w:r>
      <w:r w:rsidRPr="005E50B5">
        <w:rPr>
          <w:sz w:val="18"/>
          <w:szCs w:val="18"/>
          <w:vertAlign w:val="superscript"/>
          <w:lang w:val="en-GB"/>
        </w:rPr>
        <w:t xml:space="preserve"> </w:t>
      </w:r>
      <w:r w:rsidRPr="005E50B5">
        <w:rPr>
          <w:sz w:val="18"/>
          <w:szCs w:val="18"/>
          <w:lang w:val="en-GB"/>
        </w:rPr>
        <w:t xml:space="preserve">The Commission on the Protection of the Black Sea Against Pollution (the Black Sea Commission) via its Permanent Secretariat is the intergovernmental body established in implementation of the </w:t>
      </w:r>
      <w:hyperlink r:id="rId2" w:history="1">
        <w:r w:rsidRPr="005E50B5">
          <w:rPr>
            <w:sz w:val="18"/>
            <w:szCs w:val="18"/>
            <w:lang w:val="en-GB"/>
          </w:rPr>
          <w:t>Convention on the Protection of the Black Sea Against Pollution</w:t>
        </w:r>
      </w:hyperlink>
      <w:r w:rsidRPr="005E50B5">
        <w:rPr>
          <w:sz w:val="18"/>
          <w:szCs w:val="18"/>
          <w:lang w:val="en-GB"/>
        </w:rPr>
        <w:t xml:space="preserve"> (Bucharest Convention)</w:t>
      </w:r>
    </w:p>
  </w:footnote>
  <w:footnote w:id="40">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MONINFO project supported by the EU (DG ENV)</w:t>
      </w:r>
    </w:p>
  </w:footnote>
  <w:footnote w:id="41">
    <w:p w:rsidR="004725B0" w:rsidRPr="005E50B5" w:rsidRDefault="004725B0" w:rsidP="00D16147">
      <w:pPr>
        <w:pStyle w:val="FootnoteText"/>
        <w:rPr>
          <w:sz w:val="18"/>
          <w:szCs w:val="18"/>
          <w:lang w:val="en-GB"/>
        </w:rPr>
      </w:pPr>
    </w:p>
  </w:footnote>
  <w:footnote w:id="42">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Established under the Convention on the Conservation of European Wildlife and Natural Habitats (the Bern convention) 1982</w:t>
      </w:r>
    </w:p>
  </w:footnote>
  <w:footnote w:id="43">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Under the </w:t>
      </w:r>
      <w:r w:rsidRPr="005E50B5">
        <w:rPr>
          <w:bCs/>
          <w:sz w:val="18"/>
          <w:szCs w:val="18"/>
          <w:lang w:val="en-GB"/>
        </w:rPr>
        <w:t>Convention</w:t>
      </w:r>
      <w:r w:rsidRPr="005E50B5">
        <w:rPr>
          <w:sz w:val="18"/>
          <w:szCs w:val="18"/>
          <w:lang w:val="en-GB"/>
        </w:rPr>
        <w:t xml:space="preserve"> on the Protection of the </w:t>
      </w:r>
      <w:r w:rsidRPr="005E50B5">
        <w:rPr>
          <w:bCs/>
          <w:sz w:val="18"/>
          <w:szCs w:val="18"/>
          <w:lang w:val="en-GB"/>
        </w:rPr>
        <w:t>Black Sea</w:t>
      </w:r>
      <w:r w:rsidRPr="005E50B5">
        <w:rPr>
          <w:sz w:val="18"/>
          <w:szCs w:val="18"/>
          <w:lang w:val="en-GB"/>
        </w:rPr>
        <w:t xml:space="preserve"> Against Pollution 1992</w:t>
      </w:r>
    </w:p>
  </w:footnote>
  <w:footnote w:id="44">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In their declaration of October 2010 in Nafplion (Greece). BSEC (Black Sea Economic Cooperation) members include Albania, Armenia, Azerbaijan, Bulgaria, Georgia, Greece, Moldova, Romania, Russia, Turkey and Ukraine.</w:t>
      </w:r>
    </w:p>
  </w:footnote>
  <w:footnote w:id="45">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Note that regional data for Russia is missing</w:t>
      </w:r>
    </w:p>
  </w:footnote>
  <w:footnote w:id="46">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In 2008, deaths per 100,000 population. Highest rates - Armenia: 182, Romania: 145; Lowest rates - Turkey: 118, Georgia: 97 (WHO)</w:t>
      </w:r>
    </w:p>
  </w:footnote>
  <w:footnote w:id="47">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Female maternal mortality in Turkey was divided by two between 2000 and 2010</w:t>
      </w:r>
    </w:p>
  </w:footnote>
  <w:footnote w:id="48">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Maternal mortality = ratio of the number of maternal deaths to the number of live births; Adolescent fertility = number of births to women ages 15–19 per 1,000 women ages 15–19</w:t>
      </w:r>
    </w:p>
  </w:footnote>
  <w:footnote w:id="49">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UNDP gender inequality index is based on reproductive health (maternal mortality, adolescent fertility), empowerment (educational attainment, parliamentary representation) and labour force representation data</w:t>
      </w:r>
    </w:p>
  </w:footnote>
  <w:footnote w:id="50">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Indicator on quality of port infrastructure included in the Global Competitiveness Index of the World Economic Forum, 2012-2013 report</w:t>
      </w:r>
    </w:p>
  </w:footnote>
  <w:footnote w:id="51">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In July 2010 report on ports and maritime links, produced by the ‘Motorways of the Sea for the Black Sea and Caspian Sea’ project financed by EU’s TRACECA programme</w:t>
      </w:r>
    </w:p>
  </w:footnote>
  <w:footnote w:id="52">
    <w:p w:rsidR="004725B0" w:rsidRPr="005E50B5" w:rsidRDefault="004725B0"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Black Sea Partner Countries include Armenia, Azerbaijan, Belarus, Georgia, </w:t>
      </w:r>
      <w:r>
        <w:rPr>
          <w:sz w:val="18"/>
          <w:szCs w:val="18"/>
          <w:lang w:val="en-GB"/>
        </w:rPr>
        <w:t xml:space="preserve">Republic of </w:t>
      </w:r>
      <w:r w:rsidRPr="005E50B5">
        <w:rPr>
          <w:sz w:val="18"/>
          <w:szCs w:val="18"/>
          <w:lang w:val="en-GB"/>
        </w:rPr>
        <w:t>Moldova and Ukraine</w:t>
      </w:r>
    </w:p>
  </w:footnote>
  <w:footnote w:id="53">
    <w:p w:rsidR="004725B0" w:rsidRPr="00682784" w:rsidRDefault="004725B0" w:rsidP="00500E6E">
      <w:pPr>
        <w:pStyle w:val="FootnoteText"/>
        <w:rPr>
          <w:sz w:val="20"/>
          <w:szCs w:val="20"/>
          <w:lang w:val="en-GB"/>
        </w:rPr>
      </w:pPr>
      <w:r w:rsidRPr="00243BD2">
        <w:rPr>
          <w:rStyle w:val="FootnoteReference"/>
          <w:sz w:val="20"/>
          <w:szCs w:val="20"/>
        </w:rPr>
        <w:footnoteRef/>
      </w:r>
      <w:r w:rsidRPr="00682784">
        <w:rPr>
          <w:sz w:val="20"/>
          <w:szCs w:val="20"/>
          <w:lang w:val="en-GB"/>
        </w:rPr>
        <w:t xml:space="preserve"> See a summary annexed to the programme</w:t>
      </w:r>
    </w:p>
  </w:footnote>
  <w:footnote w:id="54">
    <w:p w:rsidR="004725B0" w:rsidRPr="00682784" w:rsidRDefault="004725B0">
      <w:pPr>
        <w:pStyle w:val="FootnoteText"/>
        <w:rPr>
          <w:lang w:val="en-GB"/>
        </w:rPr>
      </w:pPr>
      <w:r>
        <w:rPr>
          <w:rStyle w:val="FootnoteReference"/>
        </w:rPr>
        <w:footnoteRef/>
      </w:r>
      <w:r w:rsidRPr="00682784">
        <w:rPr>
          <w:lang w:val="en-GB"/>
        </w:rPr>
        <w:t xml:space="preserve"> </w:t>
      </w:r>
      <w:r w:rsidRPr="00682784">
        <w:rPr>
          <w:sz w:val="20"/>
          <w:szCs w:val="20"/>
          <w:lang w:val="en-GB"/>
        </w:rPr>
        <w:t>See a summary annexed to the programme</w:t>
      </w:r>
    </w:p>
  </w:footnote>
  <w:footnote w:id="55">
    <w:p w:rsidR="004725B0" w:rsidRPr="004725B0" w:rsidRDefault="004725B0">
      <w:pPr>
        <w:pStyle w:val="FootnoteText"/>
        <w:rPr>
          <w:lang w:val="en-GB"/>
        </w:rPr>
      </w:pPr>
      <w:r>
        <w:rPr>
          <w:rStyle w:val="FootnoteReference"/>
        </w:rPr>
        <w:footnoteRef/>
      </w:r>
      <w:r w:rsidRPr="004725B0">
        <w:rPr>
          <w:lang w:val="en-GB"/>
        </w:rPr>
        <w:t xml:space="preserve"> </w:t>
      </w:r>
      <w:r w:rsidRPr="004725B0">
        <w:rPr>
          <w:sz w:val="18"/>
          <w:szCs w:val="18"/>
          <w:lang w:val="en-GB"/>
        </w:rPr>
        <w:t>List of thematic objectives and priorities as available at the time in the draft version of the Programming document</w:t>
      </w:r>
    </w:p>
  </w:footnote>
  <w:footnote w:id="56">
    <w:p w:rsidR="004725B0" w:rsidRPr="005E50B5" w:rsidRDefault="004725B0">
      <w:pPr>
        <w:pStyle w:val="FootnoteText"/>
        <w:rPr>
          <w:sz w:val="18"/>
          <w:szCs w:val="18"/>
          <w:lang w:val="en-GB"/>
        </w:rPr>
      </w:pPr>
      <w:r w:rsidRPr="005E50B5">
        <w:rPr>
          <w:rStyle w:val="FootnoteReference"/>
          <w:sz w:val="18"/>
          <w:szCs w:val="18"/>
        </w:rPr>
        <w:footnoteRef/>
      </w:r>
      <w:r w:rsidRPr="005E50B5">
        <w:rPr>
          <w:sz w:val="18"/>
          <w:szCs w:val="18"/>
          <w:lang w:val="en-GB"/>
        </w:rPr>
        <w:t xml:space="preserve"> See outcome of Black Sea Basin consultation</w:t>
      </w:r>
      <w:r>
        <w:rPr>
          <w:sz w:val="18"/>
          <w:szCs w:val="18"/>
          <w:lang w:val="en-GB"/>
        </w:rPr>
        <w:t>s</w:t>
      </w:r>
      <w:r w:rsidRPr="005E50B5">
        <w:rPr>
          <w:sz w:val="18"/>
          <w:szCs w:val="18"/>
          <w:lang w:val="en-GB"/>
        </w:rPr>
        <w:t xml:space="preserve"> in annex </w:t>
      </w:r>
    </w:p>
  </w:footnote>
  <w:footnote w:id="57">
    <w:p w:rsidR="004725B0" w:rsidRPr="005E50B5" w:rsidRDefault="004725B0">
      <w:pPr>
        <w:pStyle w:val="FootnoteText"/>
        <w:rPr>
          <w:sz w:val="18"/>
          <w:szCs w:val="18"/>
          <w:lang w:val="en-GB"/>
        </w:rPr>
      </w:pPr>
      <w:r w:rsidRPr="005E50B5">
        <w:rPr>
          <w:rStyle w:val="FootnoteReference"/>
          <w:sz w:val="18"/>
          <w:szCs w:val="18"/>
        </w:rPr>
        <w:footnoteRef/>
      </w:r>
      <w:r w:rsidRPr="005E50B5">
        <w:rPr>
          <w:sz w:val="18"/>
          <w:szCs w:val="18"/>
          <w:lang w:val="en-GB"/>
        </w:rPr>
        <w:t xml:space="preserve"> Russia did not contribute to the consultations </w:t>
      </w:r>
    </w:p>
  </w:footnote>
  <w:footnote w:id="58">
    <w:p w:rsidR="004725B0" w:rsidRPr="005E50B5" w:rsidRDefault="004725B0">
      <w:pPr>
        <w:pStyle w:val="FootnoteText"/>
        <w:rPr>
          <w:sz w:val="18"/>
          <w:szCs w:val="18"/>
          <w:lang w:val="en-GB"/>
        </w:rPr>
      </w:pPr>
      <w:r w:rsidRPr="005E50B5">
        <w:rPr>
          <w:rStyle w:val="FootnoteReference"/>
          <w:sz w:val="18"/>
          <w:szCs w:val="18"/>
        </w:rPr>
        <w:footnoteRef/>
      </w:r>
      <w:r w:rsidRPr="005E50B5">
        <w:rPr>
          <w:sz w:val="18"/>
          <w:szCs w:val="18"/>
          <w:lang w:val="en-GB"/>
        </w:rPr>
        <w:t xml:space="preserve"> See full outcomes of the consultation process provided in annex</w:t>
      </w:r>
    </w:p>
  </w:footnote>
  <w:footnote w:id="59">
    <w:p w:rsidR="004725B0" w:rsidRPr="005E50B5" w:rsidRDefault="004725B0">
      <w:pPr>
        <w:pStyle w:val="FootnoteText"/>
        <w:rPr>
          <w:sz w:val="18"/>
          <w:szCs w:val="18"/>
          <w:lang w:val="en-GB"/>
        </w:rPr>
      </w:pPr>
      <w:r w:rsidRPr="005E50B5">
        <w:rPr>
          <w:rStyle w:val="FootnoteReference"/>
          <w:sz w:val="18"/>
          <w:szCs w:val="18"/>
        </w:rPr>
        <w:footnoteRef/>
      </w:r>
      <w:r w:rsidRPr="005E50B5">
        <w:rPr>
          <w:sz w:val="18"/>
          <w:szCs w:val="18"/>
          <w:lang w:val="en-GB"/>
        </w:rPr>
        <w:t xml:space="preserve"> Note, however, that health issues were sometimes included by stakeholders under Thematic Objective 4</w:t>
      </w:r>
    </w:p>
  </w:footnote>
  <w:footnote w:id="60">
    <w:p w:rsidR="004725B0" w:rsidRPr="005E50B5" w:rsidRDefault="004725B0">
      <w:pPr>
        <w:pStyle w:val="FootnoteText"/>
        <w:rPr>
          <w:sz w:val="18"/>
          <w:szCs w:val="18"/>
          <w:lang w:val="en-GB"/>
        </w:rPr>
      </w:pPr>
      <w:r w:rsidRPr="005E50B5">
        <w:rPr>
          <w:rStyle w:val="FootnoteReference"/>
          <w:sz w:val="18"/>
          <w:szCs w:val="18"/>
        </w:rPr>
        <w:footnoteRef/>
      </w:r>
      <w:r w:rsidRPr="005E50B5">
        <w:rPr>
          <w:sz w:val="18"/>
          <w:szCs w:val="18"/>
          <w:lang w:val="en-GB"/>
        </w:rPr>
        <w:t xml:space="preserve"> Only relevant re</w:t>
      </w:r>
      <w:r>
        <w:rPr>
          <w:sz w:val="18"/>
          <w:szCs w:val="18"/>
          <w:lang w:val="en-GB"/>
        </w:rPr>
        <w:t>gional programmes &gt; €10 million</w:t>
      </w:r>
      <w:r w:rsidRPr="005E50B5">
        <w:rPr>
          <w:sz w:val="18"/>
          <w:szCs w:val="18"/>
          <w:lang w:val="en-GB"/>
        </w:rPr>
        <w:t xml:space="preserve"> were included </w:t>
      </w:r>
    </w:p>
  </w:footnote>
  <w:footnote w:id="61">
    <w:p w:rsidR="004725B0" w:rsidRPr="005E50B5" w:rsidRDefault="004725B0"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Including aquaculture, food industry and agro-industry</w:t>
      </w:r>
    </w:p>
  </w:footnote>
  <w:footnote w:id="62">
    <w:p w:rsidR="004725B0" w:rsidRPr="005E50B5" w:rsidRDefault="004725B0" w:rsidP="00F16F0A">
      <w:pPr>
        <w:spacing w:after="0" w:line="240" w:lineRule="auto"/>
        <w:jc w:val="both"/>
        <w:rPr>
          <w:sz w:val="18"/>
          <w:szCs w:val="18"/>
          <w:lang w:val="en-GB"/>
        </w:rPr>
      </w:pPr>
      <w:r w:rsidRPr="005E50B5">
        <w:rPr>
          <w:rStyle w:val="FootnoteReference"/>
          <w:sz w:val="18"/>
          <w:szCs w:val="18"/>
        </w:rPr>
        <w:footnoteRef/>
      </w:r>
      <w:r w:rsidRPr="005E50B5">
        <w:rPr>
          <w:sz w:val="18"/>
          <w:szCs w:val="18"/>
          <w:lang w:val="en-GB"/>
        </w:rPr>
        <w:t xml:space="preserve"> Marine litter is any persistent, manufactured or processed solid material discarded, disposed of or abandoned in the marine and coastal environment. Marine litter consists of items that have been made or used by people and deliberately discarded into the sea or rivers or on beaches; brought indirectly to the sea with rivers, sewage, storm water or winds; accidentally lost, including material lost at sea in bad weather (fishing gear, cargo); or deliberately left by people on beaches and shores. Also known as marine debris.</w:t>
      </w:r>
    </w:p>
  </w:footnote>
  <w:footnote w:id="63">
    <w:p w:rsidR="004725B0" w:rsidRPr="005E50B5" w:rsidRDefault="004725B0" w:rsidP="00F16F0A">
      <w:pPr>
        <w:pStyle w:val="FootnoteText"/>
        <w:rPr>
          <w:sz w:val="18"/>
          <w:szCs w:val="18"/>
          <w:lang w:val="en-GB"/>
        </w:rPr>
      </w:pPr>
      <w:r w:rsidRPr="005E50B5">
        <w:rPr>
          <w:rStyle w:val="FootnoteReference"/>
          <w:sz w:val="18"/>
          <w:szCs w:val="18"/>
        </w:rPr>
        <w:footnoteRef/>
      </w:r>
      <w:r w:rsidRPr="005E50B5">
        <w:rPr>
          <w:sz w:val="18"/>
          <w:szCs w:val="18"/>
          <w:lang w:val="en-GB"/>
        </w:rPr>
        <w:t>See ‘Complementarities and synergies’ for more details on the Commission for the Protection of the Black Sea Against Pollution (Black Sea Commission),</w:t>
      </w:r>
    </w:p>
  </w:footnote>
  <w:footnote w:id="64">
    <w:p w:rsidR="004725B0" w:rsidRPr="005E50B5" w:rsidRDefault="004725B0" w:rsidP="00F16F0A">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See report from the Black Sea Commission on Marine Litter in the Black Sea Region, 2009</w:t>
      </w:r>
    </w:p>
  </w:footnote>
  <w:footnote w:id="65">
    <w:p w:rsidR="004725B0" w:rsidRPr="005E50B5" w:rsidRDefault="004725B0"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Art. 4c Regulations (EU) N° </w:t>
      </w:r>
      <w:r w:rsidRPr="005E50B5">
        <w:rPr>
          <w:rFonts w:cs="EUAlbertina"/>
          <w:bCs/>
          <w:sz w:val="18"/>
          <w:szCs w:val="18"/>
          <w:lang w:val="en-GB"/>
        </w:rPr>
        <w:t>897/2014</w:t>
      </w:r>
    </w:p>
  </w:footnote>
  <w:footnote w:id="66">
    <w:p w:rsidR="004725B0" w:rsidRPr="00682784" w:rsidRDefault="004725B0">
      <w:pPr>
        <w:pStyle w:val="FootnoteText"/>
        <w:rPr>
          <w:sz w:val="18"/>
          <w:szCs w:val="18"/>
          <w:lang w:val="en-GB"/>
        </w:rPr>
      </w:pPr>
      <w:r w:rsidRPr="00350954">
        <w:rPr>
          <w:rStyle w:val="FootnoteReference"/>
          <w:sz w:val="18"/>
          <w:szCs w:val="18"/>
        </w:rPr>
        <w:footnoteRef/>
      </w:r>
      <w:r w:rsidRPr="00682784">
        <w:rPr>
          <w:sz w:val="18"/>
          <w:szCs w:val="18"/>
          <w:lang w:val="en-GB"/>
        </w:rPr>
        <w:t xml:space="preserve"> Note that COI 29 is used both for priorities 1.2 and 2.1</w:t>
      </w:r>
    </w:p>
  </w:footnote>
  <w:footnote w:id="67">
    <w:p w:rsidR="004725B0" w:rsidRPr="00682784" w:rsidRDefault="004725B0" w:rsidP="001E0465">
      <w:pPr>
        <w:pStyle w:val="FootnoteText"/>
        <w:rPr>
          <w:sz w:val="18"/>
          <w:szCs w:val="18"/>
          <w:lang w:val="en-GB"/>
        </w:rPr>
      </w:pPr>
      <w:r w:rsidRPr="00953164">
        <w:rPr>
          <w:rStyle w:val="FootnoteReference"/>
          <w:sz w:val="18"/>
          <w:szCs w:val="18"/>
        </w:rPr>
        <w:footnoteRef/>
      </w:r>
      <w:r w:rsidRPr="00682784">
        <w:rPr>
          <w:sz w:val="18"/>
          <w:szCs w:val="18"/>
          <w:lang w:val="en-GB"/>
        </w:rPr>
        <w:t xml:space="preserve"> During indicators monitoring process, tourism events and cultural events will be counted separatly, as the latter might  become input for COI 8</w:t>
      </w:r>
    </w:p>
  </w:footnote>
  <w:footnote w:id="68">
    <w:p w:rsidR="004725B0" w:rsidRPr="005E50B5" w:rsidRDefault="004725B0" w:rsidP="009668F5">
      <w:pPr>
        <w:pStyle w:val="FootnoteText"/>
        <w:rPr>
          <w:rStyle w:val="FootnoteReference"/>
          <w:sz w:val="18"/>
          <w:szCs w:val="18"/>
          <w:vertAlign w:val="baseline"/>
          <w:lang w:val="en-GB"/>
        </w:rPr>
      </w:pPr>
      <w:r w:rsidRPr="005E50B5">
        <w:rPr>
          <w:rStyle w:val="FootnoteReference"/>
          <w:sz w:val="18"/>
          <w:szCs w:val="18"/>
        </w:rPr>
        <w:footnoteRef/>
      </w:r>
      <w:r w:rsidRPr="005E50B5">
        <w:rPr>
          <w:rStyle w:val="FootnoteReference"/>
          <w:sz w:val="18"/>
          <w:szCs w:val="18"/>
          <w:vertAlign w:val="baseline"/>
          <w:lang w:val="en-GB"/>
        </w:rPr>
        <w:t xml:space="preserve"> MA: Managing Authority; </w:t>
      </w:r>
      <w:r>
        <w:rPr>
          <w:sz w:val="18"/>
          <w:szCs w:val="18"/>
          <w:lang w:val="en-GB"/>
        </w:rPr>
        <w:t>JTS</w:t>
      </w:r>
      <w:r w:rsidRPr="005E50B5">
        <w:rPr>
          <w:sz w:val="18"/>
          <w:szCs w:val="18"/>
          <w:lang w:val="en-GB"/>
        </w:rPr>
        <w:t xml:space="preserve">: Joint Technical Secretariat ; </w:t>
      </w:r>
      <w:r w:rsidRPr="005E50B5">
        <w:rPr>
          <w:rStyle w:val="FootnoteReference"/>
          <w:sz w:val="18"/>
          <w:szCs w:val="18"/>
          <w:vertAlign w:val="baseline"/>
          <w:lang w:val="en-GB"/>
        </w:rPr>
        <w:t>EC: European Commission; NA: National Authorities of participating countries </w:t>
      </w:r>
    </w:p>
  </w:footnote>
  <w:footnote w:id="69">
    <w:p w:rsidR="004725B0" w:rsidRPr="005E50B5" w:rsidRDefault="004725B0" w:rsidP="009668F5">
      <w:pPr>
        <w:pStyle w:val="FootnoteText"/>
        <w:rPr>
          <w:sz w:val="18"/>
          <w:szCs w:val="18"/>
          <w:lang w:val="en-GB"/>
        </w:rPr>
      </w:pPr>
      <w:r w:rsidRPr="005E50B5">
        <w:rPr>
          <w:rStyle w:val="FootnoteReference"/>
          <w:sz w:val="18"/>
          <w:szCs w:val="18"/>
        </w:rPr>
        <w:footnoteRef/>
      </w:r>
      <w:r w:rsidRPr="005E50B5">
        <w:rPr>
          <w:sz w:val="18"/>
          <w:szCs w:val="18"/>
          <w:lang w:val="en-GB"/>
        </w:rPr>
        <w:t xml:space="preserve"> Including for partner countries and Russia, countries having signed a Financing Agreement with the EU</w:t>
      </w:r>
    </w:p>
  </w:footnote>
  <w:footnote w:id="70">
    <w:p w:rsidR="004725B0" w:rsidRPr="005E50B5" w:rsidRDefault="004725B0" w:rsidP="002A26C5">
      <w:pPr>
        <w:pStyle w:val="FootnoteText"/>
        <w:rPr>
          <w:sz w:val="18"/>
          <w:szCs w:val="18"/>
          <w:lang w:val="en-GB"/>
        </w:rPr>
      </w:pPr>
      <w:r w:rsidRPr="005E50B5">
        <w:rPr>
          <w:rStyle w:val="FootnoteReference"/>
          <w:sz w:val="18"/>
          <w:szCs w:val="18"/>
        </w:rPr>
        <w:footnoteRef/>
      </w:r>
      <w:r w:rsidRPr="005E50B5">
        <w:rPr>
          <w:sz w:val="18"/>
          <w:szCs w:val="18"/>
          <w:lang w:val="en-GB"/>
        </w:rPr>
        <w:t xml:space="preserve"> Indicators provisionally developed, may still be revised</w:t>
      </w:r>
    </w:p>
  </w:footnote>
  <w:footnote w:id="71">
    <w:p w:rsidR="004725B0" w:rsidRPr="005E50B5" w:rsidRDefault="004725B0"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See further details under the section ‘BSB strategy definition’ of this document </w:t>
      </w:r>
    </w:p>
  </w:footnote>
  <w:footnote w:id="72">
    <w:p w:rsidR="004725B0" w:rsidRPr="005E50B5" w:rsidRDefault="004725B0"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Art. 45.1 of ENI CBC Regulation (EU) 897/2014. See section ‘Description of the Programme area’ of this document for more details on </w:t>
      </w:r>
      <w:r w:rsidRPr="002C30C5">
        <w:rPr>
          <w:sz w:val="18"/>
          <w:szCs w:val="18"/>
          <w:lang w:val="en-GB"/>
        </w:rPr>
        <w:t>participating countries (however Russian Federation is unlikely to join the programme implementation).</w:t>
      </w:r>
    </w:p>
  </w:footnote>
  <w:footnote w:id="73">
    <w:p w:rsidR="004725B0" w:rsidRPr="005E50B5" w:rsidRDefault="004725B0"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5.33 and 6.7 Programming document 2014-20 ENI CBC  </w:t>
      </w:r>
    </w:p>
  </w:footnote>
  <w:footnote w:id="74">
    <w:p w:rsidR="004725B0" w:rsidRPr="005E50B5" w:rsidRDefault="004725B0" w:rsidP="00C50F00">
      <w:pPr>
        <w:pStyle w:val="FootnoteText"/>
        <w:rPr>
          <w:rStyle w:val="FootnoteReference"/>
          <w:sz w:val="18"/>
          <w:szCs w:val="18"/>
          <w:vertAlign w:val="baseline"/>
          <w:lang w:val="en-GB"/>
        </w:rPr>
      </w:pPr>
      <w:r w:rsidRPr="005E50B5">
        <w:rPr>
          <w:rStyle w:val="FootnoteReference"/>
          <w:sz w:val="18"/>
          <w:szCs w:val="18"/>
        </w:rPr>
        <w:footnoteRef/>
      </w:r>
      <w:r w:rsidRPr="005E50B5">
        <w:rPr>
          <w:rStyle w:val="FootnoteReference"/>
          <w:sz w:val="18"/>
          <w:szCs w:val="18"/>
          <w:lang w:val="en-GB"/>
        </w:rPr>
        <w:t xml:space="preserve"> </w:t>
      </w:r>
      <w:r w:rsidRPr="005E50B5">
        <w:rPr>
          <w:rStyle w:val="FootnoteReference"/>
          <w:sz w:val="18"/>
          <w:szCs w:val="18"/>
          <w:vertAlign w:val="baseline"/>
          <w:lang w:val="en-GB"/>
        </w:rPr>
        <w:t>Ar</w:t>
      </w:r>
      <w:r w:rsidRPr="005E50B5">
        <w:rPr>
          <w:sz w:val="18"/>
          <w:szCs w:val="18"/>
          <w:lang w:val="en-GB"/>
        </w:rPr>
        <w:t xml:space="preserve">. 6.3 of ENI Regulation (EU) 232/2014 refering to </w:t>
      </w:r>
      <w:r w:rsidRPr="005E50B5">
        <w:rPr>
          <w:rStyle w:val="FootnoteReference"/>
          <w:sz w:val="18"/>
          <w:szCs w:val="18"/>
          <w:vertAlign w:val="baseline"/>
          <w:lang w:val="en-GB"/>
        </w:rPr>
        <w:t>EU Regulation N°236/2014 laying down common rules and procedures for the implementation of the Union's instruments for financing external action</w:t>
      </w:r>
      <w:r w:rsidRPr="005E50B5">
        <w:rPr>
          <w:sz w:val="18"/>
          <w:szCs w:val="18"/>
          <w:lang w:val="en-GB"/>
        </w:rPr>
        <w:t xml:space="preserve"> (Ar</w:t>
      </w:r>
      <w:r w:rsidRPr="005E50B5">
        <w:rPr>
          <w:rStyle w:val="FootnoteReference"/>
          <w:sz w:val="18"/>
          <w:szCs w:val="18"/>
          <w:vertAlign w:val="baseline"/>
          <w:lang w:val="en-GB"/>
        </w:rPr>
        <w:t>t 8.1, 8.7 and 9.1</w:t>
      </w:r>
      <w:r w:rsidRPr="005E50B5">
        <w:rPr>
          <w:sz w:val="18"/>
          <w:szCs w:val="18"/>
          <w:lang w:val="en-GB"/>
        </w:rPr>
        <w:t>)</w:t>
      </w:r>
    </w:p>
  </w:footnote>
  <w:footnote w:id="75">
    <w:p w:rsidR="004725B0" w:rsidRPr="005E50B5" w:rsidRDefault="004725B0"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See section ‘Description of the Programme area’ of the strategy part of the JOP for further details on the programme area. </w:t>
      </w:r>
    </w:p>
  </w:footnote>
  <w:footnote w:id="76">
    <w:p w:rsidR="004725B0" w:rsidRPr="005E50B5" w:rsidRDefault="004725B0"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Art. 45.3 (a) of ENI CBC Regulation (EU) 897/2014</w:t>
      </w:r>
    </w:p>
  </w:footnote>
  <w:footnote w:id="77">
    <w:p w:rsidR="004725B0" w:rsidRPr="005E50B5" w:rsidRDefault="004725B0"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Art. 39 of ENI CBC Regulation (EU) 897/2014 and further restrictions agreed within ENI CBC BSB programme</w:t>
      </w:r>
    </w:p>
  </w:footnote>
  <w:footnote w:id="78">
    <w:p w:rsidR="004725B0" w:rsidRPr="005E50B5" w:rsidRDefault="004725B0"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Art. 40 of ENI CBC Regulation (EU) 897/2014</w:t>
      </w:r>
    </w:p>
  </w:footnote>
  <w:footnote w:id="79">
    <w:p w:rsidR="004725B0" w:rsidRPr="001368E0" w:rsidRDefault="004725B0" w:rsidP="00F16F0A">
      <w:pPr>
        <w:pStyle w:val="Default"/>
        <w:rPr>
          <w:rFonts w:ascii="Calisto MT" w:hAnsi="Calisto MT" w:cs="EUAlbertina"/>
          <w:sz w:val="18"/>
          <w:szCs w:val="18"/>
          <w:lang w:val="en-GB"/>
        </w:rPr>
      </w:pPr>
      <w:r w:rsidRPr="001368E0">
        <w:rPr>
          <w:rStyle w:val="FootnoteReference"/>
          <w:rFonts w:ascii="Calisto MT" w:hAnsi="Calisto MT"/>
          <w:sz w:val="18"/>
          <w:szCs w:val="18"/>
        </w:rPr>
        <w:footnoteRef/>
      </w:r>
      <w:r w:rsidRPr="001368E0">
        <w:rPr>
          <w:rFonts w:ascii="Calisto MT" w:hAnsi="Calisto MT"/>
          <w:sz w:val="18"/>
          <w:szCs w:val="18"/>
          <w:lang w:val="en-GB"/>
        </w:rPr>
        <w:t xml:space="preserve"> Art. 4.3 Regulations (EU) N° </w:t>
      </w:r>
      <w:r w:rsidRPr="001368E0">
        <w:rPr>
          <w:rFonts w:ascii="Calisto MT" w:hAnsi="Calisto MT" w:cs="EUAlbertina"/>
          <w:bCs/>
          <w:sz w:val="18"/>
          <w:szCs w:val="18"/>
          <w:lang w:val="en-GB"/>
        </w:rPr>
        <w:t>897/2014</w:t>
      </w:r>
    </w:p>
  </w:footnote>
  <w:footnote w:id="80">
    <w:p w:rsidR="004725B0" w:rsidRPr="00682784" w:rsidRDefault="004725B0">
      <w:pPr>
        <w:pStyle w:val="FootnoteText"/>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See section ‘Horizontal issues and modalities’ of this chapter for more details</w:t>
      </w:r>
    </w:p>
  </w:footnote>
  <w:footnote w:id="81">
    <w:p w:rsidR="004725B0" w:rsidRPr="004D6B37" w:rsidRDefault="004725B0" w:rsidP="004D6B37">
      <w:pPr>
        <w:rPr>
          <w:lang w:val="en-GB"/>
        </w:rPr>
      </w:pPr>
      <w:r>
        <w:rPr>
          <w:rStyle w:val="FootnoteReference"/>
        </w:rPr>
        <w:footnoteRef/>
      </w:r>
      <w:r w:rsidRPr="004D6B37">
        <w:rPr>
          <w:lang w:val="en-GB"/>
        </w:rPr>
        <w:t xml:space="preserve"> </w:t>
      </w:r>
      <w:r w:rsidRPr="004D6B37">
        <w:rPr>
          <w:sz w:val="18"/>
          <w:szCs w:val="18"/>
          <w:lang w:val="en-GB"/>
        </w:rPr>
        <w:t>Following the screening processes in Romania and Bulgaria</w:t>
      </w:r>
      <w:r w:rsidRPr="004D6B37">
        <w:rPr>
          <w:lang w:val="en-GB"/>
        </w:rPr>
        <w:t xml:space="preserve"> </w:t>
      </w:r>
      <w:r w:rsidRPr="004D6B37">
        <w:rPr>
          <w:sz w:val="18"/>
          <w:szCs w:val="18"/>
          <w:lang w:val="en-GB"/>
        </w:rPr>
        <w:t xml:space="preserve">to determine whether the programme is likely to have an environmental effect, the following conditions were imposed: Romania: Projects which might have an environmental effect should be subject to an EIA. Bulgaria: </w:t>
      </w:r>
      <w:r w:rsidR="00881B89" w:rsidRPr="00881B89">
        <w:rPr>
          <w:sz w:val="18"/>
          <w:szCs w:val="18"/>
          <w:lang w:val="en-GB"/>
        </w:rPr>
        <w:t>The decision was made based on two conditions related to environmental impact assessment where necessary and good water status and manag</w:t>
      </w:r>
      <w:r w:rsidR="00220CFF">
        <w:rPr>
          <w:sz w:val="18"/>
          <w:szCs w:val="18"/>
          <w:lang w:val="en-GB"/>
        </w:rPr>
        <w:t xml:space="preserve">ement of flood risk. </w:t>
      </w:r>
    </w:p>
  </w:footnote>
  <w:footnote w:id="82">
    <w:p w:rsidR="004725B0" w:rsidRPr="00682784" w:rsidRDefault="004725B0">
      <w:pPr>
        <w:pStyle w:val="FootnoteText"/>
        <w:rPr>
          <w:sz w:val="18"/>
          <w:szCs w:val="18"/>
          <w:lang w:val="en-GB"/>
        </w:rPr>
      </w:pPr>
      <w:r w:rsidRPr="005E50B5">
        <w:rPr>
          <w:rStyle w:val="FootnoteReference"/>
          <w:sz w:val="18"/>
          <w:szCs w:val="18"/>
        </w:rPr>
        <w:footnoteRef/>
      </w:r>
      <w:r w:rsidRPr="00682784">
        <w:rPr>
          <w:sz w:val="18"/>
          <w:szCs w:val="18"/>
          <w:lang w:val="en-GB"/>
        </w:rPr>
        <w:t xml:space="preserve"> </w:t>
      </w:r>
      <w:r w:rsidRPr="005E50B5">
        <w:rPr>
          <w:rStyle w:val="FootnoteReference"/>
          <w:sz w:val="18"/>
          <w:szCs w:val="18"/>
          <w:vertAlign w:val="baseline"/>
          <w:lang w:val="en-GB"/>
        </w:rPr>
        <w:t>For more details please refer to chapter ‘Overall strategic framework’</w:t>
      </w:r>
    </w:p>
  </w:footnote>
  <w:footnote w:id="83">
    <w:p w:rsidR="004725B0" w:rsidRPr="005E50B5" w:rsidRDefault="004725B0" w:rsidP="007E1B84">
      <w:pPr>
        <w:pStyle w:val="FootnoteText"/>
        <w:rPr>
          <w:sz w:val="18"/>
          <w:szCs w:val="18"/>
          <w:lang w:val="en-GB"/>
        </w:rPr>
      </w:pPr>
      <w:r w:rsidRPr="005E50B5">
        <w:rPr>
          <w:rStyle w:val="FootnoteReference"/>
          <w:sz w:val="18"/>
          <w:szCs w:val="18"/>
        </w:rPr>
        <w:footnoteRef/>
      </w:r>
      <w:r w:rsidRPr="005E50B5">
        <w:rPr>
          <w:sz w:val="18"/>
          <w:szCs w:val="18"/>
          <w:lang w:val="en-GB"/>
        </w:rPr>
        <w:t xml:space="preserve"> </w:t>
      </w:r>
      <w:r w:rsidRPr="005E50B5">
        <w:rPr>
          <w:rStyle w:val="FootnoteReference"/>
          <w:sz w:val="18"/>
          <w:szCs w:val="18"/>
          <w:vertAlign w:val="baseline"/>
          <w:lang w:val="en-GB"/>
        </w:rPr>
        <w:t xml:space="preserve">For more details please refer </w:t>
      </w:r>
      <w:r w:rsidRPr="005E50B5">
        <w:rPr>
          <w:sz w:val="18"/>
          <w:szCs w:val="18"/>
          <w:lang w:val="en-GB"/>
        </w:rPr>
        <w:t>to ‘Consistency with other EU programmes’ under chapter ‘</w:t>
      </w:r>
      <w:r w:rsidRPr="005E50B5">
        <w:rPr>
          <w:rStyle w:val="FootnoteReference"/>
          <w:sz w:val="18"/>
          <w:szCs w:val="18"/>
          <w:vertAlign w:val="baseline"/>
          <w:lang w:val="en-GB"/>
        </w:rPr>
        <w:t>Black Sea Basin strategic analyses and consultations</w:t>
      </w:r>
      <w:r w:rsidRPr="005E50B5">
        <w:rPr>
          <w:sz w:val="18"/>
          <w:szCs w:val="18"/>
          <w:lang w:val="en-GB"/>
        </w:rPr>
        <w:t xml:space="preserve">’ </w:t>
      </w:r>
    </w:p>
  </w:footnote>
  <w:footnote w:id="84">
    <w:p w:rsidR="004725B0" w:rsidRPr="005E50B5" w:rsidRDefault="004725B0" w:rsidP="00675043">
      <w:pPr>
        <w:pStyle w:val="FootnoteText"/>
        <w:jc w:val="both"/>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For more details please refer to ‘Stakeholders consultations’ under chapter ‘</w:t>
      </w:r>
      <w:r w:rsidRPr="005E50B5">
        <w:rPr>
          <w:rStyle w:val="FootnoteReference"/>
          <w:sz w:val="18"/>
          <w:szCs w:val="18"/>
          <w:vertAlign w:val="baseline"/>
          <w:lang w:val="en-GB"/>
        </w:rPr>
        <w:t>Black Sea Basin strategic analyses and consultations</w:t>
      </w:r>
      <w:r w:rsidRPr="005E50B5">
        <w:rPr>
          <w:sz w:val="18"/>
          <w:szCs w:val="18"/>
          <w:lang w:val="en-GB"/>
        </w:rPr>
        <w:t xml:space="preserve">’ </w:t>
      </w:r>
    </w:p>
  </w:footnote>
  <w:footnote w:id="85">
    <w:p w:rsidR="004725B0" w:rsidRPr="00682784" w:rsidRDefault="004725B0">
      <w:pPr>
        <w:pStyle w:val="FootnoteText"/>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For more details please refer to ‘Socio-economic and SWOT analysis’ under chapter ‘</w:t>
      </w:r>
      <w:r w:rsidRPr="005E50B5">
        <w:rPr>
          <w:rStyle w:val="FootnoteReference"/>
          <w:sz w:val="18"/>
          <w:szCs w:val="18"/>
          <w:vertAlign w:val="baseline"/>
          <w:lang w:val="en-GB"/>
        </w:rPr>
        <w:t>Black Sea Basin strategic analyses and consultations</w:t>
      </w:r>
      <w:r w:rsidRPr="005E50B5">
        <w:rPr>
          <w:sz w:val="18"/>
          <w:szCs w:val="18"/>
          <w:lang w:val="en-GB"/>
        </w:rPr>
        <w:t>’</w:t>
      </w:r>
    </w:p>
  </w:footnote>
  <w:footnote w:id="86">
    <w:p w:rsidR="004725B0" w:rsidRPr="005E50B5" w:rsidRDefault="004725B0"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In line with the Programming document 2014-20 ENI CBC (6.7). Further guidance on eligibility of project partners will be provided in the Guidelines for Applicants. </w:t>
      </w:r>
    </w:p>
  </w:footnote>
  <w:footnote w:id="87">
    <w:p w:rsidR="004725B0" w:rsidRPr="005E50B5" w:rsidRDefault="004725B0"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Russian Federation has not been actively involved in the programme preparation</w:t>
      </w:r>
    </w:p>
  </w:footnote>
  <w:footnote w:id="88">
    <w:p w:rsidR="004725B0" w:rsidRPr="005E50B5" w:rsidRDefault="004725B0"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See further details in the chapter ‘Communication strategy’ of this document</w:t>
      </w:r>
    </w:p>
  </w:footnote>
  <w:footnote w:id="89">
    <w:p w:rsidR="004725B0" w:rsidRPr="005E50B5" w:rsidRDefault="004725B0"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See Table 3 within ‘Consistency with other EU programmes’ under chapter ‘</w:t>
      </w:r>
      <w:r w:rsidRPr="005E50B5">
        <w:rPr>
          <w:rStyle w:val="FootnoteReference"/>
          <w:sz w:val="18"/>
          <w:szCs w:val="18"/>
          <w:vertAlign w:val="baseline"/>
          <w:lang w:val="en-GB"/>
        </w:rPr>
        <w:t>Black Sea Basin strategic analyses and consultations</w:t>
      </w:r>
      <w:r w:rsidRPr="005E50B5">
        <w:rPr>
          <w:sz w:val="18"/>
          <w:szCs w:val="18"/>
          <w:lang w:val="en-GB"/>
        </w:rPr>
        <w:t xml:space="preserve">’ of this document </w:t>
      </w:r>
    </w:p>
  </w:footnote>
  <w:footnote w:id="90">
    <w:p w:rsidR="004725B0" w:rsidRPr="005E50B5" w:rsidRDefault="004725B0"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See further details in the chapter ‘Communication strategy’ of this document </w:t>
      </w:r>
    </w:p>
  </w:footnote>
  <w:footnote w:id="91">
    <w:p w:rsidR="004725B0" w:rsidRPr="00682784" w:rsidRDefault="004725B0" w:rsidP="0028075A">
      <w:pPr>
        <w:pStyle w:val="FootnoteText"/>
        <w:spacing w:line="276" w:lineRule="auto"/>
        <w:rPr>
          <w:sz w:val="18"/>
          <w:szCs w:val="18"/>
          <w:lang w:val="en-GB"/>
        </w:rPr>
      </w:pPr>
      <w:r w:rsidRPr="005E50B5">
        <w:rPr>
          <w:rStyle w:val="FootnoteReference"/>
          <w:sz w:val="18"/>
          <w:szCs w:val="18"/>
        </w:rPr>
        <w:footnoteRef/>
      </w:r>
      <w:r w:rsidRPr="00682784">
        <w:rPr>
          <w:sz w:val="18"/>
          <w:szCs w:val="18"/>
          <w:lang w:val="en-GB"/>
        </w:rPr>
        <w:t xml:space="preserve"> A SC will be used for the first call for proposals but it was agreed during the development of the programme to keep open the option of not using a SC in subsequent calls </w:t>
      </w:r>
    </w:p>
  </w:footnote>
  <w:footnote w:id="92">
    <w:p w:rsidR="004725B0" w:rsidRPr="005E50B5" w:rsidRDefault="004725B0" w:rsidP="00EE745F">
      <w:pPr>
        <w:pStyle w:val="FootnoteText"/>
        <w:rPr>
          <w:rStyle w:val="FootnoteReference"/>
          <w:sz w:val="18"/>
          <w:szCs w:val="18"/>
          <w:lang w:val="en-GB"/>
        </w:rPr>
      </w:pPr>
      <w:r w:rsidRPr="005E50B5">
        <w:rPr>
          <w:rStyle w:val="FootnoteReference"/>
          <w:sz w:val="18"/>
          <w:szCs w:val="18"/>
        </w:rPr>
        <w:footnoteRef/>
      </w:r>
      <w:r w:rsidRPr="005E50B5">
        <w:rPr>
          <w:sz w:val="18"/>
          <w:szCs w:val="18"/>
          <w:lang w:val="en-GB"/>
        </w:rPr>
        <w:t xml:space="preserve"> From the date of the adoption of the programme by the EC, art. 15 ENI CBC Regulation (EU) 897/2014  </w:t>
      </w:r>
      <w:r w:rsidRPr="005E50B5">
        <w:rPr>
          <w:rStyle w:val="FootnoteReference"/>
          <w:sz w:val="18"/>
          <w:szCs w:val="18"/>
          <w:lang w:val="en-GB"/>
        </w:rPr>
        <w:t xml:space="preserve"> </w:t>
      </w:r>
    </w:p>
  </w:footnote>
  <w:footnote w:id="93">
    <w:p w:rsidR="004725B0" w:rsidRPr="005E50B5" w:rsidRDefault="004725B0" w:rsidP="00EE745F">
      <w:pPr>
        <w:pStyle w:val="FootnoteText"/>
        <w:rPr>
          <w:sz w:val="18"/>
          <w:szCs w:val="18"/>
          <w:lang w:val="en-GB"/>
        </w:rPr>
      </w:pPr>
      <w:r w:rsidRPr="005E50B5">
        <w:rPr>
          <w:rStyle w:val="FootnoteReference"/>
          <w:sz w:val="18"/>
          <w:szCs w:val="18"/>
        </w:rPr>
        <w:footnoteRef/>
      </w:r>
      <w:r w:rsidRPr="005E50B5">
        <w:rPr>
          <w:sz w:val="18"/>
          <w:szCs w:val="18"/>
          <w:lang w:val="en-GB"/>
        </w:rPr>
        <w:t xml:space="preserve"> Signature of Financing Agreement by partner countries or the Russian Federation </w:t>
      </w:r>
    </w:p>
  </w:footnote>
  <w:footnote w:id="94">
    <w:p w:rsidR="004725B0" w:rsidRPr="00682784" w:rsidRDefault="004725B0">
      <w:pPr>
        <w:pStyle w:val="FootnoteText"/>
        <w:rPr>
          <w:lang w:val="en-GB"/>
        </w:rPr>
      </w:pPr>
      <w:r>
        <w:rPr>
          <w:rStyle w:val="FootnoteReference"/>
        </w:rPr>
        <w:footnoteRef/>
      </w:r>
      <w:r w:rsidRPr="00682784">
        <w:rPr>
          <w:lang w:val="en-GB"/>
        </w:rPr>
        <w:t xml:space="preserve"> </w:t>
      </w:r>
      <w:r>
        <w:rPr>
          <w:sz w:val="18"/>
          <w:szCs w:val="18"/>
          <w:lang w:val="en-GB"/>
        </w:rPr>
        <w:t>Art. 4.5h Regulation</w:t>
      </w:r>
      <w:r w:rsidRPr="005E50B5">
        <w:rPr>
          <w:sz w:val="18"/>
          <w:szCs w:val="18"/>
          <w:lang w:val="en-GB"/>
        </w:rPr>
        <w:t xml:space="preserve"> (EU) N° </w:t>
      </w:r>
      <w:r w:rsidRPr="005E50B5">
        <w:rPr>
          <w:rFonts w:cs="EUAlbertina"/>
          <w:bCs/>
          <w:sz w:val="18"/>
          <w:szCs w:val="18"/>
          <w:lang w:val="en-GB"/>
        </w:rPr>
        <w:t>897/2014</w:t>
      </w:r>
    </w:p>
  </w:footnote>
  <w:footnote w:id="95">
    <w:p w:rsidR="004725B0" w:rsidRPr="00682784" w:rsidRDefault="004725B0" w:rsidP="0078216E">
      <w:pPr>
        <w:spacing w:before="120" w:after="0" w:line="252" w:lineRule="auto"/>
        <w:jc w:val="both"/>
        <w:rPr>
          <w:lang w:val="en-GB"/>
        </w:rPr>
      </w:pPr>
      <w:r w:rsidRPr="00B52CAE">
        <w:rPr>
          <w:rStyle w:val="FootnoteReference"/>
          <w:sz w:val="18"/>
          <w:szCs w:val="18"/>
        </w:rPr>
        <w:footnoteRef/>
      </w:r>
      <w:r w:rsidRPr="00682784">
        <w:rPr>
          <w:sz w:val="18"/>
          <w:szCs w:val="18"/>
          <w:lang w:val="en-GB"/>
        </w:rPr>
        <w:t xml:space="preserve"> </w:t>
      </w:r>
      <w:r w:rsidRPr="00B52CAE">
        <w:rPr>
          <w:sz w:val="18"/>
          <w:szCs w:val="18"/>
          <w:lang w:val="en-GB"/>
        </w:rPr>
        <w:t>Hot</w:t>
      </w:r>
      <w:r w:rsidRPr="00B52CAE">
        <w:rPr>
          <w:rFonts w:ascii="Times New Roman" w:hAnsi="Times New Roman"/>
          <w:sz w:val="18"/>
          <w:szCs w:val="18"/>
          <w:lang w:val="en-GB"/>
        </w:rPr>
        <w:t>ă</w:t>
      </w:r>
      <w:r w:rsidRPr="00B52CAE">
        <w:rPr>
          <w:sz w:val="18"/>
          <w:szCs w:val="18"/>
          <w:lang w:val="en-GB"/>
        </w:rPr>
        <w:t>rârea Guvernului nr. 1076/2004</w:t>
      </w:r>
    </w:p>
  </w:footnote>
  <w:footnote w:id="96">
    <w:p w:rsidR="004725B0" w:rsidRPr="00682784" w:rsidRDefault="004725B0" w:rsidP="00E017DD">
      <w:pPr>
        <w:pStyle w:val="FootnoteText"/>
        <w:rPr>
          <w:sz w:val="18"/>
          <w:szCs w:val="18"/>
          <w:lang w:val="en-GB"/>
        </w:rPr>
      </w:pPr>
      <w:r w:rsidRPr="00BB7F6F">
        <w:rPr>
          <w:rStyle w:val="FootnoteReference"/>
          <w:sz w:val="18"/>
          <w:szCs w:val="18"/>
        </w:rPr>
        <w:footnoteRef/>
      </w:r>
      <w:r w:rsidRPr="00682784">
        <w:rPr>
          <w:sz w:val="18"/>
          <w:szCs w:val="18"/>
          <w:lang w:val="en-GB"/>
        </w:rPr>
        <w:t xml:space="preserve"> As indicated in the chapter above on </w:t>
      </w:r>
      <w:r w:rsidRPr="00BB7F6F">
        <w:rPr>
          <w:noProof/>
          <w:sz w:val="18"/>
          <w:szCs w:val="18"/>
          <w:lang w:val="en-GB"/>
        </w:rPr>
        <w:t>Black Sea Basin ENI CBC programme strategy</w:t>
      </w:r>
    </w:p>
  </w:footnote>
  <w:footnote w:id="97">
    <w:p w:rsidR="004725B0" w:rsidRPr="001B13B3" w:rsidRDefault="004725B0" w:rsidP="001B13B3">
      <w:pPr>
        <w:pStyle w:val="FootnoteText"/>
        <w:rPr>
          <w:sz w:val="18"/>
          <w:szCs w:val="18"/>
          <w:lang w:val="en-GB"/>
        </w:rPr>
      </w:pPr>
      <w:r w:rsidRPr="001B13B3">
        <w:rPr>
          <w:rStyle w:val="FootnoteReference"/>
          <w:sz w:val="18"/>
          <w:szCs w:val="18"/>
        </w:rPr>
        <w:footnoteRef/>
      </w:r>
      <w:r w:rsidRPr="00682784">
        <w:rPr>
          <w:sz w:val="18"/>
          <w:szCs w:val="18"/>
          <w:lang w:val="en-GB"/>
        </w:rPr>
        <w:t xml:space="preserve"> Although public consultation is not required under the EU SEA Directive for the screening process, this was done in Romania as it is required under Romanian law. </w:t>
      </w:r>
      <w:r w:rsidRPr="001B13B3">
        <w:rPr>
          <w:sz w:val="18"/>
          <w:szCs w:val="18"/>
          <w:lang w:val="en-GB"/>
        </w:rPr>
        <w:t xml:space="preserve">The public in the programme area had been consulted previously during the development of the strategy. </w:t>
      </w:r>
    </w:p>
  </w:footnote>
  <w:footnote w:id="98">
    <w:p w:rsidR="004725B0" w:rsidRPr="004725B0" w:rsidRDefault="004725B0">
      <w:pPr>
        <w:pStyle w:val="FootnoteText"/>
        <w:rPr>
          <w:lang w:val="en-GB"/>
        </w:rPr>
      </w:pPr>
      <w:r>
        <w:rPr>
          <w:rStyle w:val="FootnoteReference"/>
        </w:rPr>
        <w:footnoteRef/>
      </w:r>
      <w:r w:rsidRPr="004725B0">
        <w:rPr>
          <w:lang w:val="en-GB"/>
        </w:rPr>
        <w:t xml:space="preserve"> </w:t>
      </w:r>
      <w:r w:rsidRPr="0071194D">
        <w:rPr>
          <w:sz w:val="18"/>
          <w:szCs w:val="18"/>
          <w:lang w:val="en-GB"/>
        </w:rPr>
        <w:t xml:space="preserve">As stipulated in Article 85, pt. 4 and pt. 5 of the </w:t>
      </w:r>
      <w:r w:rsidRPr="0071194D">
        <w:rPr>
          <w:i/>
          <w:sz w:val="18"/>
          <w:szCs w:val="18"/>
          <w:lang w:val="en-GB"/>
        </w:rPr>
        <w:t>Law on Environmental Protection</w:t>
      </w:r>
      <w:r w:rsidRPr="0071194D">
        <w:rPr>
          <w:sz w:val="18"/>
          <w:szCs w:val="18"/>
          <w:lang w:val="en-GB"/>
        </w:rPr>
        <w:t xml:space="preserve">, Art. 4, pt. 1 and Art. 14, pt. 2 of the </w:t>
      </w:r>
      <w:r w:rsidRPr="0071194D">
        <w:rPr>
          <w:i/>
          <w:sz w:val="18"/>
          <w:szCs w:val="18"/>
          <w:lang w:val="en-GB"/>
        </w:rPr>
        <w:t>Ordinance on the conditions and procedures for environmental assessment of plans and programs</w:t>
      </w:r>
      <w:r w:rsidRPr="0071194D">
        <w:rPr>
          <w:sz w:val="18"/>
          <w:szCs w:val="18"/>
          <w:lang w:val="en-GB"/>
        </w:rPr>
        <w:t xml:space="preserve">, Art. 37, pt. 4 of the </w:t>
      </w:r>
      <w:r w:rsidRPr="0071194D">
        <w:rPr>
          <w:i/>
          <w:sz w:val="18"/>
          <w:szCs w:val="18"/>
          <w:lang w:val="en-GB"/>
        </w:rPr>
        <w:t>Ordinance on the conditions and procedures for assessing the compatibility of plans, programs, projects and investment proposals with the object and purpose of conserving protected areas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B0" w:rsidRDefault="004725B0">
    <w:pPr>
      <w:pStyle w:val="Header"/>
    </w:pPr>
  </w:p>
  <w:p w:rsidR="004725B0" w:rsidRDefault="004725B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B0" w:rsidRDefault="004725B0" w:rsidP="000E53F1">
    <w:pPr>
      <w:pStyle w:val="Header-FooterRight"/>
      <w:jc w:val="left"/>
    </w:pPr>
  </w:p>
  <w:p w:rsidR="004725B0" w:rsidRDefault="004725B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B0" w:rsidRDefault="004725B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B0" w:rsidRDefault="004725B0" w:rsidP="000E53F1">
    <w:pPr>
      <w:pStyle w:val="Header-FooterRight"/>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rPr>
    </w:lvl>
  </w:abstractNum>
  <w:abstractNum w:abstractNumId="1">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983620"/>
      </w:rPr>
    </w:lvl>
  </w:abstractNum>
  <w:abstractNum w:abstractNumId="2">
    <w:nsid w:val="02A824A6"/>
    <w:multiLevelType w:val="hybridMultilevel"/>
    <w:tmpl w:val="7A2C877A"/>
    <w:lvl w:ilvl="0" w:tplc="F4CAAF5C">
      <w:start w:val="1"/>
      <w:numFmt w:val="bullet"/>
      <w:lvlText w:val="◦"/>
      <w:lvlJc w:val="left"/>
      <w:pPr>
        <w:tabs>
          <w:tab w:val="num" w:pos="720"/>
        </w:tabs>
        <w:ind w:left="720" w:hanging="360"/>
      </w:pPr>
      <w:rPr>
        <w:rFonts w:ascii="Verdana" w:hAnsi="Verdana" w:hint="default"/>
      </w:rPr>
    </w:lvl>
    <w:lvl w:ilvl="1" w:tplc="EA901584">
      <w:start w:val="1"/>
      <w:numFmt w:val="bullet"/>
      <w:lvlText w:val="◦"/>
      <w:lvlJc w:val="left"/>
      <w:pPr>
        <w:tabs>
          <w:tab w:val="num" w:pos="1440"/>
        </w:tabs>
        <w:ind w:left="1440" w:hanging="360"/>
      </w:pPr>
      <w:rPr>
        <w:rFonts w:ascii="Verdana" w:hAnsi="Verdana" w:hint="default"/>
      </w:rPr>
    </w:lvl>
    <w:lvl w:ilvl="2" w:tplc="C3A888DC" w:tentative="1">
      <w:start w:val="1"/>
      <w:numFmt w:val="bullet"/>
      <w:lvlText w:val="◦"/>
      <w:lvlJc w:val="left"/>
      <w:pPr>
        <w:tabs>
          <w:tab w:val="num" w:pos="2160"/>
        </w:tabs>
        <w:ind w:left="2160" w:hanging="360"/>
      </w:pPr>
      <w:rPr>
        <w:rFonts w:ascii="Verdana" w:hAnsi="Verdana" w:hint="default"/>
      </w:rPr>
    </w:lvl>
    <w:lvl w:ilvl="3" w:tplc="E6DC0DB2" w:tentative="1">
      <w:start w:val="1"/>
      <w:numFmt w:val="bullet"/>
      <w:lvlText w:val="◦"/>
      <w:lvlJc w:val="left"/>
      <w:pPr>
        <w:tabs>
          <w:tab w:val="num" w:pos="2880"/>
        </w:tabs>
        <w:ind w:left="2880" w:hanging="360"/>
      </w:pPr>
      <w:rPr>
        <w:rFonts w:ascii="Verdana" w:hAnsi="Verdana" w:hint="default"/>
      </w:rPr>
    </w:lvl>
    <w:lvl w:ilvl="4" w:tplc="A76E907C" w:tentative="1">
      <w:start w:val="1"/>
      <w:numFmt w:val="bullet"/>
      <w:lvlText w:val="◦"/>
      <w:lvlJc w:val="left"/>
      <w:pPr>
        <w:tabs>
          <w:tab w:val="num" w:pos="3600"/>
        </w:tabs>
        <w:ind w:left="3600" w:hanging="360"/>
      </w:pPr>
      <w:rPr>
        <w:rFonts w:ascii="Verdana" w:hAnsi="Verdana" w:hint="default"/>
      </w:rPr>
    </w:lvl>
    <w:lvl w:ilvl="5" w:tplc="91ACFBB2" w:tentative="1">
      <w:start w:val="1"/>
      <w:numFmt w:val="bullet"/>
      <w:lvlText w:val="◦"/>
      <w:lvlJc w:val="left"/>
      <w:pPr>
        <w:tabs>
          <w:tab w:val="num" w:pos="4320"/>
        </w:tabs>
        <w:ind w:left="4320" w:hanging="360"/>
      </w:pPr>
      <w:rPr>
        <w:rFonts w:ascii="Verdana" w:hAnsi="Verdana" w:hint="default"/>
      </w:rPr>
    </w:lvl>
    <w:lvl w:ilvl="6" w:tplc="804A3002" w:tentative="1">
      <w:start w:val="1"/>
      <w:numFmt w:val="bullet"/>
      <w:lvlText w:val="◦"/>
      <w:lvlJc w:val="left"/>
      <w:pPr>
        <w:tabs>
          <w:tab w:val="num" w:pos="5040"/>
        </w:tabs>
        <w:ind w:left="5040" w:hanging="360"/>
      </w:pPr>
      <w:rPr>
        <w:rFonts w:ascii="Verdana" w:hAnsi="Verdana" w:hint="default"/>
      </w:rPr>
    </w:lvl>
    <w:lvl w:ilvl="7" w:tplc="04766A44" w:tentative="1">
      <w:start w:val="1"/>
      <w:numFmt w:val="bullet"/>
      <w:lvlText w:val="◦"/>
      <w:lvlJc w:val="left"/>
      <w:pPr>
        <w:tabs>
          <w:tab w:val="num" w:pos="5760"/>
        </w:tabs>
        <w:ind w:left="5760" w:hanging="360"/>
      </w:pPr>
      <w:rPr>
        <w:rFonts w:ascii="Verdana" w:hAnsi="Verdana" w:hint="default"/>
      </w:rPr>
    </w:lvl>
    <w:lvl w:ilvl="8" w:tplc="4ACA9B3C" w:tentative="1">
      <w:start w:val="1"/>
      <w:numFmt w:val="bullet"/>
      <w:lvlText w:val="◦"/>
      <w:lvlJc w:val="left"/>
      <w:pPr>
        <w:tabs>
          <w:tab w:val="num" w:pos="6480"/>
        </w:tabs>
        <w:ind w:left="6480" w:hanging="360"/>
      </w:pPr>
      <w:rPr>
        <w:rFonts w:ascii="Verdana" w:hAnsi="Verdana" w:hint="default"/>
      </w:rPr>
    </w:lvl>
  </w:abstractNum>
  <w:abstractNum w:abstractNumId="3">
    <w:nsid w:val="03132437"/>
    <w:multiLevelType w:val="hybridMultilevel"/>
    <w:tmpl w:val="1206E6E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
    <w:nsid w:val="062F7053"/>
    <w:multiLevelType w:val="hybridMultilevel"/>
    <w:tmpl w:val="F4EE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853F32"/>
    <w:multiLevelType w:val="hybridMultilevel"/>
    <w:tmpl w:val="262E30DA"/>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72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6AA66C8"/>
    <w:multiLevelType w:val="hybridMultilevel"/>
    <w:tmpl w:val="988A86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3815AA"/>
    <w:multiLevelType w:val="hybridMultilevel"/>
    <w:tmpl w:val="9FDAFF1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0C6520D5"/>
    <w:multiLevelType w:val="hybridMultilevel"/>
    <w:tmpl w:val="9D902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BB0A90"/>
    <w:multiLevelType w:val="hybridMultilevel"/>
    <w:tmpl w:val="E5B01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24A58D9"/>
    <w:multiLevelType w:val="hybridMultilevel"/>
    <w:tmpl w:val="DE609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F15DCD"/>
    <w:multiLevelType w:val="hybridMultilevel"/>
    <w:tmpl w:val="B146771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nsid w:val="19620A2D"/>
    <w:multiLevelType w:val="hybridMultilevel"/>
    <w:tmpl w:val="5AEC8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3C78B8"/>
    <w:multiLevelType w:val="multilevel"/>
    <w:tmpl w:val="E9202990"/>
    <w:name w:val="Point"/>
    <w:lvl w:ilvl="0">
      <w:start w:val="1"/>
      <w:numFmt w:val="lowerLetter"/>
      <w:lvlRestart w:val="0"/>
      <w:pStyle w:val="Point0number"/>
      <w:lvlText w:val="(%1)"/>
      <w:lvlJc w:val="left"/>
      <w:pPr>
        <w:tabs>
          <w:tab w:val="num" w:pos="850"/>
        </w:tabs>
        <w:ind w:left="850" w:hanging="850"/>
      </w:pPr>
      <w:rPr>
        <w:rFonts w:ascii="Times New Roman" w:eastAsia="Calibri" w:hAnsi="Times New Roman" w:cs="Times New Roman"/>
      </w:r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4">
    <w:nsid w:val="1FD85181"/>
    <w:multiLevelType w:val="hybridMultilevel"/>
    <w:tmpl w:val="230CEF14"/>
    <w:lvl w:ilvl="0" w:tplc="260E6348">
      <w:start w:val="1"/>
      <w:numFmt w:val="bullet"/>
      <w:lvlText w:val=""/>
      <w:lvlJc w:val="left"/>
      <w:pPr>
        <w:ind w:left="720" w:hanging="360"/>
      </w:pPr>
      <w:rPr>
        <w:rFonts w:ascii="Wingdings 2" w:hAnsi="Wingdings 2" w:hint="default"/>
        <w:color w:val="8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062C90"/>
    <w:multiLevelType w:val="hybridMultilevel"/>
    <w:tmpl w:val="AEFEED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1532F79"/>
    <w:multiLevelType w:val="hybridMultilevel"/>
    <w:tmpl w:val="C2B071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2141713"/>
    <w:multiLevelType w:val="hybridMultilevel"/>
    <w:tmpl w:val="2BD03D94"/>
    <w:lvl w:ilvl="0" w:tplc="2D265D0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4BA3767"/>
    <w:multiLevelType w:val="multilevel"/>
    <w:tmpl w:val="427E3F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5AE4015"/>
    <w:multiLevelType w:val="multilevel"/>
    <w:tmpl w:val="4DD07400"/>
    <w:lvl w:ilvl="0">
      <w:start w:val="1"/>
      <w:numFmt w:val="bullet"/>
      <w:lvlText w:val=""/>
      <w:lvlJc w:val="left"/>
      <w:pPr>
        <w:tabs>
          <w:tab w:val="num" w:pos="360"/>
        </w:tabs>
        <w:ind w:left="360" w:hanging="360"/>
      </w:pPr>
      <w:rPr>
        <w:rFonts w:ascii="Wingdings" w:hAnsi="Wingdings" w:cs="ArialMT"/>
        <w:color w:val="000000"/>
      </w:rPr>
    </w:lvl>
    <w:lvl w:ilvl="1">
      <w:start w:val="3"/>
      <w:numFmt w:val="bullet"/>
      <w:lvlText w:val="-"/>
      <w:lvlJc w:val="left"/>
      <w:pPr>
        <w:tabs>
          <w:tab w:val="num" w:pos="2160"/>
        </w:tabs>
        <w:ind w:left="2160" w:hanging="360"/>
      </w:pPr>
      <w:rPr>
        <w:rFonts w:ascii="Thorndale AMT" w:hAnsi="Thorndale AMT"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720"/>
        </w:tabs>
        <w:ind w:left="720" w:hanging="360"/>
      </w:pPr>
      <w:rPr>
        <w:rFonts w:ascii="Symbol" w:hAnsi="Symbol"/>
      </w:rPr>
    </w:lvl>
    <w:lvl w:ilvl="4">
      <w:start w:val="1"/>
      <w:numFmt w:val="bullet"/>
      <w:lvlText w:val="o"/>
      <w:lvlJc w:val="left"/>
      <w:pPr>
        <w:tabs>
          <w:tab w:val="num" w:pos="0"/>
        </w:tabs>
        <w:ind w:left="0" w:hanging="360"/>
      </w:pPr>
      <w:rPr>
        <w:rFonts w:ascii="Courier New" w:hAnsi="Courier New" w:cs="Courier New"/>
      </w:rPr>
    </w:lvl>
    <w:lvl w:ilvl="5">
      <w:start w:val="3"/>
      <w:numFmt w:val="bullet"/>
      <w:lvlText w:val="-"/>
      <w:lvlJc w:val="left"/>
      <w:pPr>
        <w:tabs>
          <w:tab w:val="num" w:pos="720"/>
        </w:tabs>
        <w:ind w:left="720" w:hanging="360"/>
      </w:pPr>
      <w:rPr>
        <w:rFonts w:cs="ArialMT" w:hint="default"/>
        <w:b w:val="0"/>
        <w:i w:val="0"/>
        <w:color w:val="auto"/>
        <w:sz w:val="16"/>
      </w:rPr>
    </w:lvl>
    <w:lvl w:ilvl="6">
      <w:start w:val="1"/>
      <w:numFmt w:val="bullet"/>
      <w:lvlText w:val=""/>
      <w:lvlJc w:val="left"/>
      <w:pPr>
        <w:tabs>
          <w:tab w:val="num" w:pos="1440"/>
        </w:tabs>
        <w:ind w:left="1440" w:hanging="360"/>
      </w:pPr>
      <w:rPr>
        <w:rFonts w:ascii="Symbol" w:hAnsi="Symbol"/>
      </w:rPr>
    </w:lvl>
    <w:lvl w:ilvl="7">
      <w:start w:val="1"/>
      <w:numFmt w:val="bullet"/>
      <w:lvlText w:val="o"/>
      <w:lvlJc w:val="left"/>
      <w:pPr>
        <w:tabs>
          <w:tab w:val="num" w:pos="2160"/>
        </w:tabs>
        <w:ind w:left="2160" w:hanging="360"/>
      </w:pPr>
      <w:rPr>
        <w:rFonts w:ascii="Courier New" w:hAnsi="Courier New" w:cs="Courier New"/>
      </w:rPr>
    </w:lvl>
    <w:lvl w:ilvl="8">
      <w:start w:val="1"/>
      <w:numFmt w:val="bullet"/>
      <w:lvlText w:val=""/>
      <w:lvlJc w:val="left"/>
      <w:pPr>
        <w:tabs>
          <w:tab w:val="num" w:pos="2880"/>
        </w:tabs>
        <w:ind w:left="2880" w:hanging="360"/>
      </w:pPr>
      <w:rPr>
        <w:rFonts w:ascii="Wingdings" w:hAnsi="Wingdings"/>
      </w:rPr>
    </w:lvl>
  </w:abstractNum>
  <w:abstractNum w:abstractNumId="21">
    <w:nsid w:val="2BEC2774"/>
    <w:multiLevelType w:val="hybridMultilevel"/>
    <w:tmpl w:val="3D74D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D056689"/>
    <w:multiLevelType w:val="hybridMultilevel"/>
    <w:tmpl w:val="D8BC2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2E1B76ED"/>
    <w:multiLevelType w:val="hybridMultilevel"/>
    <w:tmpl w:val="4C12B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F4E7045"/>
    <w:multiLevelType w:val="hybridMultilevel"/>
    <w:tmpl w:val="B218B508"/>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5">
    <w:nsid w:val="2FEB742E"/>
    <w:multiLevelType w:val="hybridMultilevel"/>
    <w:tmpl w:val="A46EAC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03A5A60"/>
    <w:multiLevelType w:val="hybridMultilevel"/>
    <w:tmpl w:val="B3BA6CB8"/>
    <w:lvl w:ilvl="0" w:tplc="0024DCFE">
      <w:numFmt w:val="bullet"/>
      <w:lvlText w:val=""/>
      <w:lvlJc w:val="left"/>
      <w:pPr>
        <w:ind w:left="1070" w:hanging="710"/>
      </w:pPr>
      <w:rPr>
        <w:rFonts w:ascii="Symbol" w:eastAsia="Times New Roman" w:hAnsi="Symbol" w:cs="ArialM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nsid w:val="31A77E39"/>
    <w:multiLevelType w:val="hybridMultilevel"/>
    <w:tmpl w:val="B82CD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7980D46"/>
    <w:multiLevelType w:val="hybridMultilevel"/>
    <w:tmpl w:val="AC1631B8"/>
    <w:lvl w:ilvl="0" w:tplc="0B7851BA">
      <w:start w:val="1"/>
      <w:numFmt w:val="bullet"/>
      <w:lvlText w:val="-"/>
      <w:lvlJc w:val="left"/>
      <w:pPr>
        <w:ind w:left="720" w:hanging="360"/>
      </w:pPr>
      <w:rPr>
        <w:rFonts w:ascii="Calisto MT" w:eastAsia="Times New Roman" w:hAnsi="Calisto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A0B03CD"/>
    <w:multiLevelType w:val="hybridMultilevel"/>
    <w:tmpl w:val="1B7007D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0">
    <w:nsid w:val="3D7E5A7A"/>
    <w:multiLevelType w:val="hybridMultilevel"/>
    <w:tmpl w:val="8520B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3D884ECE"/>
    <w:multiLevelType w:val="hybridMultilevel"/>
    <w:tmpl w:val="1748A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DC621A8"/>
    <w:multiLevelType w:val="hybridMultilevel"/>
    <w:tmpl w:val="DBEC7C4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nsid w:val="3E020FC4"/>
    <w:multiLevelType w:val="hybridMultilevel"/>
    <w:tmpl w:val="2350FAA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nsid w:val="3F090B55"/>
    <w:multiLevelType w:val="hybridMultilevel"/>
    <w:tmpl w:val="FDEE412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F9A3C09"/>
    <w:multiLevelType w:val="hybridMultilevel"/>
    <w:tmpl w:val="C67C3F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17314FA"/>
    <w:multiLevelType w:val="hybridMultilevel"/>
    <w:tmpl w:val="DFB4775A"/>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7">
    <w:nsid w:val="42A45485"/>
    <w:multiLevelType w:val="hybridMultilevel"/>
    <w:tmpl w:val="78220B28"/>
    <w:lvl w:ilvl="0" w:tplc="260E6348">
      <w:start w:val="1"/>
      <w:numFmt w:val="bullet"/>
      <w:lvlText w:val=""/>
      <w:lvlJc w:val="left"/>
      <w:pPr>
        <w:ind w:left="720" w:hanging="360"/>
      </w:pPr>
      <w:rPr>
        <w:rFonts w:ascii="Wingdings 2" w:hAnsi="Wingdings 2" w:hint="default"/>
        <w:color w:val="8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AA3D77"/>
    <w:multiLevelType w:val="hybridMultilevel"/>
    <w:tmpl w:val="6E065E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43124EB3"/>
    <w:multiLevelType w:val="hybridMultilevel"/>
    <w:tmpl w:val="D9F4122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43E450F4"/>
    <w:multiLevelType w:val="hybridMultilevel"/>
    <w:tmpl w:val="27B0F4DA"/>
    <w:lvl w:ilvl="0" w:tplc="1E02942E">
      <w:start w:val="3"/>
      <w:numFmt w:val="bullet"/>
      <w:lvlText w:val="-"/>
      <w:lvlJc w:val="left"/>
      <w:pPr>
        <w:ind w:left="720" w:hanging="360"/>
      </w:pPr>
      <w:rPr>
        <w:rFonts w:ascii="Calisto MT" w:eastAsia="MS Mincho" w:hAnsi="Calisto MT"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63B7B94"/>
    <w:multiLevelType w:val="hybridMultilevel"/>
    <w:tmpl w:val="7FA8D26A"/>
    <w:lvl w:ilvl="0" w:tplc="260E6348">
      <w:start w:val="1"/>
      <w:numFmt w:val="bullet"/>
      <w:lvlText w:val=""/>
      <w:lvlJc w:val="left"/>
      <w:pPr>
        <w:ind w:left="720" w:hanging="360"/>
      </w:pPr>
      <w:rPr>
        <w:rFonts w:ascii="Wingdings 2" w:hAnsi="Wingdings 2" w:hint="default"/>
        <w:color w:val="8080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8AE6C66"/>
    <w:multiLevelType w:val="hybridMultilevel"/>
    <w:tmpl w:val="B75E3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95A5128"/>
    <w:multiLevelType w:val="hybridMultilevel"/>
    <w:tmpl w:val="62DE7EAC"/>
    <w:lvl w:ilvl="0" w:tplc="478C30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9FD2059"/>
    <w:multiLevelType w:val="hybridMultilevel"/>
    <w:tmpl w:val="639E12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AAF6E65"/>
    <w:multiLevelType w:val="hybridMultilevel"/>
    <w:tmpl w:val="C66A4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CE24C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F6357E5"/>
    <w:multiLevelType w:val="hybridMultilevel"/>
    <w:tmpl w:val="4B36D3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171233C"/>
    <w:multiLevelType w:val="multilevel"/>
    <w:tmpl w:val="D44C24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9">
    <w:nsid w:val="51D52406"/>
    <w:multiLevelType w:val="hybridMultilevel"/>
    <w:tmpl w:val="57A6D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34D79D3"/>
    <w:multiLevelType w:val="hybridMultilevel"/>
    <w:tmpl w:val="5C28F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80C1422"/>
    <w:multiLevelType w:val="hybridMultilevel"/>
    <w:tmpl w:val="4142D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84801F4"/>
    <w:multiLevelType w:val="hybridMultilevel"/>
    <w:tmpl w:val="CB90E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A553141"/>
    <w:multiLevelType w:val="hybridMultilevel"/>
    <w:tmpl w:val="F230B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A802C53"/>
    <w:multiLevelType w:val="hybridMultilevel"/>
    <w:tmpl w:val="B984ABA8"/>
    <w:lvl w:ilvl="0" w:tplc="7EACFDE4">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5DD03F03"/>
    <w:multiLevelType w:val="hybridMultilevel"/>
    <w:tmpl w:val="1D7A1E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EEE138C"/>
    <w:multiLevelType w:val="hybridMultilevel"/>
    <w:tmpl w:val="3746D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4D163D6"/>
    <w:multiLevelType w:val="hybridMultilevel"/>
    <w:tmpl w:val="A98A961C"/>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8">
    <w:nsid w:val="65FF3A3C"/>
    <w:multiLevelType w:val="hybridMultilevel"/>
    <w:tmpl w:val="A5C4B8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9">
    <w:nsid w:val="66755648"/>
    <w:multiLevelType w:val="hybridMultilevel"/>
    <w:tmpl w:val="93DE16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6D964B2"/>
    <w:multiLevelType w:val="hybridMultilevel"/>
    <w:tmpl w:val="977CEC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66EE0C03"/>
    <w:multiLevelType w:val="hybridMultilevel"/>
    <w:tmpl w:val="04D6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D0E0429"/>
    <w:multiLevelType w:val="multilevel"/>
    <w:tmpl w:val="28B89D12"/>
    <w:lvl w:ilvl="0">
      <w:start w:val="1"/>
      <w:numFmt w:val="decimal"/>
      <w:lvlRestart w:val="0"/>
      <w:pStyle w:val="ManualNumPar1"/>
      <w:lvlText w:val="(%1)"/>
      <w:lvlJc w:val="left"/>
      <w:pPr>
        <w:tabs>
          <w:tab w:val="num" w:pos="709"/>
        </w:tabs>
        <w:ind w:left="709" w:hanging="709"/>
      </w:pPr>
    </w:lvl>
    <w:lvl w:ilvl="1">
      <w:start w:val="1"/>
      <w:numFmt w:val="lowerLetter"/>
      <w:pStyle w:val="Applicationdirecte"/>
      <w:lvlText w:val="(%2)"/>
      <w:lvlJc w:val="left"/>
      <w:pPr>
        <w:tabs>
          <w:tab w:val="num" w:pos="1417"/>
        </w:tabs>
        <w:ind w:left="1417" w:hanging="708"/>
      </w:pPr>
    </w:lvl>
    <w:lvl w:ilvl="2">
      <w:start w:val="1"/>
      <w:numFmt w:val="bullet"/>
      <w:pStyle w:val="Fait"/>
      <w:lvlText w:val="–"/>
      <w:lvlJc w:val="left"/>
      <w:pPr>
        <w:tabs>
          <w:tab w:val="num" w:pos="2126"/>
        </w:tabs>
        <w:ind w:left="2126" w:hanging="709"/>
      </w:pPr>
      <w:rPr>
        <w:rFonts w:ascii="Times New Roman" w:hAnsi="Times New Roman"/>
      </w:rPr>
    </w:lvl>
    <w:lvl w:ilvl="3">
      <w:start w:val="1"/>
      <w:numFmt w:val="bullet"/>
      <w:pStyle w:val="Institutionquisigne"/>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6EC97227"/>
    <w:multiLevelType w:val="hybridMultilevel"/>
    <w:tmpl w:val="01FEE3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4">
    <w:nsid w:val="6FE16337"/>
    <w:multiLevelType w:val="hybridMultilevel"/>
    <w:tmpl w:val="9CAC00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0F702D9"/>
    <w:multiLevelType w:val="hybridMultilevel"/>
    <w:tmpl w:val="F28EF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1910A71"/>
    <w:multiLevelType w:val="hybridMultilevel"/>
    <w:tmpl w:val="86D64B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2B14B50"/>
    <w:multiLevelType w:val="hybridMultilevel"/>
    <w:tmpl w:val="FE9A01D2"/>
    <w:lvl w:ilvl="0" w:tplc="0024DCFE">
      <w:numFmt w:val="bullet"/>
      <w:lvlText w:val=""/>
      <w:lvlJc w:val="left"/>
      <w:pPr>
        <w:ind w:left="1070" w:hanging="710"/>
      </w:pPr>
      <w:rPr>
        <w:rFonts w:ascii="Symbol" w:eastAsia="Times New Roman" w:hAnsi="Symbol" w:cs="ArialM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8">
    <w:nsid w:val="73991263"/>
    <w:multiLevelType w:val="hybridMultilevel"/>
    <w:tmpl w:val="AD7E389A"/>
    <w:lvl w:ilvl="0" w:tplc="4EC2C81E">
      <w:start w:val="1"/>
      <w:numFmt w:val="bullet"/>
      <w:lvlText w:val="-"/>
      <w:lvlJc w:val="left"/>
      <w:pPr>
        <w:ind w:left="720" w:hanging="360"/>
      </w:pPr>
      <w:rPr>
        <w:rFonts w:ascii="Calisto MT" w:eastAsia="Times New Roman" w:hAnsi="Calisto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44F5582"/>
    <w:multiLevelType w:val="hybridMultilevel"/>
    <w:tmpl w:val="27CAC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49C62D5"/>
    <w:multiLevelType w:val="hybridMultilevel"/>
    <w:tmpl w:val="9D2408DC"/>
    <w:lvl w:ilvl="0" w:tplc="040C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788E30A1"/>
    <w:multiLevelType w:val="hybridMultilevel"/>
    <w:tmpl w:val="770478D2"/>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2">
    <w:nsid w:val="7929792C"/>
    <w:multiLevelType w:val="hybridMultilevel"/>
    <w:tmpl w:val="D1E84DA2"/>
    <w:lvl w:ilvl="0" w:tplc="04260015">
      <w:start w:val="1"/>
      <w:numFmt w:val="upp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nsid w:val="79352753"/>
    <w:multiLevelType w:val="hybridMultilevel"/>
    <w:tmpl w:val="CA42C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BA53938"/>
    <w:multiLevelType w:val="hybridMultilevel"/>
    <w:tmpl w:val="90626A4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5">
    <w:nsid w:val="7C1336F7"/>
    <w:multiLevelType w:val="hybridMultilevel"/>
    <w:tmpl w:val="B0BA7CF2"/>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6"/>
  </w:num>
  <w:num w:numId="5">
    <w:abstractNumId w:val="35"/>
  </w:num>
  <w:num w:numId="6">
    <w:abstractNumId w:val="70"/>
  </w:num>
  <w:num w:numId="7">
    <w:abstractNumId w:val="66"/>
  </w:num>
  <w:num w:numId="8">
    <w:abstractNumId w:val="25"/>
  </w:num>
  <w:num w:numId="9">
    <w:abstractNumId w:val="44"/>
  </w:num>
  <w:num w:numId="10">
    <w:abstractNumId w:val="15"/>
  </w:num>
  <w:num w:numId="11">
    <w:abstractNumId w:val="34"/>
  </w:num>
  <w:num w:numId="12">
    <w:abstractNumId w:val="59"/>
  </w:num>
  <w:num w:numId="13">
    <w:abstractNumId w:val="72"/>
  </w:num>
  <w:num w:numId="14">
    <w:abstractNumId w:val="47"/>
  </w:num>
  <w:num w:numId="15">
    <w:abstractNumId w:val="5"/>
  </w:num>
  <w:num w:numId="16">
    <w:abstractNumId w:val="55"/>
  </w:num>
  <w:num w:numId="17">
    <w:abstractNumId w:val="6"/>
  </w:num>
  <w:num w:numId="18">
    <w:abstractNumId w:val="43"/>
  </w:num>
  <w:num w:numId="19">
    <w:abstractNumId w:val="62"/>
  </w:num>
  <w:num w:numId="20">
    <w:abstractNumId w:val="38"/>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71"/>
  </w:num>
  <w:num w:numId="24">
    <w:abstractNumId w:val="46"/>
  </w:num>
  <w:num w:numId="25">
    <w:abstractNumId w:val="19"/>
  </w:num>
  <w:num w:numId="26">
    <w:abstractNumId w:val="48"/>
  </w:num>
  <w:num w:numId="27">
    <w:abstractNumId w:val="17"/>
  </w:num>
  <w:num w:numId="28">
    <w:abstractNumId w:val="40"/>
  </w:num>
  <w:num w:numId="29">
    <w:abstractNumId w:val="24"/>
  </w:num>
  <w:num w:numId="30">
    <w:abstractNumId w:val="21"/>
  </w:num>
  <w:num w:numId="31">
    <w:abstractNumId w:val="9"/>
  </w:num>
  <w:num w:numId="32">
    <w:abstractNumId w:val="10"/>
  </w:num>
  <w:num w:numId="33">
    <w:abstractNumId w:val="23"/>
  </w:num>
  <w:num w:numId="34">
    <w:abstractNumId w:val="27"/>
  </w:num>
  <w:num w:numId="35">
    <w:abstractNumId w:val="12"/>
  </w:num>
  <w:num w:numId="36">
    <w:abstractNumId w:val="53"/>
  </w:num>
  <w:num w:numId="37">
    <w:abstractNumId w:val="8"/>
  </w:num>
  <w:num w:numId="38">
    <w:abstractNumId w:val="51"/>
  </w:num>
  <w:num w:numId="39">
    <w:abstractNumId w:val="31"/>
  </w:num>
  <w:num w:numId="40">
    <w:abstractNumId w:val="56"/>
  </w:num>
  <w:num w:numId="41">
    <w:abstractNumId w:val="65"/>
  </w:num>
  <w:num w:numId="42">
    <w:abstractNumId w:val="50"/>
  </w:num>
  <w:num w:numId="43">
    <w:abstractNumId w:val="32"/>
  </w:num>
  <w:num w:numId="44">
    <w:abstractNumId w:val="29"/>
  </w:num>
  <w:num w:numId="45">
    <w:abstractNumId w:val="7"/>
  </w:num>
  <w:num w:numId="46">
    <w:abstractNumId w:val="36"/>
  </w:num>
  <w:num w:numId="47">
    <w:abstractNumId w:val="11"/>
  </w:num>
  <w:num w:numId="48">
    <w:abstractNumId w:val="75"/>
  </w:num>
  <w:num w:numId="49">
    <w:abstractNumId w:val="74"/>
  </w:num>
  <w:num w:numId="50">
    <w:abstractNumId w:val="22"/>
  </w:num>
  <w:num w:numId="51">
    <w:abstractNumId w:val="60"/>
  </w:num>
  <w:num w:numId="52">
    <w:abstractNumId w:val="33"/>
  </w:num>
  <w:num w:numId="53">
    <w:abstractNumId w:val="61"/>
  </w:num>
  <w:num w:numId="54">
    <w:abstractNumId w:val="26"/>
  </w:num>
  <w:num w:numId="55">
    <w:abstractNumId w:val="67"/>
  </w:num>
  <w:num w:numId="56">
    <w:abstractNumId w:val="20"/>
  </w:num>
  <w:num w:numId="57">
    <w:abstractNumId w:val="4"/>
  </w:num>
  <w:num w:numId="58">
    <w:abstractNumId w:val="69"/>
  </w:num>
  <w:num w:numId="59">
    <w:abstractNumId w:val="52"/>
  </w:num>
  <w:num w:numId="60">
    <w:abstractNumId w:val="45"/>
  </w:num>
  <w:num w:numId="61">
    <w:abstractNumId w:val="37"/>
  </w:num>
  <w:num w:numId="62">
    <w:abstractNumId w:val="42"/>
  </w:num>
  <w:num w:numId="63">
    <w:abstractNumId w:val="41"/>
  </w:num>
  <w:num w:numId="64">
    <w:abstractNumId w:val="14"/>
  </w:num>
  <w:num w:numId="65">
    <w:abstractNumId w:val="64"/>
  </w:num>
  <w:num w:numId="66">
    <w:abstractNumId w:val="73"/>
  </w:num>
  <w:num w:numId="67">
    <w:abstractNumId w:val="49"/>
  </w:num>
  <w:num w:numId="68">
    <w:abstractNumId w:val="39"/>
  </w:num>
  <w:num w:numId="69">
    <w:abstractNumId w:val="3"/>
  </w:num>
  <w:num w:numId="70">
    <w:abstractNumId w:val="57"/>
  </w:num>
  <w:num w:numId="71">
    <w:abstractNumId w:val="63"/>
  </w:num>
  <w:num w:numId="72">
    <w:abstractNumId w:val="58"/>
  </w:num>
  <w:num w:numId="73">
    <w:abstractNumId w:val="68"/>
  </w:num>
  <w:num w:numId="74">
    <w:abstractNumId w:val="28"/>
  </w:num>
  <w:num w:numId="75">
    <w:abstractNumId w:val="54"/>
  </w:num>
  <w:num w:numId="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defaultTabStop w:val="720"/>
  <w:hyphenationZone w:val="425"/>
  <w:characterSpacingControl w:val="doNotCompress"/>
  <w:hdrShapeDefaults>
    <o:shapedefaults v:ext="edit" spidmax="3074">
      <v:textbox inset="5.85pt,.7pt,5.85pt,.7pt"/>
    </o:shapedefaults>
  </w:hdrShapeDefaults>
  <w:footnotePr>
    <w:numFmt w:val="lowerRoman"/>
    <w:footnote w:id="-1"/>
    <w:footnote w:id="0"/>
  </w:footnotePr>
  <w:endnotePr>
    <w:numFmt w:val="decimal"/>
    <w:endnote w:id="-1"/>
    <w:endnote w:id="0"/>
  </w:endnotePr>
  <w:compat>
    <w:useFELayout/>
  </w:compat>
  <w:rsids>
    <w:rsidRoot w:val="002660A3"/>
    <w:rsid w:val="00000021"/>
    <w:rsid w:val="00000363"/>
    <w:rsid w:val="000006E4"/>
    <w:rsid w:val="00000AE2"/>
    <w:rsid w:val="000013B5"/>
    <w:rsid w:val="00002063"/>
    <w:rsid w:val="000020E6"/>
    <w:rsid w:val="000029E0"/>
    <w:rsid w:val="00002BD5"/>
    <w:rsid w:val="00002F8C"/>
    <w:rsid w:val="0000327C"/>
    <w:rsid w:val="0000336F"/>
    <w:rsid w:val="0000366C"/>
    <w:rsid w:val="000046D6"/>
    <w:rsid w:val="00005080"/>
    <w:rsid w:val="000051F0"/>
    <w:rsid w:val="000054E1"/>
    <w:rsid w:val="000056F6"/>
    <w:rsid w:val="00005726"/>
    <w:rsid w:val="00005A4B"/>
    <w:rsid w:val="00005EE4"/>
    <w:rsid w:val="0000667E"/>
    <w:rsid w:val="00006885"/>
    <w:rsid w:val="000103AB"/>
    <w:rsid w:val="000107E4"/>
    <w:rsid w:val="00011978"/>
    <w:rsid w:val="00011C1A"/>
    <w:rsid w:val="0001268C"/>
    <w:rsid w:val="00012AF0"/>
    <w:rsid w:val="0001321D"/>
    <w:rsid w:val="0001335A"/>
    <w:rsid w:val="000138E1"/>
    <w:rsid w:val="00013B60"/>
    <w:rsid w:val="00013B97"/>
    <w:rsid w:val="00013E5E"/>
    <w:rsid w:val="00014522"/>
    <w:rsid w:val="000145CC"/>
    <w:rsid w:val="0001487B"/>
    <w:rsid w:val="00014909"/>
    <w:rsid w:val="00014C13"/>
    <w:rsid w:val="00014CA5"/>
    <w:rsid w:val="00014ED9"/>
    <w:rsid w:val="00015AB7"/>
    <w:rsid w:val="00015D65"/>
    <w:rsid w:val="00015F02"/>
    <w:rsid w:val="0001616C"/>
    <w:rsid w:val="00016A78"/>
    <w:rsid w:val="00016C3B"/>
    <w:rsid w:val="00016F71"/>
    <w:rsid w:val="00016FD7"/>
    <w:rsid w:val="000174E4"/>
    <w:rsid w:val="00017541"/>
    <w:rsid w:val="000178F3"/>
    <w:rsid w:val="00017C4B"/>
    <w:rsid w:val="00017F8D"/>
    <w:rsid w:val="00020749"/>
    <w:rsid w:val="00020A2F"/>
    <w:rsid w:val="00020F66"/>
    <w:rsid w:val="00020FDD"/>
    <w:rsid w:val="000210DD"/>
    <w:rsid w:val="00021F3F"/>
    <w:rsid w:val="00022032"/>
    <w:rsid w:val="00022173"/>
    <w:rsid w:val="00022215"/>
    <w:rsid w:val="00022586"/>
    <w:rsid w:val="00022A71"/>
    <w:rsid w:val="00022B5D"/>
    <w:rsid w:val="00023523"/>
    <w:rsid w:val="0002389D"/>
    <w:rsid w:val="000246FF"/>
    <w:rsid w:val="000250DC"/>
    <w:rsid w:val="000254C0"/>
    <w:rsid w:val="0002584D"/>
    <w:rsid w:val="00025BD2"/>
    <w:rsid w:val="00025E62"/>
    <w:rsid w:val="00025EA7"/>
    <w:rsid w:val="00026356"/>
    <w:rsid w:val="00026475"/>
    <w:rsid w:val="00026A5C"/>
    <w:rsid w:val="00027113"/>
    <w:rsid w:val="00030371"/>
    <w:rsid w:val="000306E2"/>
    <w:rsid w:val="000309FF"/>
    <w:rsid w:val="00030CD2"/>
    <w:rsid w:val="00030D01"/>
    <w:rsid w:val="00030D56"/>
    <w:rsid w:val="00031748"/>
    <w:rsid w:val="000319DB"/>
    <w:rsid w:val="00031B03"/>
    <w:rsid w:val="00031B0C"/>
    <w:rsid w:val="00032486"/>
    <w:rsid w:val="00032975"/>
    <w:rsid w:val="00032E7F"/>
    <w:rsid w:val="00033471"/>
    <w:rsid w:val="0003369D"/>
    <w:rsid w:val="00033D90"/>
    <w:rsid w:val="00034047"/>
    <w:rsid w:val="00034127"/>
    <w:rsid w:val="0003442D"/>
    <w:rsid w:val="000348AF"/>
    <w:rsid w:val="000348DD"/>
    <w:rsid w:val="00035050"/>
    <w:rsid w:val="00035666"/>
    <w:rsid w:val="00035B7D"/>
    <w:rsid w:val="000363D3"/>
    <w:rsid w:val="0003643B"/>
    <w:rsid w:val="00036A31"/>
    <w:rsid w:val="0003700C"/>
    <w:rsid w:val="00037D9A"/>
    <w:rsid w:val="00040A36"/>
    <w:rsid w:val="0004128D"/>
    <w:rsid w:val="00041306"/>
    <w:rsid w:val="00041595"/>
    <w:rsid w:val="00041E02"/>
    <w:rsid w:val="00041F57"/>
    <w:rsid w:val="00042171"/>
    <w:rsid w:val="000421AF"/>
    <w:rsid w:val="00042980"/>
    <w:rsid w:val="00042A03"/>
    <w:rsid w:val="00042CE0"/>
    <w:rsid w:val="00042E18"/>
    <w:rsid w:val="0004380F"/>
    <w:rsid w:val="0004394A"/>
    <w:rsid w:val="00043DF6"/>
    <w:rsid w:val="00044507"/>
    <w:rsid w:val="000445D5"/>
    <w:rsid w:val="00044607"/>
    <w:rsid w:val="000446F6"/>
    <w:rsid w:val="0004497A"/>
    <w:rsid w:val="00044D7D"/>
    <w:rsid w:val="0004548E"/>
    <w:rsid w:val="000456AC"/>
    <w:rsid w:val="00045728"/>
    <w:rsid w:val="00045DEF"/>
    <w:rsid w:val="00046158"/>
    <w:rsid w:val="000469F9"/>
    <w:rsid w:val="00046FFB"/>
    <w:rsid w:val="0004775C"/>
    <w:rsid w:val="00047879"/>
    <w:rsid w:val="00047940"/>
    <w:rsid w:val="00047AEB"/>
    <w:rsid w:val="00050641"/>
    <w:rsid w:val="00051D4D"/>
    <w:rsid w:val="00051D67"/>
    <w:rsid w:val="0005207A"/>
    <w:rsid w:val="000522A5"/>
    <w:rsid w:val="000523C2"/>
    <w:rsid w:val="000524A2"/>
    <w:rsid w:val="00052CA2"/>
    <w:rsid w:val="00053133"/>
    <w:rsid w:val="0005354E"/>
    <w:rsid w:val="000535C2"/>
    <w:rsid w:val="00053690"/>
    <w:rsid w:val="00053A18"/>
    <w:rsid w:val="000540C6"/>
    <w:rsid w:val="000542C2"/>
    <w:rsid w:val="0005442E"/>
    <w:rsid w:val="00054C50"/>
    <w:rsid w:val="00054C57"/>
    <w:rsid w:val="00055292"/>
    <w:rsid w:val="00055639"/>
    <w:rsid w:val="00055B06"/>
    <w:rsid w:val="00055B33"/>
    <w:rsid w:val="00055BD4"/>
    <w:rsid w:val="00055E99"/>
    <w:rsid w:val="00056123"/>
    <w:rsid w:val="00056243"/>
    <w:rsid w:val="000562C7"/>
    <w:rsid w:val="00056391"/>
    <w:rsid w:val="000566B0"/>
    <w:rsid w:val="0005679D"/>
    <w:rsid w:val="00056C65"/>
    <w:rsid w:val="00057246"/>
    <w:rsid w:val="00057923"/>
    <w:rsid w:val="000579D8"/>
    <w:rsid w:val="000606F1"/>
    <w:rsid w:val="00061100"/>
    <w:rsid w:val="0006157C"/>
    <w:rsid w:val="00061F8F"/>
    <w:rsid w:val="000622C3"/>
    <w:rsid w:val="0006281D"/>
    <w:rsid w:val="00062B20"/>
    <w:rsid w:val="00062CE1"/>
    <w:rsid w:val="00063B14"/>
    <w:rsid w:val="000644DC"/>
    <w:rsid w:val="00064B11"/>
    <w:rsid w:val="00064BF6"/>
    <w:rsid w:val="000650A0"/>
    <w:rsid w:val="000651EF"/>
    <w:rsid w:val="000666E5"/>
    <w:rsid w:val="000668AD"/>
    <w:rsid w:val="000668B2"/>
    <w:rsid w:val="00066BCA"/>
    <w:rsid w:val="00067000"/>
    <w:rsid w:val="00067189"/>
    <w:rsid w:val="00067647"/>
    <w:rsid w:val="00067783"/>
    <w:rsid w:val="0006785F"/>
    <w:rsid w:val="0006798E"/>
    <w:rsid w:val="00067E81"/>
    <w:rsid w:val="00070AB7"/>
    <w:rsid w:val="00070D6C"/>
    <w:rsid w:val="00070DBB"/>
    <w:rsid w:val="00071179"/>
    <w:rsid w:val="000714EB"/>
    <w:rsid w:val="00071656"/>
    <w:rsid w:val="0007179D"/>
    <w:rsid w:val="000718E7"/>
    <w:rsid w:val="00071A17"/>
    <w:rsid w:val="00071A5D"/>
    <w:rsid w:val="00071C93"/>
    <w:rsid w:val="00071D8E"/>
    <w:rsid w:val="00071D93"/>
    <w:rsid w:val="00071DC1"/>
    <w:rsid w:val="00071E25"/>
    <w:rsid w:val="000720B0"/>
    <w:rsid w:val="00072461"/>
    <w:rsid w:val="00072C2B"/>
    <w:rsid w:val="00073439"/>
    <w:rsid w:val="000736A1"/>
    <w:rsid w:val="00073F25"/>
    <w:rsid w:val="00074441"/>
    <w:rsid w:val="000747AF"/>
    <w:rsid w:val="0007492C"/>
    <w:rsid w:val="00075428"/>
    <w:rsid w:val="0007569C"/>
    <w:rsid w:val="00075EEA"/>
    <w:rsid w:val="00076250"/>
    <w:rsid w:val="0007657E"/>
    <w:rsid w:val="000765C6"/>
    <w:rsid w:val="00076752"/>
    <w:rsid w:val="00077D06"/>
    <w:rsid w:val="00077D55"/>
    <w:rsid w:val="00077DC0"/>
    <w:rsid w:val="00077FD6"/>
    <w:rsid w:val="000802B6"/>
    <w:rsid w:val="00080C4C"/>
    <w:rsid w:val="00080ECC"/>
    <w:rsid w:val="00080FA1"/>
    <w:rsid w:val="00080FEC"/>
    <w:rsid w:val="000812F1"/>
    <w:rsid w:val="00081AE5"/>
    <w:rsid w:val="00081D1C"/>
    <w:rsid w:val="00081D8F"/>
    <w:rsid w:val="00081E0B"/>
    <w:rsid w:val="00081ECA"/>
    <w:rsid w:val="000821EC"/>
    <w:rsid w:val="00082349"/>
    <w:rsid w:val="0008261E"/>
    <w:rsid w:val="0008270D"/>
    <w:rsid w:val="00082E43"/>
    <w:rsid w:val="0008327B"/>
    <w:rsid w:val="00083504"/>
    <w:rsid w:val="000843BA"/>
    <w:rsid w:val="00084515"/>
    <w:rsid w:val="000847DF"/>
    <w:rsid w:val="00084E22"/>
    <w:rsid w:val="00084E6C"/>
    <w:rsid w:val="00084F08"/>
    <w:rsid w:val="00085107"/>
    <w:rsid w:val="00085CBC"/>
    <w:rsid w:val="00085D02"/>
    <w:rsid w:val="00085E20"/>
    <w:rsid w:val="000863DE"/>
    <w:rsid w:val="00086780"/>
    <w:rsid w:val="000868D1"/>
    <w:rsid w:val="00087221"/>
    <w:rsid w:val="000874D4"/>
    <w:rsid w:val="00087AFB"/>
    <w:rsid w:val="00087B8B"/>
    <w:rsid w:val="00087D04"/>
    <w:rsid w:val="00090407"/>
    <w:rsid w:val="00090DBA"/>
    <w:rsid w:val="00090E25"/>
    <w:rsid w:val="00090F4A"/>
    <w:rsid w:val="0009142A"/>
    <w:rsid w:val="00091469"/>
    <w:rsid w:val="00091662"/>
    <w:rsid w:val="00091C47"/>
    <w:rsid w:val="000920AC"/>
    <w:rsid w:val="000925EC"/>
    <w:rsid w:val="00092806"/>
    <w:rsid w:val="00092DDA"/>
    <w:rsid w:val="0009314E"/>
    <w:rsid w:val="0009321F"/>
    <w:rsid w:val="000935AD"/>
    <w:rsid w:val="000935DB"/>
    <w:rsid w:val="0009388E"/>
    <w:rsid w:val="00093EA0"/>
    <w:rsid w:val="00093F8C"/>
    <w:rsid w:val="00094435"/>
    <w:rsid w:val="00094B32"/>
    <w:rsid w:val="0009504D"/>
    <w:rsid w:val="0009514C"/>
    <w:rsid w:val="000951BF"/>
    <w:rsid w:val="000953C2"/>
    <w:rsid w:val="00095515"/>
    <w:rsid w:val="00095B20"/>
    <w:rsid w:val="000966A7"/>
    <w:rsid w:val="000967F3"/>
    <w:rsid w:val="0009688E"/>
    <w:rsid w:val="000968A2"/>
    <w:rsid w:val="000968D9"/>
    <w:rsid w:val="00096F9D"/>
    <w:rsid w:val="00097060"/>
    <w:rsid w:val="0009754B"/>
    <w:rsid w:val="000A0117"/>
    <w:rsid w:val="000A018D"/>
    <w:rsid w:val="000A032C"/>
    <w:rsid w:val="000A0F24"/>
    <w:rsid w:val="000A131F"/>
    <w:rsid w:val="000A1A06"/>
    <w:rsid w:val="000A20CF"/>
    <w:rsid w:val="000A2433"/>
    <w:rsid w:val="000A2A54"/>
    <w:rsid w:val="000A2E66"/>
    <w:rsid w:val="000A2F07"/>
    <w:rsid w:val="000A3792"/>
    <w:rsid w:val="000A3831"/>
    <w:rsid w:val="000A3851"/>
    <w:rsid w:val="000A38AD"/>
    <w:rsid w:val="000A3A55"/>
    <w:rsid w:val="000A3F5B"/>
    <w:rsid w:val="000A450C"/>
    <w:rsid w:val="000A4747"/>
    <w:rsid w:val="000A483E"/>
    <w:rsid w:val="000A49D9"/>
    <w:rsid w:val="000A5039"/>
    <w:rsid w:val="000A55C8"/>
    <w:rsid w:val="000A5C2C"/>
    <w:rsid w:val="000A5CAE"/>
    <w:rsid w:val="000A6491"/>
    <w:rsid w:val="000A64C6"/>
    <w:rsid w:val="000A6F20"/>
    <w:rsid w:val="000A7048"/>
    <w:rsid w:val="000A76DC"/>
    <w:rsid w:val="000A7E84"/>
    <w:rsid w:val="000B002E"/>
    <w:rsid w:val="000B0119"/>
    <w:rsid w:val="000B0D06"/>
    <w:rsid w:val="000B1575"/>
    <w:rsid w:val="000B1A73"/>
    <w:rsid w:val="000B1B24"/>
    <w:rsid w:val="000B1BAE"/>
    <w:rsid w:val="000B1DF9"/>
    <w:rsid w:val="000B207E"/>
    <w:rsid w:val="000B22AD"/>
    <w:rsid w:val="000B22C7"/>
    <w:rsid w:val="000B23DB"/>
    <w:rsid w:val="000B269A"/>
    <w:rsid w:val="000B2D46"/>
    <w:rsid w:val="000B3393"/>
    <w:rsid w:val="000B3476"/>
    <w:rsid w:val="000B3491"/>
    <w:rsid w:val="000B3659"/>
    <w:rsid w:val="000B3BA4"/>
    <w:rsid w:val="000B3CA2"/>
    <w:rsid w:val="000B4A63"/>
    <w:rsid w:val="000B4EE0"/>
    <w:rsid w:val="000B553B"/>
    <w:rsid w:val="000B58DA"/>
    <w:rsid w:val="000B59A8"/>
    <w:rsid w:val="000B5A08"/>
    <w:rsid w:val="000B5A48"/>
    <w:rsid w:val="000B5F13"/>
    <w:rsid w:val="000B63F4"/>
    <w:rsid w:val="000B6733"/>
    <w:rsid w:val="000B67B9"/>
    <w:rsid w:val="000B6A17"/>
    <w:rsid w:val="000B6D09"/>
    <w:rsid w:val="000B7048"/>
    <w:rsid w:val="000B704E"/>
    <w:rsid w:val="000B71FE"/>
    <w:rsid w:val="000B7558"/>
    <w:rsid w:val="000C0024"/>
    <w:rsid w:val="000C01ED"/>
    <w:rsid w:val="000C077F"/>
    <w:rsid w:val="000C0E7C"/>
    <w:rsid w:val="000C1E88"/>
    <w:rsid w:val="000C2098"/>
    <w:rsid w:val="000C2394"/>
    <w:rsid w:val="000C26CE"/>
    <w:rsid w:val="000C2AC4"/>
    <w:rsid w:val="000C2DEA"/>
    <w:rsid w:val="000C3502"/>
    <w:rsid w:val="000C3649"/>
    <w:rsid w:val="000C3B95"/>
    <w:rsid w:val="000C3CBA"/>
    <w:rsid w:val="000C48EA"/>
    <w:rsid w:val="000C49D0"/>
    <w:rsid w:val="000C4CB4"/>
    <w:rsid w:val="000C5106"/>
    <w:rsid w:val="000C5495"/>
    <w:rsid w:val="000C5576"/>
    <w:rsid w:val="000C599A"/>
    <w:rsid w:val="000C5C49"/>
    <w:rsid w:val="000C60BD"/>
    <w:rsid w:val="000C6166"/>
    <w:rsid w:val="000C627B"/>
    <w:rsid w:val="000C671B"/>
    <w:rsid w:val="000C679B"/>
    <w:rsid w:val="000C6E01"/>
    <w:rsid w:val="000C6E8D"/>
    <w:rsid w:val="000C6E8E"/>
    <w:rsid w:val="000C72D0"/>
    <w:rsid w:val="000C7580"/>
    <w:rsid w:val="000D0083"/>
    <w:rsid w:val="000D011A"/>
    <w:rsid w:val="000D01B3"/>
    <w:rsid w:val="000D1058"/>
    <w:rsid w:val="000D1250"/>
    <w:rsid w:val="000D1426"/>
    <w:rsid w:val="000D15AD"/>
    <w:rsid w:val="000D1AB5"/>
    <w:rsid w:val="000D1B31"/>
    <w:rsid w:val="000D1DB4"/>
    <w:rsid w:val="000D1FD1"/>
    <w:rsid w:val="000D255D"/>
    <w:rsid w:val="000D2834"/>
    <w:rsid w:val="000D2B6F"/>
    <w:rsid w:val="000D2E09"/>
    <w:rsid w:val="000D3068"/>
    <w:rsid w:val="000D311B"/>
    <w:rsid w:val="000D3179"/>
    <w:rsid w:val="000D32C7"/>
    <w:rsid w:val="000D3441"/>
    <w:rsid w:val="000D36B6"/>
    <w:rsid w:val="000D4BFE"/>
    <w:rsid w:val="000D5812"/>
    <w:rsid w:val="000D592A"/>
    <w:rsid w:val="000D6967"/>
    <w:rsid w:val="000D6ACE"/>
    <w:rsid w:val="000D6E4B"/>
    <w:rsid w:val="000D77D1"/>
    <w:rsid w:val="000D7E3C"/>
    <w:rsid w:val="000E0AE0"/>
    <w:rsid w:val="000E0E4F"/>
    <w:rsid w:val="000E0F53"/>
    <w:rsid w:val="000E10C5"/>
    <w:rsid w:val="000E1240"/>
    <w:rsid w:val="000E149A"/>
    <w:rsid w:val="000E15A6"/>
    <w:rsid w:val="000E1641"/>
    <w:rsid w:val="000E18E7"/>
    <w:rsid w:val="000E2178"/>
    <w:rsid w:val="000E2331"/>
    <w:rsid w:val="000E2602"/>
    <w:rsid w:val="000E295C"/>
    <w:rsid w:val="000E2B1A"/>
    <w:rsid w:val="000E2BD0"/>
    <w:rsid w:val="000E2E48"/>
    <w:rsid w:val="000E316E"/>
    <w:rsid w:val="000E347E"/>
    <w:rsid w:val="000E3EA1"/>
    <w:rsid w:val="000E43FE"/>
    <w:rsid w:val="000E4A5C"/>
    <w:rsid w:val="000E4AC6"/>
    <w:rsid w:val="000E5360"/>
    <w:rsid w:val="000E53F1"/>
    <w:rsid w:val="000E59C7"/>
    <w:rsid w:val="000E62EE"/>
    <w:rsid w:val="000E67BE"/>
    <w:rsid w:val="000E680C"/>
    <w:rsid w:val="000E7066"/>
    <w:rsid w:val="000E74B8"/>
    <w:rsid w:val="000E769F"/>
    <w:rsid w:val="000E7DAA"/>
    <w:rsid w:val="000E7DEB"/>
    <w:rsid w:val="000F0394"/>
    <w:rsid w:val="000F0698"/>
    <w:rsid w:val="000F0706"/>
    <w:rsid w:val="000F0D68"/>
    <w:rsid w:val="000F1270"/>
    <w:rsid w:val="000F1B98"/>
    <w:rsid w:val="000F2205"/>
    <w:rsid w:val="000F260F"/>
    <w:rsid w:val="000F282F"/>
    <w:rsid w:val="000F2B28"/>
    <w:rsid w:val="000F37C3"/>
    <w:rsid w:val="000F3AC6"/>
    <w:rsid w:val="000F3CE5"/>
    <w:rsid w:val="000F44BE"/>
    <w:rsid w:val="000F46C3"/>
    <w:rsid w:val="000F4731"/>
    <w:rsid w:val="000F4904"/>
    <w:rsid w:val="000F4B41"/>
    <w:rsid w:val="000F4CE8"/>
    <w:rsid w:val="000F4F42"/>
    <w:rsid w:val="000F5D2B"/>
    <w:rsid w:val="000F6839"/>
    <w:rsid w:val="000F68AD"/>
    <w:rsid w:val="000F6B65"/>
    <w:rsid w:val="000F7055"/>
    <w:rsid w:val="000F74C6"/>
    <w:rsid w:val="000F7801"/>
    <w:rsid w:val="000F7920"/>
    <w:rsid w:val="00100761"/>
    <w:rsid w:val="00100A47"/>
    <w:rsid w:val="00100CD2"/>
    <w:rsid w:val="00101316"/>
    <w:rsid w:val="00101E34"/>
    <w:rsid w:val="0010245A"/>
    <w:rsid w:val="001024F6"/>
    <w:rsid w:val="00102712"/>
    <w:rsid w:val="00102731"/>
    <w:rsid w:val="001028BC"/>
    <w:rsid w:val="00102B20"/>
    <w:rsid w:val="00102CE7"/>
    <w:rsid w:val="001033DC"/>
    <w:rsid w:val="001034D5"/>
    <w:rsid w:val="001035E5"/>
    <w:rsid w:val="00103CB1"/>
    <w:rsid w:val="00103F33"/>
    <w:rsid w:val="00104358"/>
    <w:rsid w:val="001045FD"/>
    <w:rsid w:val="0010477C"/>
    <w:rsid w:val="00104957"/>
    <w:rsid w:val="00104DC0"/>
    <w:rsid w:val="001050A7"/>
    <w:rsid w:val="0010534B"/>
    <w:rsid w:val="00105442"/>
    <w:rsid w:val="00105985"/>
    <w:rsid w:val="00105A65"/>
    <w:rsid w:val="00105BED"/>
    <w:rsid w:val="00105E5A"/>
    <w:rsid w:val="001060D7"/>
    <w:rsid w:val="00106A46"/>
    <w:rsid w:val="00106DAF"/>
    <w:rsid w:val="00106EF5"/>
    <w:rsid w:val="00107197"/>
    <w:rsid w:val="001077FB"/>
    <w:rsid w:val="00107A11"/>
    <w:rsid w:val="00107A4F"/>
    <w:rsid w:val="00107C44"/>
    <w:rsid w:val="00107CA3"/>
    <w:rsid w:val="001107C6"/>
    <w:rsid w:val="00110AB2"/>
    <w:rsid w:val="00110C68"/>
    <w:rsid w:val="00110D77"/>
    <w:rsid w:val="00111148"/>
    <w:rsid w:val="00111591"/>
    <w:rsid w:val="00111656"/>
    <w:rsid w:val="00112226"/>
    <w:rsid w:val="001122B6"/>
    <w:rsid w:val="001126A2"/>
    <w:rsid w:val="001126AA"/>
    <w:rsid w:val="00112CC3"/>
    <w:rsid w:val="00112DE1"/>
    <w:rsid w:val="001130BA"/>
    <w:rsid w:val="00113245"/>
    <w:rsid w:val="00114478"/>
    <w:rsid w:val="00114840"/>
    <w:rsid w:val="00114E5D"/>
    <w:rsid w:val="00115020"/>
    <w:rsid w:val="0011508E"/>
    <w:rsid w:val="00115414"/>
    <w:rsid w:val="001155E1"/>
    <w:rsid w:val="001161E1"/>
    <w:rsid w:val="001167B5"/>
    <w:rsid w:val="0011680C"/>
    <w:rsid w:val="00117183"/>
    <w:rsid w:val="001172FC"/>
    <w:rsid w:val="0011798E"/>
    <w:rsid w:val="00117B32"/>
    <w:rsid w:val="00120AF0"/>
    <w:rsid w:val="00120B54"/>
    <w:rsid w:val="00120E27"/>
    <w:rsid w:val="001213E8"/>
    <w:rsid w:val="00121AC4"/>
    <w:rsid w:val="00121BBE"/>
    <w:rsid w:val="00121E96"/>
    <w:rsid w:val="0012200B"/>
    <w:rsid w:val="00122757"/>
    <w:rsid w:val="0012275E"/>
    <w:rsid w:val="001229E3"/>
    <w:rsid w:val="001232B2"/>
    <w:rsid w:val="00123410"/>
    <w:rsid w:val="00123480"/>
    <w:rsid w:val="0012369B"/>
    <w:rsid w:val="00123B4F"/>
    <w:rsid w:val="00123F77"/>
    <w:rsid w:val="00123FDF"/>
    <w:rsid w:val="00124716"/>
    <w:rsid w:val="00124BF3"/>
    <w:rsid w:val="00124CE4"/>
    <w:rsid w:val="001250D9"/>
    <w:rsid w:val="0012518A"/>
    <w:rsid w:val="001252D3"/>
    <w:rsid w:val="00125488"/>
    <w:rsid w:val="0012548C"/>
    <w:rsid w:val="00126091"/>
    <w:rsid w:val="00126254"/>
    <w:rsid w:val="001262C5"/>
    <w:rsid w:val="001266FA"/>
    <w:rsid w:val="001267BE"/>
    <w:rsid w:val="00126B47"/>
    <w:rsid w:val="001272F2"/>
    <w:rsid w:val="0012734D"/>
    <w:rsid w:val="001278A7"/>
    <w:rsid w:val="001302E7"/>
    <w:rsid w:val="0013035D"/>
    <w:rsid w:val="001305C5"/>
    <w:rsid w:val="001305E0"/>
    <w:rsid w:val="00130E2F"/>
    <w:rsid w:val="00130E73"/>
    <w:rsid w:val="00130EFD"/>
    <w:rsid w:val="0013115A"/>
    <w:rsid w:val="00131C10"/>
    <w:rsid w:val="00131F6F"/>
    <w:rsid w:val="0013205F"/>
    <w:rsid w:val="001320FF"/>
    <w:rsid w:val="00132133"/>
    <w:rsid w:val="001324CE"/>
    <w:rsid w:val="00132A9C"/>
    <w:rsid w:val="00132FAB"/>
    <w:rsid w:val="00133410"/>
    <w:rsid w:val="001335E3"/>
    <w:rsid w:val="00133913"/>
    <w:rsid w:val="00133D4D"/>
    <w:rsid w:val="00133F4F"/>
    <w:rsid w:val="00134AB6"/>
    <w:rsid w:val="001353D6"/>
    <w:rsid w:val="0013576E"/>
    <w:rsid w:val="00136149"/>
    <w:rsid w:val="001368E0"/>
    <w:rsid w:val="00136ECA"/>
    <w:rsid w:val="00136FB3"/>
    <w:rsid w:val="0013742E"/>
    <w:rsid w:val="001403EE"/>
    <w:rsid w:val="001408DD"/>
    <w:rsid w:val="00140D9A"/>
    <w:rsid w:val="00140F1C"/>
    <w:rsid w:val="00141550"/>
    <w:rsid w:val="001416BD"/>
    <w:rsid w:val="001416FB"/>
    <w:rsid w:val="00142073"/>
    <w:rsid w:val="001422D2"/>
    <w:rsid w:val="001424AF"/>
    <w:rsid w:val="00142D94"/>
    <w:rsid w:val="001435ED"/>
    <w:rsid w:val="0014390E"/>
    <w:rsid w:val="001442F7"/>
    <w:rsid w:val="001444CA"/>
    <w:rsid w:val="001445F1"/>
    <w:rsid w:val="0014464C"/>
    <w:rsid w:val="00144BD7"/>
    <w:rsid w:val="00144BE3"/>
    <w:rsid w:val="00145A78"/>
    <w:rsid w:val="00145E06"/>
    <w:rsid w:val="00145EC4"/>
    <w:rsid w:val="001464CD"/>
    <w:rsid w:val="00146712"/>
    <w:rsid w:val="0014696F"/>
    <w:rsid w:val="00146BE3"/>
    <w:rsid w:val="00146DBC"/>
    <w:rsid w:val="001472C9"/>
    <w:rsid w:val="00147566"/>
    <w:rsid w:val="001477BB"/>
    <w:rsid w:val="00147A9D"/>
    <w:rsid w:val="00147C31"/>
    <w:rsid w:val="00147D40"/>
    <w:rsid w:val="00147EFD"/>
    <w:rsid w:val="00150291"/>
    <w:rsid w:val="00150D27"/>
    <w:rsid w:val="0015170C"/>
    <w:rsid w:val="00151F3A"/>
    <w:rsid w:val="00152387"/>
    <w:rsid w:val="00152CB1"/>
    <w:rsid w:val="001532BF"/>
    <w:rsid w:val="00153BEA"/>
    <w:rsid w:val="0015403A"/>
    <w:rsid w:val="00154B4F"/>
    <w:rsid w:val="00154CA7"/>
    <w:rsid w:val="00155831"/>
    <w:rsid w:val="00156060"/>
    <w:rsid w:val="00156106"/>
    <w:rsid w:val="001561E1"/>
    <w:rsid w:val="00156B55"/>
    <w:rsid w:val="00156B9B"/>
    <w:rsid w:val="00156EA4"/>
    <w:rsid w:val="00156F83"/>
    <w:rsid w:val="00157B34"/>
    <w:rsid w:val="00157DE0"/>
    <w:rsid w:val="00157F3E"/>
    <w:rsid w:val="0016012A"/>
    <w:rsid w:val="00160485"/>
    <w:rsid w:val="001612A6"/>
    <w:rsid w:val="001614F0"/>
    <w:rsid w:val="00161D43"/>
    <w:rsid w:val="001625ED"/>
    <w:rsid w:val="00162808"/>
    <w:rsid w:val="0016294F"/>
    <w:rsid w:val="00162DFD"/>
    <w:rsid w:val="00163222"/>
    <w:rsid w:val="00163A0A"/>
    <w:rsid w:val="00163F88"/>
    <w:rsid w:val="00164250"/>
    <w:rsid w:val="001643CF"/>
    <w:rsid w:val="001648E2"/>
    <w:rsid w:val="00164F3E"/>
    <w:rsid w:val="00165309"/>
    <w:rsid w:val="00166744"/>
    <w:rsid w:val="0016742C"/>
    <w:rsid w:val="001674E2"/>
    <w:rsid w:val="00167540"/>
    <w:rsid w:val="00167579"/>
    <w:rsid w:val="00167643"/>
    <w:rsid w:val="00167871"/>
    <w:rsid w:val="001678C0"/>
    <w:rsid w:val="00167D69"/>
    <w:rsid w:val="00167D76"/>
    <w:rsid w:val="00170144"/>
    <w:rsid w:val="00170818"/>
    <w:rsid w:val="00170DD3"/>
    <w:rsid w:val="00170E4A"/>
    <w:rsid w:val="00170EF0"/>
    <w:rsid w:val="001711E8"/>
    <w:rsid w:val="001713C1"/>
    <w:rsid w:val="001719CF"/>
    <w:rsid w:val="00171B9C"/>
    <w:rsid w:val="00172308"/>
    <w:rsid w:val="00172AA1"/>
    <w:rsid w:val="001739F4"/>
    <w:rsid w:val="00173BE5"/>
    <w:rsid w:val="0017404E"/>
    <w:rsid w:val="00174447"/>
    <w:rsid w:val="00174B9B"/>
    <w:rsid w:val="00174BA8"/>
    <w:rsid w:val="00174D41"/>
    <w:rsid w:val="00174E0E"/>
    <w:rsid w:val="0017523F"/>
    <w:rsid w:val="001753D2"/>
    <w:rsid w:val="001759DA"/>
    <w:rsid w:val="001769E4"/>
    <w:rsid w:val="00176D2F"/>
    <w:rsid w:val="00176F7D"/>
    <w:rsid w:val="001770FB"/>
    <w:rsid w:val="0017725C"/>
    <w:rsid w:val="0017746F"/>
    <w:rsid w:val="00177A82"/>
    <w:rsid w:val="0018000E"/>
    <w:rsid w:val="0018083D"/>
    <w:rsid w:val="00180A1E"/>
    <w:rsid w:val="001818AA"/>
    <w:rsid w:val="001818AD"/>
    <w:rsid w:val="001818B2"/>
    <w:rsid w:val="00181C85"/>
    <w:rsid w:val="00182712"/>
    <w:rsid w:val="00182FC1"/>
    <w:rsid w:val="00183468"/>
    <w:rsid w:val="001838C8"/>
    <w:rsid w:val="0018395E"/>
    <w:rsid w:val="0018396C"/>
    <w:rsid w:val="001843E4"/>
    <w:rsid w:val="00184996"/>
    <w:rsid w:val="00184C5F"/>
    <w:rsid w:val="00185611"/>
    <w:rsid w:val="00185AEC"/>
    <w:rsid w:val="00185B16"/>
    <w:rsid w:val="00185EA1"/>
    <w:rsid w:val="00185F6F"/>
    <w:rsid w:val="00186091"/>
    <w:rsid w:val="00186219"/>
    <w:rsid w:val="001864A4"/>
    <w:rsid w:val="0018660A"/>
    <w:rsid w:val="001869A5"/>
    <w:rsid w:val="00187B76"/>
    <w:rsid w:val="0019068A"/>
    <w:rsid w:val="0019075D"/>
    <w:rsid w:val="00190F60"/>
    <w:rsid w:val="001912F6"/>
    <w:rsid w:val="00191358"/>
    <w:rsid w:val="00191468"/>
    <w:rsid w:val="001916D7"/>
    <w:rsid w:val="00192CA5"/>
    <w:rsid w:val="00192E4E"/>
    <w:rsid w:val="00193017"/>
    <w:rsid w:val="0019342D"/>
    <w:rsid w:val="00193BE1"/>
    <w:rsid w:val="0019457B"/>
    <w:rsid w:val="00194583"/>
    <w:rsid w:val="00194593"/>
    <w:rsid w:val="001949C1"/>
    <w:rsid w:val="00194C97"/>
    <w:rsid w:val="00194D10"/>
    <w:rsid w:val="0019511C"/>
    <w:rsid w:val="00195219"/>
    <w:rsid w:val="00195609"/>
    <w:rsid w:val="00195988"/>
    <w:rsid w:val="00195ED7"/>
    <w:rsid w:val="0019603A"/>
    <w:rsid w:val="00196802"/>
    <w:rsid w:val="00196AF2"/>
    <w:rsid w:val="00196D6B"/>
    <w:rsid w:val="00196E57"/>
    <w:rsid w:val="00197129"/>
    <w:rsid w:val="001973EE"/>
    <w:rsid w:val="00197400"/>
    <w:rsid w:val="0019777F"/>
    <w:rsid w:val="00197A31"/>
    <w:rsid w:val="001A048F"/>
    <w:rsid w:val="001A0605"/>
    <w:rsid w:val="001A06CE"/>
    <w:rsid w:val="001A07B1"/>
    <w:rsid w:val="001A0B2C"/>
    <w:rsid w:val="001A105F"/>
    <w:rsid w:val="001A12C9"/>
    <w:rsid w:val="001A19DA"/>
    <w:rsid w:val="001A1CBD"/>
    <w:rsid w:val="001A1D98"/>
    <w:rsid w:val="001A2008"/>
    <w:rsid w:val="001A2586"/>
    <w:rsid w:val="001A270A"/>
    <w:rsid w:val="001A296A"/>
    <w:rsid w:val="001A2B46"/>
    <w:rsid w:val="001A2FDD"/>
    <w:rsid w:val="001A342A"/>
    <w:rsid w:val="001A3617"/>
    <w:rsid w:val="001A3915"/>
    <w:rsid w:val="001A3E41"/>
    <w:rsid w:val="001A3EC3"/>
    <w:rsid w:val="001A3FBF"/>
    <w:rsid w:val="001A406E"/>
    <w:rsid w:val="001A40FC"/>
    <w:rsid w:val="001A4154"/>
    <w:rsid w:val="001A4350"/>
    <w:rsid w:val="001A43EB"/>
    <w:rsid w:val="001A4713"/>
    <w:rsid w:val="001A4DAA"/>
    <w:rsid w:val="001A4EA1"/>
    <w:rsid w:val="001A5127"/>
    <w:rsid w:val="001A53B9"/>
    <w:rsid w:val="001A554B"/>
    <w:rsid w:val="001A557D"/>
    <w:rsid w:val="001A5DAB"/>
    <w:rsid w:val="001A6106"/>
    <w:rsid w:val="001A64E6"/>
    <w:rsid w:val="001A67C6"/>
    <w:rsid w:val="001A69F1"/>
    <w:rsid w:val="001A6CCB"/>
    <w:rsid w:val="001A727F"/>
    <w:rsid w:val="001A7430"/>
    <w:rsid w:val="001A77C7"/>
    <w:rsid w:val="001A7987"/>
    <w:rsid w:val="001A7C6D"/>
    <w:rsid w:val="001B05F0"/>
    <w:rsid w:val="001B07E0"/>
    <w:rsid w:val="001B1164"/>
    <w:rsid w:val="001B13B3"/>
    <w:rsid w:val="001B1408"/>
    <w:rsid w:val="001B1416"/>
    <w:rsid w:val="001B17DD"/>
    <w:rsid w:val="001B1824"/>
    <w:rsid w:val="001B18B7"/>
    <w:rsid w:val="001B1989"/>
    <w:rsid w:val="001B1A72"/>
    <w:rsid w:val="001B1EB7"/>
    <w:rsid w:val="001B1EF2"/>
    <w:rsid w:val="001B2808"/>
    <w:rsid w:val="001B2A34"/>
    <w:rsid w:val="001B2D85"/>
    <w:rsid w:val="001B2E7F"/>
    <w:rsid w:val="001B342E"/>
    <w:rsid w:val="001B38F1"/>
    <w:rsid w:val="001B3C8E"/>
    <w:rsid w:val="001B3E33"/>
    <w:rsid w:val="001B450A"/>
    <w:rsid w:val="001B4536"/>
    <w:rsid w:val="001B48CC"/>
    <w:rsid w:val="001B4A6A"/>
    <w:rsid w:val="001B4F05"/>
    <w:rsid w:val="001B5180"/>
    <w:rsid w:val="001B519D"/>
    <w:rsid w:val="001B56F0"/>
    <w:rsid w:val="001B69D0"/>
    <w:rsid w:val="001B738F"/>
    <w:rsid w:val="001B75A5"/>
    <w:rsid w:val="001B7897"/>
    <w:rsid w:val="001B7AE5"/>
    <w:rsid w:val="001B7DB5"/>
    <w:rsid w:val="001C12DE"/>
    <w:rsid w:val="001C1CAE"/>
    <w:rsid w:val="001C233F"/>
    <w:rsid w:val="001C286F"/>
    <w:rsid w:val="001C2ECF"/>
    <w:rsid w:val="001C3314"/>
    <w:rsid w:val="001C3412"/>
    <w:rsid w:val="001C3891"/>
    <w:rsid w:val="001C3AB7"/>
    <w:rsid w:val="001C45AC"/>
    <w:rsid w:val="001C4A47"/>
    <w:rsid w:val="001C4DC5"/>
    <w:rsid w:val="001C5778"/>
    <w:rsid w:val="001C5AE8"/>
    <w:rsid w:val="001C5B1E"/>
    <w:rsid w:val="001C5BCF"/>
    <w:rsid w:val="001C5C35"/>
    <w:rsid w:val="001C637E"/>
    <w:rsid w:val="001C669C"/>
    <w:rsid w:val="001C68BF"/>
    <w:rsid w:val="001C6B79"/>
    <w:rsid w:val="001C6C6E"/>
    <w:rsid w:val="001C701D"/>
    <w:rsid w:val="001C7564"/>
    <w:rsid w:val="001C76E9"/>
    <w:rsid w:val="001C76FC"/>
    <w:rsid w:val="001C7D60"/>
    <w:rsid w:val="001D0041"/>
    <w:rsid w:val="001D03B1"/>
    <w:rsid w:val="001D0679"/>
    <w:rsid w:val="001D0BC8"/>
    <w:rsid w:val="001D0C38"/>
    <w:rsid w:val="001D0CAD"/>
    <w:rsid w:val="001D1691"/>
    <w:rsid w:val="001D193A"/>
    <w:rsid w:val="001D37A2"/>
    <w:rsid w:val="001D38B4"/>
    <w:rsid w:val="001D4314"/>
    <w:rsid w:val="001D4BFC"/>
    <w:rsid w:val="001D55E0"/>
    <w:rsid w:val="001D591D"/>
    <w:rsid w:val="001D5AC3"/>
    <w:rsid w:val="001D6723"/>
    <w:rsid w:val="001D67B6"/>
    <w:rsid w:val="001D6B44"/>
    <w:rsid w:val="001D6C06"/>
    <w:rsid w:val="001D712B"/>
    <w:rsid w:val="001D7274"/>
    <w:rsid w:val="001D768C"/>
    <w:rsid w:val="001D776A"/>
    <w:rsid w:val="001D79DA"/>
    <w:rsid w:val="001D7D22"/>
    <w:rsid w:val="001D7FCB"/>
    <w:rsid w:val="001E01C6"/>
    <w:rsid w:val="001E0372"/>
    <w:rsid w:val="001E0465"/>
    <w:rsid w:val="001E0742"/>
    <w:rsid w:val="001E08AE"/>
    <w:rsid w:val="001E098D"/>
    <w:rsid w:val="001E0A59"/>
    <w:rsid w:val="001E0B9E"/>
    <w:rsid w:val="001E0FDF"/>
    <w:rsid w:val="001E1763"/>
    <w:rsid w:val="001E1880"/>
    <w:rsid w:val="001E2050"/>
    <w:rsid w:val="001E20B4"/>
    <w:rsid w:val="001E254F"/>
    <w:rsid w:val="001E2782"/>
    <w:rsid w:val="001E2D41"/>
    <w:rsid w:val="001E35A6"/>
    <w:rsid w:val="001E38DA"/>
    <w:rsid w:val="001E3A20"/>
    <w:rsid w:val="001E3A59"/>
    <w:rsid w:val="001E3BA3"/>
    <w:rsid w:val="001E3F72"/>
    <w:rsid w:val="001E482B"/>
    <w:rsid w:val="001E4834"/>
    <w:rsid w:val="001E4BC8"/>
    <w:rsid w:val="001E4FCA"/>
    <w:rsid w:val="001E56F8"/>
    <w:rsid w:val="001E5F05"/>
    <w:rsid w:val="001E6279"/>
    <w:rsid w:val="001E65F6"/>
    <w:rsid w:val="001E6634"/>
    <w:rsid w:val="001E6F18"/>
    <w:rsid w:val="001F08EE"/>
    <w:rsid w:val="001F0C79"/>
    <w:rsid w:val="001F1393"/>
    <w:rsid w:val="001F149E"/>
    <w:rsid w:val="001F1584"/>
    <w:rsid w:val="001F1682"/>
    <w:rsid w:val="001F21E7"/>
    <w:rsid w:val="001F2F9C"/>
    <w:rsid w:val="001F32AC"/>
    <w:rsid w:val="001F3542"/>
    <w:rsid w:val="001F3BAA"/>
    <w:rsid w:val="001F3C55"/>
    <w:rsid w:val="001F3C77"/>
    <w:rsid w:val="001F3CC2"/>
    <w:rsid w:val="001F400E"/>
    <w:rsid w:val="001F41C9"/>
    <w:rsid w:val="001F4390"/>
    <w:rsid w:val="001F4BB3"/>
    <w:rsid w:val="001F4EEB"/>
    <w:rsid w:val="001F52F4"/>
    <w:rsid w:val="001F5319"/>
    <w:rsid w:val="001F53C8"/>
    <w:rsid w:val="001F5A2E"/>
    <w:rsid w:val="001F5A55"/>
    <w:rsid w:val="001F5DD4"/>
    <w:rsid w:val="001F601E"/>
    <w:rsid w:val="001F631F"/>
    <w:rsid w:val="001F632B"/>
    <w:rsid w:val="001F639D"/>
    <w:rsid w:val="001F652B"/>
    <w:rsid w:val="001F7154"/>
    <w:rsid w:val="001F78E5"/>
    <w:rsid w:val="001F7E9B"/>
    <w:rsid w:val="001F7EF8"/>
    <w:rsid w:val="001F7FD2"/>
    <w:rsid w:val="002002EA"/>
    <w:rsid w:val="002004E7"/>
    <w:rsid w:val="002006CA"/>
    <w:rsid w:val="0020097A"/>
    <w:rsid w:val="00200A2F"/>
    <w:rsid w:val="00200D3A"/>
    <w:rsid w:val="00200E0F"/>
    <w:rsid w:val="002010CD"/>
    <w:rsid w:val="00201146"/>
    <w:rsid w:val="0020166B"/>
    <w:rsid w:val="0020198C"/>
    <w:rsid w:val="00201DD7"/>
    <w:rsid w:val="00202A91"/>
    <w:rsid w:val="00202F2F"/>
    <w:rsid w:val="00202FAD"/>
    <w:rsid w:val="00202FB7"/>
    <w:rsid w:val="0020324F"/>
    <w:rsid w:val="00203264"/>
    <w:rsid w:val="002040F4"/>
    <w:rsid w:val="00204DB1"/>
    <w:rsid w:val="00204FF6"/>
    <w:rsid w:val="00205287"/>
    <w:rsid w:val="0020536F"/>
    <w:rsid w:val="00205392"/>
    <w:rsid w:val="00205784"/>
    <w:rsid w:val="002059C0"/>
    <w:rsid w:val="00205DB6"/>
    <w:rsid w:val="00205F43"/>
    <w:rsid w:val="00205FC0"/>
    <w:rsid w:val="002065AB"/>
    <w:rsid w:val="002065F6"/>
    <w:rsid w:val="00206894"/>
    <w:rsid w:val="0020695E"/>
    <w:rsid w:val="00206B86"/>
    <w:rsid w:val="00206ECA"/>
    <w:rsid w:val="002074F2"/>
    <w:rsid w:val="00207B0F"/>
    <w:rsid w:val="00207BFC"/>
    <w:rsid w:val="002104FB"/>
    <w:rsid w:val="00210730"/>
    <w:rsid w:val="00210901"/>
    <w:rsid w:val="00210C56"/>
    <w:rsid w:val="00210DF2"/>
    <w:rsid w:val="0021149E"/>
    <w:rsid w:val="002116E3"/>
    <w:rsid w:val="00211817"/>
    <w:rsid w:val="002119C9"/>
    <w:rsid w:val="002119CA"/>
    <w:rsid w:val="00211C68"/>
    <w:rsid w:val="00211F7A"/>
    <w:rsid w:val="002125F1"/>
    <w:rsid w:val="00212B69"/>
    <w:rsid w:val="00212BFF"/>
    <w:rsid w:val="0021318D"/>
    <w:rsid w:val="0021325B"/>
    <w:rsid w:val="00213345"/>
    <w:rsid w:val="00213417"/>
    <w:rsid w:val="002139A4"/>
    <w:rsid w:val="00213C8C"/>
    <w:rsid w:val="002145BF"/>
    <w:rsid w:val="002153D6"/>
    <w:rsid w:val="002153E5"/>
    <w:rsid w:val="002161BA"/>
    <w:rsid w:val="0021680F"/>
    <w:rsid w:val="002172C1"/>
    <w:rsid w:val="00217928"/>
    <w:rsid w:val="00217B1E"/>
    <w:rsid w:val="00220151"/>
    <w:rsid w:val="002205EE"/>
    <w:rsid w:val="002209B5"/>
    <w:rsid w:val="00220C8A"/>
    <w:rsid w:val="00220CFF"/>
    <w:rsid w:val="002226A1"/>
    <w:rsid w:val="00222AF8"/>
    <w:rsid w:val="00223AA0"/>
    <w:rsid w:val="00223F64"/>
    <w:rsid w:val="002246F9"/>
    <w:rsid w:val="00224C98"/>
    <w:rsid w:val="00224D25"/>
    <w:rsid w:val="00224EFC"/>
    <w:rsid w:val="00225587"/>
    <w:rsid w:val="002260F5"/>
    <w:rsid w:val="0022612D"/>
    <w:rsid w:val="002261FE"/>
    <w:rsid w:val="0022632C"/>
    <w:rsid w:val="00226471"/>
    <w:rsid w:val="0022669D"/>
    <w:rsid w:val="002266A4"/>
    <w:rsid w:val="00226BA5"/>
    <w:rsid w:val="00226D95"/>
    <w:rsid w:val="00227044"/>
    <w:rsid w:val="00227081"/>
    <w:rsid w:val="002273F6"/>
    <w:rsid w:val="0022748C"/>
    <w:rsid w:val="0022798C"/>
    <w:rsid w:val="00227B3C"/>
    <w:rsid w:val="00227BB7"/>
    <w:rsid w:val="00227C9D"/>
    <w:rsid w:val="00227EAC"/>
    <w:rsid w:val="002304FC"/>
    <w:rsid w:val="00230872"/>
    <w:rsid w:val="002308F0"/>
    <w:rsid w:val="00231298"/>
    <w:rsid w:val="002313BE"/>
    <w:rsid w:val="002318DE"/>
    <w:rsid w:val="00231A24"/>
    <w:rsid w:val="00231B6C"/>
    <w:rsid w:val="00231FCC"/>
    <w:rsid w:val="00232A6F"/>
    <w:rsid w:val="00232D0D"/>
    <w:rsid w:val="00232D2B"/>
    <w:rsid w:val="00232EEC"/>
    <w:rsid w:val="00233407"/>
    <w:rsid w:val="002335C6"/>
    <w:rsid w:val="00234002"/>
    <w:rsid w:val="00234457"/>
    <w:rsid w:val="00234555"/>
    <w:rsid w:val="00234943"/>
    <w:rsid w:val="00234D2C"/>
    <w:rsid w:val="002351EE"/>
    <w:rsid w:val="002352E8"/>
    <w:rsid w:val="0023544D"/>
    <w:rsid w:val="00235478"/>
    <w:rsid w:val="00235B13"/>
    <w:rsid w:val="00236876"/>
    <w:rsid w:val="00236CB9"/>
    <w:rsid w:val="00237195"/>
    <w:rsid w:val="00237613"/>
    <w:rsid w:val="00240332"/>
    <w:rsid w:val="00240774"/>
    <w:rsid w:val="00240BEA"/>
    <w:rsid w:val="00240D53"/>
    <w:rsid w:val="00241214"/>
    <w:rsid w:val="002421C3"/>
    <w:rsid w:val="00242208"/>
    <w:rsid w:val="0024304A"/>
    <w:rsid w:val="002436F2"/>
    <w:rsid w:val="002437C8"/>
    <w:rsid w:val="00243AF3"/>
    <w:rsid w:val="00243BD2"/>
    <w:rsid w:val="00243E7C"/>
    <w:rsid w:val="00243EBE"/>
    <w:rsid w:val="00244530"/>
    <w:rsid w:val="0024496E"/>
    <w:rsid w:val="002453AF"/>
    <w:rsid w:val="00245B68"/>
    <w:rsid w:val="00245B9B"/>
    <w:rsid w:val="00245C34"/>
    <w:rsid w:val="00245E4C"/>
    <w:rsid w:val="00246C21"/>
    <w:rsid w:val="00246E67"/>
    <w:rsid w:val="00246FBD"/>
    <w:rsid w:val="00247434"/>
    <w:rsid w:val="00247A8B"/>
    <w:rsid w:val="0025034F"/>
    <w:rsid w:val="002507B1"/>
    <w:rsid w:val="002507D4"/>
    <w:rsid w:val="002508D7"/>
    <w:rsid w:val="00250B62"/>
    <w:rsid w:val="00250C25"/>
    <w:rsid w:val="002517BE"/>
    <w:rsid w:val="002519D1"/>
    <w:rsid w:val="00252307"/>
    <w:rsid w:val="002524A8"/>
    <w:rsid w:val="002525E1"/>
    <w:rsid w:val="002528DC"/>
    <w:rsid w:val="00252B09"/>
    <w:rsid w:val="00252DF2"/>
    <w:rsid w:val="002534C5"/>
    <w:rsid w:val="00253676"/>
    <w:rsid w:val="00253A71"/>
    <w:rsid w:val="00253B36"/>
    <w:rsid w:val="00253D3C"/>
    <w:rsid w:val="00253EED"/>
    <w:rsid w:val="00254070"/>
    <w:rsid w:val="0025432C"/>
    <w:rsid w:val="00254AEF"/>
    <w:rsid w:val="00255DB4"/>
    <w:rsid w:val="00255E5A"/>
    <w:rsid w:val="0025717A"/>
    <w:rsid w:val="002578AA"/>
    <w:rsid w:val="00257C56"/>
    <w:rsid w:val="00257CE7"/>
    <w:rsid w:val="002600D6"/>
    <w:rsid w:val="002608F3"/>
    <w:rsid w:val="0026111F"/>
    <w:rsid w:val="00261542"/>
    <w:rsid w:val="002615B2"/>
    <w:rsid w:val="002618A4"/>
    <w:rsid w:val="002619BD"/>
    <w:rsid w:val="00261B54"/>
    <w:rsid w:val="00262072"/>
    <w:rsid w:val="0026263D"/>
    <w:rsid w:val="002628D4"/>
    <w:rsid w:val="00262AF5"/>
    <w:rsid w:val="00262D9F"/>
    <w:rsid w:val="00263B7E"/>
    <w:rsid w:val="002643F3"/>
    <w:rsid w:val="00264ACC"/>
    <w:rsid w:val="002655DD"/>
    <w:rsid w:val="002657EC"/>
    <w:rsid w:val="00265A86"/>
    <w:rsid w:val="002660A3"/>
    <w:rsid w:val="002668C8"/>
    <w:rsid w:val="002669E1"/>
    <w:rsid w:val="00266B7B"/>
    <w:rsid w:val="00267155"/>
    <w:rsid w:val="00267715"/>
    <w:rsid w:val="00270010"/>
    <w:rsid w:val="00271242"/>
    <w:rsid w:val="0027160A"/>
    <w:rsid w:val="002716DD"/>
    <w:rsid w:val="00271927"/>
    <w:rsid w:val="00271B50"/>
    <w:rsid w:val="0027210C"/>
    <w:rsid w:val="002721E7"/>
    <w:rsid w:val="00272C72"/>
    <w:rsid w:val="00272E36"/>
    <w:rsid w:val="00273117"/>
    <w:rsid w:val="002738D4"/>
    <w:rsid w:val="002746DA"/>
    <w:rsid w:val="00274789"/>
    <w:rsid w:val="00274DD0"/>
    <w:rsid w:val="0027540D"/>
    <w:rsid w:val="0027577E"/>
    <w:rsid w:val="00275BEF"/>
    <w:rsid w:val="002762C6"/>
    <w:rsid w:val="002766BB"/>
    <w:rsid w:val="00276C8A"/>
    <w:rsid w:val="0027734A"/>
    <w:rsid w:val="002774DD"/>
    <w:rsid w:val="00277BC6"/>
    <w:rsid w:val="00280130"/>
    <w:rsid w:val="00280258"/>
    <w:rsid w:val="00280339"/>
    <w:rsid w:val="0028046C"/>
    <w:rsid w:val="0028075A"/>
    <w:rsid w:val="00280D10"/>
    <w:rsid w:val="00280EC5"/>
    <w:rsid w:val="002810BA"/>
    <w:rsid w:val="00281922"/>
    <w:rsid w:val="00281DE5"/>
    <w:rsid w:val="00282745"/>
    <w:rsid w:val="00282B74"/>
    <w:rsid w:val="00282B9C"/>
    <w:rsid w:val="0028309D"/>
    <w:rsid w:val="002832B9"/>
    <w:rsid w:val="00283733"/>
    <w:rsid w:val="002837A7"/>
    <w:rsid w:val="00283D41"/>
    <w:rsid w:val="002841BA"/>
    <w:rsid w:val="00284314"/>
    <w:rsid w:val="00284659"/>
    <w:rsid w:val="00284A02"/>
    <w:rsid w:val="00284DD6"/>
    <w:rsid w:val="00284F20"/>
    <w:rsid w:val="002855BA"/>
    <w:rsid w:val="00285907"/>
    <w:rsid w:val="00285F1F"/>
    <w:rsid w:val="00286098"/>
    <w:rsid w:val="00286306"/>
    <w:rsid w:val="0028638B"/>
    <w:rsid w:val="002869BE"/>
    <w:rsid w:val="00286B3B"/>
    <w:rsid w:val="00286B55"/>
    <w:rsid w:val="00286C43"/>
    <w:rsid w:val="00286D3E"/>
    <w:rsid w:val="002875E2"/>
    <w:rsid w:val="0028764E"/>
    <w:rsid w:val="00287710"/>
    <w:rsid w:val="00287873"/>
    <w:rsid w:val="00287B26"/>
    <w:rsid w:val="00290F57"/>
    <w:rsid w:val="002915F6"/>
    <w:rsid w:val="00292194"/>
    <w:rsid w:val="002921C4"/>
    <w:rsid w:val="00292737"/>
    <w:rsid w:val="002928DF"/>
    <w:rsid w:val="00293171"/>
    <w:rsid w:val="00293845"/>
    <w:rsid w:val="002939BE"/>
    <w:rsid w:val="00293B00"/>
    <w:rsid w:val="00293C89"/>
    <w:rsid w:val="0029475B"/>
    <w:rsid w:val="00294D44"/>
    <w:rsid w:val="002954EA"/>
    <w:rsid w:val="00295F23"/>
    <w:rsid w:val="00296040"/>
    <w:rsid w:val="00296531"/>
    <w:rsid w:val="002969DB"/>
    <w:rsid w:val="00297294"/>
    <w:rsid w:val="00297365"/>
    <w:rsid w:val="00297671"/>
    <w:rsid w:val="002A0199"/>
    <w:rsid w:val="002A1019"/>
    <w:rsid w:val="002A1407"/>
    <w:rsid w:val="002A26C5"/>
    <w:rsid w:val="002A2AFD"/>
    <w:rsid w:val="002A2CC1"/>
    <w:rsid w:val="002A2E7F"/>
    <w:rsid w:val="002A3328"/>
    <w:rsid w:val="002A3967"/>
    <w:rsid w:val="002A4097"/>
    <w:rsid w:val="002A47B4"/>
    <w:rsid w:val="002A5290"/>
    <w:rsid w:val="002A53CE"/>
    <w:rsid w:val="002A5C53"/>
    <w:rsid w:val="002A5CE2"/>
    <w:rsid w:val="002A5FA0"/>
    <w:rsid w:val="002A641F"/>
    <w:rsid w:val="002A64B1"/>
    <w:rsid w:val="002A6A52"/>
    <w:rsid w:val="002A6E59"/>
    <w:rsid w:val="002A740E"/>
    <w:rsid w:val="002A741D"/>
    <w:rsid w:val="002A7814"/>
    <w:rsid w:val="002A78D7"/>
    <w:rsid w:val="002A79ED"/>
    <w:rsid w:val="002B0C83"/>
    <w:rsid w:val="002B0DE5"/>
    <w:rsid w:val="002B1636"/>
    <w:rsid w:val="002B1C75"/>
    <w:rsid w:val="002B1D54"/>
    <w:rsid w:val="002B2426"/>
    <w:rsid w:val="002B2837"/>
    <w:rsid w:val="002B2A70"/>
    <w:rsid w:val="002B2C50"/>
    <w:rsid w:val="002B2F80"/>
    <w:rsid w:val="002B342F"/>
    <w:rsid w:val="002B3653"/>
    <w:rsid w:val="002B38A8"/>
    <w:rsid w:val="002B3A2A"/>
    <w:rsid w:val="002B3EB0"/>
    <w:rsid w:val="002B483E"/>
    <w:rsid w:val="002B4F97"/>
    <w:rsid w:val="002B5493"/>
    <w:rsid w:val="002B6976"/>
    <w:rsid w:val="002B6A30"/>
    <w:rsid w:val="002B6A3B"/>
    <w:rsid w:val="002B6D83"/>
    <w:rsid w:val="002B758A"/>
    <w:rsid w:val="002B7A16"/>
    <w:rsid w:val="002B7BD6"/>
    <w:rsid w:val="002B7CE1"/>
    <w:rsid w:val="002C0004"/>
    <w:rsid w:val="002C01EA"/>
    <w:rsid w:val="002C04C0"/>
    <w:rsid w:val="002C084C"/>
    <w:rsid w:val="002C0B04"/>
    <w:rsid w:val="002C0E6E"/>
    <w:rsid w:val="002C223E"/>
    <w:rsid w:val="002C2274"/>
    <w:rsid w:val="002C2536"/>
    <w:rsid w:val="002C25FA"/>
    <w:rsid w:val="002C28C6"/>
    <w:rsid w:val="002C2A81"/>
    <w:rsid w:val="002C2B0B"/>
    <w:rsid w:val="002C2CD9"/>
    <w:rsid w:val="002C30C1"/>
    <w:rsid w:val="002C30C5"/>
    <w:rsid w:val="002C34CA"/>
    <w:rsid w:val="002C3664"/>
    <w:rsid w:val="002C3A03"/>
    <w:rsid w:val="002C3C93"/>
    <w:rsid w:val="002C3F41"/>
    <w:rsid w:val="002C4030"/>
    <w:rsid w:val="002C423C"/>
    <w:rsid w:val="002C454E"/>
    <w:rsid w:val="002C5C39"/>
    <w:rsid w:val="002C5FB1"/>
    <w:rsid w:val="002C694E"/>
    <w:rsid w:val="002C6A21"/>
    <w:rsid w:val="002C6AFC"/>
    <w:rsid w:val="002C6B2A"/>
    <w:rsid w:val="002C6CB1"/>
    <w:rsid w:val="002C7182"/>
    <w:rsid w:val="002C7B68"/>
    <w:rsid w:val="002C7DF4"/>
    <w:rsid w:val="002C7FE2"/>
    <w:rsid w:val="002D0312"/>
    <w:rsid w:val="002D16F8"/>
    <w:rsid w:val="002D171E"/>
    <w:rsid w:val="002D1AFC"/>
    <w:rsid w:val="002D2643"/>
    <w:rsid w:val="002D3459"/>
    <w:rsid w:val="002D3687"/>
    <w:rsid w:val="002D3931"/>
    <w:rsid w:val="002D423F"/>
    <w:rsid w:val="002D4273"/>
    <w:rsid w:val="002D4617"/>
    <w:rsid w:val="002D52BC"/>
    <w:rsid w:val="002D5853"/>
    <w:rsid w:val="002D6134"/>
    <w:rsid w:val="002D61B9"/>
    <w:rsid w:val="002D62E6"/>
    <w:rsid w:val="002D68D5"/>
    <w:rsid w:val="002D69BB"/>
    <w:rsid w:val="002D6C10"/>
    <w:rsid w:val="002D70F6"/>
    <w:rsid w:val="002D751A"/>
    <w:rsid w:val="002D7E06"/>
    <w:rsid w:val="002E024D"/>
    <w:rsid w:val="002E04C8"/>
    <w:rsid w:val="002E081C"/>
    <w:rsid w:val="002E08CA"/>
    <w:rsid w:val="002E0B5F"/>
    <w:rsid w:val="002E0C2B"/>
    <w:rsid w:val="002E0D2E"/>
    <w:rsid w:val="002E0D54"/>
    <w:rsid w:val="002E0E65"/>
    <w:rsid w:val="002E0FBD"/>
    <w:rsid w:val="002E11A3"/>
    <w:rsid w:val="002E12BF"/>
    <w:rsid w:val="002E13F6"/>
    <w:rsid w:val="002E1440"/>
    <w:rsid w:val="002E1703"/>
    <w:rsid w:val="002E210C"/>
    <w:rsid w:val="002E249B"/>
    <w:rsid w:val="002E2DD9"/>
    <w:rsid w:val="002E314C"/>
    <w:rsid w:val="002E3616"/>
    <w:rsid w:val="002E3758"/>
    <w:rsid w:val="002E3D23"/>
    <w:rsid w:val="002E3D93"/>
    <w:rsid w:val="002E4277"/>
    <w:rsid w:val="002E48BE"/>
    <w:rsid w:val="002E49C8"/>
    <w:rsid w:val="002E4A12"/>
    <w:rsid w:val="002E4B19"/>
    <w:rsid w:val="002E4D6A"/>
    <w:rsid w:val="002E50F5"/>
    <w:rsid w:val="002E5560"/>
    <w:rsid w:val="002E55A3"/>
    <w:rsid w:val="002E5809"/>
    <w:rsid w:val="002E5825"/>
    <w:rsid w:val="002E585C"/>
    <w:rsid w:val="002E5864"/>
    <w:rsid w:val="002E683B"/>
    <w:rsid w:val="002E6B1E"/>
    <w:rsid w:val="002E6D47"/>
    <w:rsid w:val="002E72FD"/>
    <w:rsid w:val="002E73F9"/>
    <w:rsid w:val="002E74BA"/>
    <w:rsid w:val="002E75D9"/>
    <w:rsid w:val="002E7BCB"/>
    <w:rsid w:val="002E7BF4"/>
    <w:rsid w:val="002E7D90"/>
    <w:rsid w:val="002F0065"/>
    <w:rsid w:val="002F013C"/>
    <w:rsid w:val="002F02AB"/>
    <w:rsid w:val="002F0964"/>
    <w:rsid w:val="002F0E0D"/>
    <w:rsid w:val="002F0F4F"/>
    <w:rsid w:val="002F1052"/>
    <w:rsid w:val="002F12EF"/>
    <w:rsid w:val="002F14E7"/>
    <w:rsid w:val="002F1780"/>
    <w:rsid w:val="002F1CE9"/>
    <w:rsid w:val="002F2244"/>
    <w:rsid w:val="002F2B1A"/>
    <w:rsid w:val="002F2B48"/>
    <w:rsid w:val="002F2B86"/>
    <w:rsid w:val="002F2C44"/>
    <w:rsid w:val="002F384B"/>
    <w:rsid w:val="002F3C6A"/>
    <w:rsid w:val="002F4370"/>
    <w:rsid w:val="002F442C"/>
    <w:rsid w:val="002F4E6C"/>
    <w:rsid w:val="002F5416"/>
    <w:rsid w:val="002F60C4"/>
    <w:rsid w:val="002F6719"/>
    <w:rsid w:val="002F6ABB"/>
    <w:rsid w:val="002F777E"/>
    <w:rsid w:val="002F783E"/>
    <w:rsid w:val="002F7CE7"/>
    <w:rsid w:val="00300167"/>
    <w:rsid w:val="00300AB3"/>
    <w:rsid w:val="00300B63"/>
    <w:rsid w:val="00300F3D"/>
    <w:rsid w:val="00301161"/>
    <w:rsid w:val="003015CF"/>
    <w:rsid w:val="003017C4"/>
    <w:rsid w:val="0030186D"/>
    <w:rsid w:val="00301F4D"/>
    <w:rsid w:val="00301F54"/>
    <w:rsid w:val="0030246D"/>
    <w:rsid w:val="00302E0B"/>
    <w:rsid w:val="003032D4"/>
    <w:rsid w:val="00303B39"/>
    <w:rsid w:val="00304BF7"/>
    <w:rsid w:val="00304F33"/>
    <w:rsid w:val="00304FD2"/>
    <w:rsid w:val="003050E2"/>
    <w:rsid w:val="00306465"/>
    <w:rsid w:val="00306B9C"/>
    <w:rsid w:val="00306DDD"/>
    <w:rsid w:val="00306F14"/>
    <w:rsid w:val="00307D79"/>
    <w:rsid w:val="00310318"/>
    <w:rsid w:val="003108F2"/>
    <w:rsid w:val="00310909"/>
    <w:rsid w:val="00310EC3"/>
    <w:rsid w:val="00310FA4"/>
    <w:rsid w:val="003110CC"/>
    <w:rsid w:val="00312E6F"/>
    <w:rsid w:val="00313461"/>
    <w:rsid w:val="00313571"/>
    <w:rsid w:val="00313651"/>
    <w:rsid w:val="00313828"/>
    <w:rsid w:val="0031409D"/>
    <w:rsid w:val="0031410A"/>
    <w:rsid w:val="00314805"/>
    <w:rsid w:val="00315979"/>
    <w:rsid w:val="00315BED"/>
    <w:rsid w:val="00316184"/>
    <w:rsid w:val="003165D4"/>
    <w:rsid w:val="00316BB4"/>
    <w:rsid w:val="00316ED1"/>
    <w:rsid w:val="00316F3F"/>
    <w:rsid w:val="0031702E"/>
    <w:rsid w:val="00317406"/>
    <w:rsid w:val="00317424"/>
    <w:rsid w:val="0031756D"/>
    <w:rsid w:val="003176AB"/>
    <w:rsid w:val="00317A62"/>
    <w:rsid w:val="00317CCD"/>
    <w:rsid w:val="00317D23"/>
    <w:rsid w:val="003200B4"/>
    <w:rsid w:val="003200C8"/>
    <w:rsid w:val="003205B1"/>
    <w:rsid w:val="00320A01"/>
    <w:rsid w:val="00320D25"/>
    <w:rsid w:val="00321110"/>
    <w:rsid w:val="00321845"/>
    <w:rsid w:val="00322034"/>
    <w:rsid w:val="00322E65"/>
    <w:rsid w:val="00323027"/>
    <w:rsid w:val="003231E9"/>
    <w:rsid w:val="00323221"/>
    <w:rsid w:val="003232A9"/>
    <w:rsid w:val="003235CF"/>
    <w:rsid w:val="00323BC7"/>
    <w:rsid w:val="0032454A"/>
    <w:rsid w:val="00324D85"/>
    <w:rsid w:val="003252CD"/>
    <w:rsid w:val="00325935"/>
    <w:rsid w:val="003259FA"/>
    <w:rsid w:val="00326277"/>
    <w:rsid w:val="003264C1"/>
    <w:rsid w:val="00326873"/>
    <w:rsid w:val="0032696D"/>
    <w:rsid w:val="00326E53"/>
    <w:rsid w:val="00327018"/>
    <w:rsid w:val="0032708A"/>
    <w:rsid w:val="00327FE0"/>
    <w:rsid w:val="00331229"/>
    <w:rsid w:val="003315D1"/>
    <w:rsid w:val="003317BA"/>
    <w:rsid w:val="00331B43"/>
    <w:rsid w:val="00332F10"/>
    <w:rsid w:val="00333301"/>
    <w:rsid w:val="00333677"/>
    <w:rsid w:val="00333CB2"/>
    <w:rsid w:val="00333D66"/>
    <w:rsid w:val="00333E8E"/>
    <w:rsid w:val="00333F82"/>
    <w:rsid w:val="00335576"/>
    <w:rsid w:val="0033578E"/>
    <w:rsid w:val="0033686D"/>
    <w:rsid w:val="00336E6D"/>
    <w:rsid w:val="00337725"/>
    <w:rsid w:val="00337C7D"/>
    <w:rsid w:val="00337D8F"/>
    <w:rsid w:val="003402EB"/>
    <w:rsid w:val="0034063E"/>
    <w:rsid w:val="003406CA"/>
    <w:rsid w:val="003408DB"/>
    <w:rsid w:val="00341177"/>
    <w:rsid w:val="00341476"/>
    <w:rsid w:val="0034190B"/>
    <w:rsid w:val="00341A70"/>
    <w:rsid w:val="0034253F"/>
    <w:rsid w:val="003425A9"/>
    <w:rsid w:val="00342C9C"/>
    <w:rsid w:val="00342DEC"/>
    <w:rsid w:val="0034301E"/>
    <w:rsid w:val="00343022"/>
    <w:rsid w:val="003437AC"/>
    <w:rsid w:val="003439A7"/>
    <w:rsid w:val="00343BE1"/>
    <w:rsid w:val="003440BB"/>
    <w:rsid w:val="00344254"/>
    <w:rsid w:val="00344294"/>
    <w:rsid w:val="0034433C"/>
    <w:rsid w:val="0034440E"/>
    <w:rsid w:val="003444AC"/>
    <w:rsid w:val="0034457D"/>
    <w:rsid w:val="003449B1"/>
    <w:rsid w:val="00344CE8"/>
    <w:rsid w:val="00344D02"/>
    <w:rsid w:val="00344F2B"/>
    <w:rsid w:val="003451ED"/>
    <w:rsid w:val="0034529A"/>
    <w:rsid w:val="0034573F"/>
    <w:rsid w:val="00345765"/>
    <w:rsid w:val="00345A23"/>
    <w:rsid w:val="00345A53"/>
    <w:rsid w:val="00346261"/>
    <w:rsid w:val="00346306"/>
    <w:rsid w:val="00346380"/>
    <w:rsid w:val="003468E5"/>
    <w:rsid w:val="00346D27"/>
    <w:rsid w:val="00347DDB"/>
    <w:rsid w:val="003501E8"/>
    <w:rsid w:val="00350397"/>
    <w:rsid w:val="003503D9"/>
    <w:rsid w:val="00350835"/>
    <w:rsid w:val="00350954"/>
    <w:rsid w:val="0035098C"/>
    <w:rsid w:val="00350C81"/>
    <w:rsid w:val="00351219"/>
    <w:rsid w:val="0035121E"/>
    <w:rsid w:val="00351B1F"/>
    <w:rsid w:val="00352175"/>
    <w:rsid w:val="00352F3D"/>
    <w:rsid w:val="003530FA"/>
    <w:rsid w:val="00353925"/>
    <w:rsid w:val="003539BF"/>
    <w:rsid w:val="00354DA5"/>
    <w:rsid w:val="00355109"/>
    <w:rsid w:val="0035573F"/>
    <w:rsid w:val="00356E08"/>
    <w:rsid w:val="003571A6"/>
    <w:rsid w:val="00357464"/>
    <w:rsid w:val="003574FD"/>
    <w:rsid w:val="00357856"/>
    <w:rsid w:val="003578A8"/>
    <w:rsid w:val="00357BB1"/>
    <w:rsid w:val="00357BDE"/>
    <w:rsid w:val="00357CCD"/>
    <w:rsid w:val="00357E24"/>
    <w:rsid w:val="003604E9"/>
    <w:rsid w:val="00360A45"/>
    <w:rsid w:val="00360A61"/>
    <w:rsid w:val="00360C7D"/>
    <w:rsid w:val="00360D55"/>
    <w:rsid w:val="003614EC"/>
    <w:rsid w:val="003615EB"/>
    <w:rsid w:val="00361895"/>
    <w:rsid w:val="00361B2A"/>
    <w:rsid w:val="00361D8B"/>
    <w:rsid w:val="00361EB2"/>
    <w:rsid w:val="00362A0B"/>
    <w:rsid w:val="00362ED2"/>
    <w:rsid w:val="00363429"/>
    <w:rsid w:val="003637B3"/>
    <w:rsid w:val="00363A14"/>
    <w:rsid w:val="00363ECC"/>
    <w:rsid w:val="003644BE"/>
    <w:rsid w:val="00365171"/>
    <w:rsid w:val="003653AB"/>
    <w:rsid w:val="003657AF"/>
    <w:rsid w:val="00365886"/>
    <w:rsid w:val="0036590B"/>
    <w:rsid w:val="00365A77"/>
    <w:rsid w:val="00365B24"/>
    <w:rsid w:val="00365F32"/>
    <w:rsid w:val="00366347"/>
    <w:rsid w:val="003665C6"/>
    <w:rsid w:val="0036670A"/>
    <w:rsid w:val="003667D4"/>
    <w:rsid w:val="00366850"/>
    <w:rsid w:val="00366A9C"/>
    <w:rsid w:val="00366CEF"/>
    <w:rsid w:val="00366DDD"/>
    <w:rsid w:val="003672BD"/>
    <w:rsid w:val="00367941"/>
    <w:rsid w:val="00367D86"/>
    <w:rsid w:val="00367EEF"/>
    <w:rsid w:val="00370A14"/>
    <w:rsid w:val="00370D98"/>
    <w:rsid w:val="00370F2A"/>
    <w:rsid w:val="00370F9A"/>
    <w:rsid w:val="00371374"/>
    <w:rsid w:val="0037151C"/>
    <w:rsid w:val="003715F9"/>
    <w:rsid w:val="00371650"/>
    <w:rsid w:val="00371A28"/>
    <w:rsid w:val="00372010"/>
    <w:rsid w:val="0037248B"/>
    <w:rsid w:val="00372D30"/>
    <w:rsid w:val="00372F59"/>
    <w:rsid w:val="0037312E"/>
    <w:rsid w:val="00373A0D"/>
    <w:rsid w:val="00373A9E"/>
    <w:rsid w:val="00373C07"/>
    <w:rsid w:val="0037453E"/>
    <w:rsid w:val="00374894"/>
    <w:rsid w:val="00374943"/>
    <w:rsid w:val="00374B39"/>
    <w:rsid w:val="00374D50"/>
    <w:rsid w:val="00374D88"/>
    <w:rsid w:val="00374E78"/>
    <w:rsid w:val="003754B5"/>
    <w:rsid w:val="00375544"/>
    <w:rsid w:val="003772E4"/>
    <w:rsid w:val="00377B40"/>
    <w:rsid w:val="00377DC8"/>
    <w:rsid w:val="00377FBD"/>
    <w:rsid w:val="0038059F"/>
    <w:rsid w:val="00380A72"/>
    <w:rsid w:val="00381332"/>
    <w:rsid w:val="00381371"/>
    <w:rsid w:val="00381C85"/>
    <w:rsid w:val="00382477"/>
    <w:rsid w:val="00382A06"/>
    <w:rsid w:val="0038341E"/>
    <w:rsid w:val="003835FF"/>
    <w:rsid w:val="00383946"/>
    <w:rsid w:val="00383B8F"/>
    <w:rsid w:val="00383BF5"/>
    <w:rsid w:val="00383D5C"/>
    <w:rsid w:val="00383D8E"/>
    <w:rsid w:val="00384621"/>
    <w:rsid w:val="00384C8B"/>
    <w:rsid w:val="00384DF3"/>
    <w:rsid w:val="00384E95"/>
    <w:rsid w:val="00385526"/>
    <w:rsid w:val="00385878"/>
    <w:rsid w:val="00385E35"/>
    <w:rsid w:val="00385F7A"/>
    <w:rsid w:val="003861E6"/>
    <w:rsid w:val="003866D6"/>
    <w:rsid w:val="00386DAB"/>
    <w:rsid w:val="00387067"/>
    <w:rsid w:val="0038708D"/>
    <w:rsid w:val="003874FF"/>
    <w:rsid w:val="003876CC"/>
    <w:rsid w:val="0039084E"/>
    <w:rsid w:val="00390913"/>
    <w:rsid w:val="00390D92"/>
    <w:rsid w:val="0039151A"/>
    <w:rsid w:val="00392B1F"/>
    <w:rsid w:val="00392C1E"/>
    <w:rsid w:val="00392CF5"/>
    <w:rsid w:val="00393004"/>
    <w:rsid w:val="00393806"/>
    <w:rsid w:val="00394215"/>
    <w:rsid w:val="00394D87"/>
    <w:rsid w:val="00394DA9"/>
    <w:rsid w:val="00394E3E"/>
    <w:rsid w:val="00395198"/>
    <w:rsid w:val="0039532B"/>
    <w:rsid w:val="00395831"/>
    <w:rsid w:val="003972A1"/>
    <w:rsid w:val="003979A7"/>
    <w:rsid w:val="003A004A"/>
    <w:rsid w:val="003A05EC"/>
    <w:rsid w:val="003A075B"/>
    <w:rsid w:val="003A081A"/>
    <w:rsid w:val="003A08BF"/>
    <w:rsid w:val="003A1382"/>
    <w:rsid w:val="003A1D17"/>
    <w:rsid w:val="003A249A"/>
    <w:rsid w:val="003A258E"/>
    <w:rsid w:val="003A2A3B"/>
    <w:rsid w:val="003A2A4B"/>
    <w:rsid w:val="003A2DF5"/>
    <w:rsid w:val="003A2EB1"/>
    <w:rsid w:val="003A2EF4"/>
    <w:rsid w:val="003A390F"/>
    <w:rsid w:val="003A42E9"/>
    <w:rsid w:val="003A4B6C"/>
    <w:rsid w:val="003A4CE9"/>
    <w:rsid w:val="003A52FA"/>
    <w:rsid w:val="003A5E0C"/>
    <w:rsid w:val="003A6081"/>
    <w:rsid w:val="003A6187"/>
    <w:rsid w:val="003A61A7"/>
    <w:rsid w:val="003A6F77"/>
    <w:rsid w:val="003A74CE"/>
    <w:rsid w:val="003A7855"/>
    <w:rsid w:val="003A7CF4"/>
    <w:rsid w:val="003B0A72"/>
    <w:rsid w:val="003B0BED"/>
    <w:rsid w:val="003B0D5F"/>
    <w:rsid w:val="003B0D75"/>
    <w:rsid w:val="003B14DC"/>
    <w:rsid w:val="003B1931"/>
    <w:rsid w:val="003B1B35"/>
    <w:rsid w:val="003B1C76"/>
    <w:rsid w:val="003B26DF"/>
    <w:rsid w:val="003B2C4C"/>
    <w:rsid w:val="003B368B"/>
    <w:rsid w:val="003B4264"/>
    <w:rsid w:val="003B426B"/>
    <w:rsid w:val="003B440B"/>
    <w:rsid w:val="003B4667"/>
    <w:rsid w:val="003B47D1"/>
    <w:rsid w:val="003B4822"/>
    <w:rsid w:val="003B48BD"/>
    <w:rsid w:val="003B4F17"/>
    <w:rsid w:val="003B5066"/>
    <w:rsid w:val="003B5098"/>
    <w:rsid w:val="003B5454"/>
    <w:rsid w:val="003B5C8B"/>
    <w:rsid w:val="003B5CD7"/>
    <w:rsid w:val="003B6056"/>
    <w:rsid w:val="003B68BA"/>
    <w:rsid w:val="003B691D"/>
    <w:rsid w:val="003B6B3B"/>
    <w:rsid w:val="003B6BCB"/>
    <w:rsid w:val="003B7152"/>
    <w:rsid w:val="003B72FB"/>
    <w:rsid w:val="003B792D"/>
    <w:rsid w:val="003B7D81"/>
    <w:rsid w:val="003C064C"/>
    <w:rsid w:val="003C0968"/>
    <w:rsid w:val="003C10F0"/>
    <w:rsid w:val="003C13E3"/>
    <w:rsid w:val="003C1802"/>
    <w:rsid w:val="003C1909"/>
    <w:rsid w:val="003C1E4F"/>
    <w:rsid w:val="003C2705"/>
    <w:rsid w:val="003C2935"/>
    <w:rsid w:val="003C2CD7"/>
    <w:rsid w:val="003C351D"/>
    <w:rsid w:val="003C35AD"/>
    <w:rsid w:val="003C371F"/>
    <w:rsid w:val="003C3A6A"/>
    <w:rsid w:val="003C3C1D"/>
    <w:rsid w:val="003C3CE6"/>
    <w:rsid w:val="003C3D33"/>
    <w:rsid w:val="003C3F54"/>
    <w:rsid w:val="003C4198"/>
    <w:rsid w:val="003C46A8"/>
    <w:rsid w:val="003C48C7"/>
    <w:rsid w:val="003C49FF"/>
    <w:rsid w:val="003C4CEE"/>
    <w:rsid w:val="003C568E"/>
    <w:rsid w:val="003C5BCC"/>
    <w:rsid w:val="003C60D5"/>
    <w:rsid w:val="003C6137"/>
    <w:rsid w:val="003C61EB"/>
    <w:rsid w:val="003C6263"/>
    <w:rsid w:val="003C6431"/>
    <w:rsid w:val="003C6846"/>
    <w:rsid w:val="003C6EC2"/>
    <w:rsid w:val="003C7640"/>
    <w:rsid w:val="003C7EA0"/>
    <w:rsid w:val="003D010C"/>
    <w:rsid w:val="003D0F22"/>
    <w:rsid w:val="003D0F4A"/>
    <w:rsid w:val="003D14D2"/>
    <w:rsid w:val="003D18BE"/>
    <w:rsid w:val="003D19CE"/>
    <w:rsid w:val="003D19DE"/>
    <w:rsid w:val="003D1F31"/>
    <w:rsid w:val="003D26C1"/>
    <w:rsid w:val="003D272E"/>
    <w:rsid w:val="003D353A"/>
    <w:rsid w:val="003D3A8B"/>
    <w:rsid w:val="003D3B15"/>
    <w:rsid w:val="003D3D37"/>
    <w:rsid w:val="003D3E44"/>
    <w:rsid w:val="003D3F57"/>
    <w:rsid w:val="003D4299"/>
    <w:rsid w:val="003D4949"/>
    <w:rsid w:val="003D562E"/>
    <w:rsid w:val="003D57BB"/>
    <w:rsid w:val="003D57E4"/>
    <w:rsid w:val="003D599C"/>
    <w:rsid w:val="003D5B5E"/>
    <w:rsid w:val="003D619B"/>
    <w:rsid w:val="003D6303"/>
    <w:rsid w:val="003D694B"/>
    <w:rsid w:val="003D6BB5"/>
    <w:rsid w:val="003D6BDE"/>
    <w:rsid w:val="003D6C00"/>
    <w:rsid w:val="003D6EDF"/>
    <w:rsid w:val="003D70D5"/>
    <w:rsid w:val="003D7896"/>
    <w:rsid w:val="003D7EB0"/>
    <w:rsid w:val="003D7F50"/>
    <w:rsid w:val="003E0043"/>
    <w:rsid w:val="003E005D"/>
    <w:rsid w:val="003E0207"/>
    <w:rsid w:val="003E04C3"/>
    <w:rsid w:val="003E054C"/>
    <w:rsid w:val="003E1000"/>
    <w:rsid w:val="003E1452"/>
    <w:rsid w:val="003E1A85"/>
    <w:rsid w:val="003E1EF1"/>
    <w:rsid w:val="003E218C"/>
    <w:rsid w:val="003E255D"/>
    <w:rsid w:val="003E2831"/>
    <w:rsid w:val="003E2AF1"/>
    <w:rsid w:val="003E2DBB"/>
    <w:rsid w:val="003E3659"/>
    <w:rsid w:val="003E370B"/>
    <w:rsid w:val="003E3750"/>
    <w:rsid w:val="003E4103"/>
    <w:rsid w:val="003E4200"/>
    <w:rsid w:val="003E45E8"/>
    <w:rsid w:val="003E4A5A"/>
    <w:rsid w:val="003E4E80"/>
    <w:rsid w:val="003E50AE"/>
    <w:rsid w:val="003E569D"/>
    <w:rsid w:val="003E59BD"/>
    <w:rsid w:val="003E6171"/>
    <w:rsid w:val="003E658B"/>
    <w:rsid w:val="003E685E"/>
    <w:rsid w:val="003E68AA"/>
    <w:rsid w:val="003E697D"/>
    <w:rsid w:val="003E7333"/>
    <w:rsid w:val="003E76B6"/>
    <w:rsid w:val="003E7861"/>
    <w:rsid w:val="003E795F"/>
    <w:rsid w:val="003F02E1"/>
    <w:rsid w:val="003F040E"/>
    <w:rsid w:val="003F04AE"/>
    <w:rsid w:val="003F1586"/>
    <w:rsid w:val="003F17E4"/>
    <w:rsid w:val="003F1B6F"/>
    <w:rsid w:val="003F1F1F"/>
    <w:rsid w:val="003F244D"/>
    <w:rsid w:val="003F24EC"/>
    <w:rsid w:val="003F2580"/>
    <w:rsid w:val="003F2E76"/>
    <w:rsid w:val="003F3101"/>
    <w:rsid w:val="003F3908"/>
    <w:rsid w:val="003F3D51"/>
    <w:rsid w:val="003F3F68"/>
    <w:rsid w:val="003F40AB"/>
    <w:rsid w:val="003F40EA"/>
    <w:rsid w:val="003F4113"/>
    <w:rsid w:val="003F4567"/>
    <w:rsid w:val="003F469B"/>
    <w:rsid w:val="003F4E1C"/>
    <w:rsid w:val="003F5013"/>
    <w:rsid w:val="003F5219"/>
    <w:rsid w:val="003F53C1"/>
    <w:rsid w:val="003F54B2"/>
    <w:rsid w:val="003F5516"/>
    <w:rsid w:val="003F5599"/>
    <w:rsid w:val="003F5AAB"/>
    <w:rsid w:val="003F5B98"/>
    <w:rsid w:val="003F5D5B"/>
    <w:rsid w:val="003F5D82"/>
    <w:rsid w:val="003F6954"/>
    <w:rsid w:val="003F75E9"/>
    <w:rsid w:val="0040060C"/>
    <w:rsid w:val="00400651"/>
    <w:rsid w:val="004007BA"/>
    <w:rsid w:val="0040092A"/>
    <w:rsid w:val="00400EB0"/>
    <w:rsid w:val="00401175"/>
    <w:rsid w:val="004011E6"/>
    <w:rsid w:val="0040150E"/>
    <w:rsid w:val="0040152E"/>
    <w:rsid w:val="00401D32"/>
    <w:rsid w:val="004020DC"/>
    <w:rsid w:val="0040220F"/>
    <w:rsid w:val="004025EC"/>
    <w:rsid w:val="00402799"/>
    <w:rsid w:val="00402B47"/>
    <w:rsid w:val="00402EE1"/>
    <w:rsid w:val="00403636"/>
    <w:rsid w:val="00403D8F"/>
    <w:rsid w:val="004046F3"/>
    <w:rsid w:val="00404A7F"/>
    <w:rsid w:val="00405E39"/>
    <w:rsid w:val="00406211"/>
    <w:rsid w:val="004063BA"/>
    <w:rsid w:val="004066A8"/>
    <w:rsid w:val="00406720"/>
    <w:rsid w:val="0040674A"/>
    <w:rsid w:val="00406B79"/>
    <w:rsid w:val="0040725F"/>
    <w:rsid w:val="0040744B"/>
    <w:rsid w:val="00407586"/>
    <w:rsid w:val="00407725"/>
    <w:rsid w:val="004077D8"/>
    <w:rsid w:val="00407FF6"/>
    <w:rsid w:val="00410A7F"/>
    <w:rsid w:val="00410E67"/>
    <w:rsid w:val="004110DF"/>
    <w:rsid w:val="00412081"/>
    <w:rsid w:val="004131D9"/>
    <w:rsid w:val="00413680"/>
    <w:rsid w:val="004136A3"/>
    <w:rsid w:val="00413936"/>
    <w:rsid w:val="00413B50"/>
    <w:rsid w:val="0041439E"/>
    <w:rsid w:val="004144D3"/>
    <w:rsid w:val="004148A8"/>
    <w:rsid w:val="00414A49"/>
    <w:rsid w:val="00414AA1"/>
    <w:rsid w:val="00415D18"/>
    <w:rsid w:val="004165AE"/>
    <w:rsid w:val="004165D1"/>
    <w:rsid w:val="00416634"/>
    <w:rsid w:val="00416D2A"/>
    <w:rsid w:val="00416D5C"/>
    <w:rsid w:val="00416F8F"/>
    <w:rsid w:val="004175CA"/>
    <w:rsid w:val="00417670"/>
    <w:rsid w:val="00420BF4"/>
    <w:rsid w:val="00421792"/>
    <w:rsid w:val="00421EA8"/>
    <w:rsid w:val="00422061"/>
    <w:rsid w:val="00422207"/>
    <w:rsid w:val="004223DD"/>
    <w:rsid w:val="004227F2"/>
    <w:rsid w:val="00422C82"/>
    <w:rsid w:val="00422DDB"/>
    <w:rsid w:val="004230C2"/>
    <w:rsid w:val="004236AD"/>
    <w:rsid w:val="00423808"/>
    <w:rsid w:val="00423F0A"/>
    <w:rsid w:val="004240E1"/>
    <w:rsid w:val="00424239"/>
    <w:rsid w:val="00424363"/>
    <w:rsid w:val="00424413"/>
    <w:rsid w:val="00424D44"/>
    <w:rsid w:val="00424EC1"/>
    <w:rsid w:val="00425060"/>
    <w:rsid w:val="004250C6"/>
    <w:rsid w:val="00425F40"/>
    <w:rsid w:val="00426A75"/>
    <w:rsid w:val="00426B51"/>
    <w:rsid w:val="00427054"/>
    <w:rsid w:val="00427B5E"/>
    <w:rsid w:val="00427C88"/>
    <w:rsid w:val="00427DCA"/>
    <w:rsid w:val="00427EBB"/>
    <w:rsid w:val="0043012D"/>
    <w:rsid w:val="00430870"/>
    <w:rsid w:val="004309FE"/>
    <w:rsid w:val="00430D39"/>
    <w:rsid w:val="00431291"/>
    <w:rsid w:val="00431371"/>
    <w:rsid w:val="004313C5"/>
    <w:rsid w:val="00431F0E"/>
    <w:rsid w:val="004320D6"/>
    <w:rsid w:val="0043224D"/>
    <w:rsid w:val="004327FC"/>
    <w:rsid w:val="004330A6"/>
    <w:rsid w:val="00433113"/>
    <w:rsid w:val="004331CA"/>
    <w:rsid w:val="0043397A"/>
    <w:rsid w:val="00433B58"/>
    <w:rsid w:val="0043411C"/>
    <w:rsid w:val="0043475C"/>
    <w:rsid w:val="00434E32"/>
    <w:rsid w:val="00434E44"/>
    <w:rsid w:val="004350BE"/>
    <w:rsid w:val="00435206"/>
    <w:rsid w:val="00435618"/>
    <w:rsid w:val="00435FAF"/>
    <w:rsid w:val="004361A3"/>
    <w:rsid w:val="004366F5"/>
    <w:rsid w:val="004369F3"/>
    <w:rsid w:val="004374E1"/>
    <w:rsid w:val="0043751E"/>
    <w:rsid w:val="0043779A"/>
    <w:rsid w:val="004408A1"/>
    <w:rsid w:val="00440A34"/>
    <w:rsid w:val="00440DD2"/>
    <w:rsid w:val="0044145C"/>
    <w:rsid w:val="004416D6"/>
    <w:rsid w:val="00441A4F"/>
    <w:rsid w:val="00441CE7"/>
    <w:rsid w:val="00442CE4"/>
    <w:rsid w:val="00443545"/>
    <w:rsid w:val="00443E57"/>
    <w:rsid w:val="00443F91"/>
    <w:rsid w:val="00444624"/>
    <w:rsid w:val="00444E91"/>
    <w:rsid w:val="00444EE9"/>
    <w:rsid w:val="004454B1"/>
    <w:rsid w:val="0044583F"/>
    <w:rsid w:val="00445BEC"/>
    <w:rsid w:val="0044608C"/>
    <w:rsid w:val="004463C7"/>
    <w:rsid w:val="00446537"/>
    <w:rsid w:val="004468E8"/>
    <w:rsid w:val="00446F2A"/>
    <w:rsid w:val="004470B4"/>
    <w:rsid w:val="00447875"/>
    <w:rsid w:val="00447C5B"/>
    <w:rsid w:val="00447CBD"/>
    <w:rsid w:val="00450394"/>
    <w:rsid w:val="004509D3"/>
    <w:rsid w:val="00450DA1"/>
    <w:rsid w:val="00451029"/>
    <w:rsid w:val="00451084"/>
    <w:rsid w:val="004510D1"/>
    <w:rsid w:val="00451650"/>
    <w:rsid w:val="00451941"/>
    <w:rsid w:val="004524DC"/>
    <w:rsid w:val="004528EA"/>
    <w:rsid w:val="00452D1A"/>
    <w:rsid w:val="00452DBA"/>
    <w:rsid w:val="00453229"/>
    <w:rsid w:val="004535CF"/>
    <w:rsid w:val="004539A8"/>
    <w:rsid w:val="00453BA8"/>
    <w:rsid w:val="004546EB"/>
    <w:rsid w:val="004547A9"/>
    <w:rsid w:val="00454B85"/>
    <w:rsid w:val="00454DD5"/>
    <w:rsid w:val="0045522F"/>
    <w:rsid w:val="00455622"/>
    <w:rsid w:val="004557FE"/>
    <w:rsid w:val="00456013"/>
    <w:rsid w:val="00456B11"/>
    <w:rsid w:val="00456C00"/>
    <w:rsid w:val="00456C62"/>
    <w:rsid w:val="00456C89"/>
    <w:rsid w:val="00456F06"/>
    <w:rsid w:val="00457101"/>
    <w:rsid w:val="0045741F"/>
    <w:rsid w:val="00457B64"/>
    <w:rsid w:val="00457F97"/>
    <w:rsid w:val="0046066E"/>
    <w:rsid w:val="00460CB4"/>
    <w:rsid w:val="00460DE7"/>
    <w:rsid w:val="00460EBC"/>
    <w:rsid w:val="00461004"/>
    <w:rsid w:val="004612D7"/>
    <w:rsid w:val="0046140E"/>
    <w:rsid w:val="00461B64"/>
    <w:rsid w:val="004622D8"/>
    <w:rsid w:val="00462A09"/>
    <w:rsid w:val="00462BB1"/>
    <w:rsid w:val="00462C32"/>
    <w:rsid w:val="00462EDD"/>
    <w:rsid w:val="00463260"/>
    <w:rsid w:val="0046329E"/>
    <w:rsid w:val="004633CE"/>
    <w:rsid w:val="0046352A"/>
    <w:rsid w:val="004635F0"/>
    <w:rsid w:val="00463DAD"/>
    <w:rsid w:val="00463F34"/>
    <w:rsid w:val="004646AB"/>
    <w:rsid w:val="004647E7"/>
    <w:rsid w:val="004658CB"/>
    <w:rsid w:val="00465DA7"/>
    <w:rsid w:val="004669FA"/>
    <w:rsid w:val="00467797"/>
    <w:rsid w:val="00467870"/>
    <w:rsid w:val="00470654"/>
    <w:rsid w:val="0047108C"/>
    <w:rsid w:val="004715DA"/>
    <w:rsid w:val="004717B6"/>
    <w:rsid w:val="004717F5"/>
    <w:rsid w:val="0047233B"/>
    <w:rsid w:val="0047244B"/>
    <w:rsid w:val="004725B0"/>
    <w:rsid w:val="00472AC5"/>
    <w:rsid w:val="0047429F"/>
    <w:rsid w:val="004742D1"/>
    <w:rsid w:val="004751AD"/>
    <w:rsid w:val="00475278"/>
    <w:rsid w:val="00475525"/>
    <w:rsid w:val="004758B9"/>
    <w:rsid w:val="00475F50"/>
    <w:rsid w:val="0047613C"/>
    <w:rsid w:val="0047668C"/>
    <w:rsid w:val="00476C2F"/>
    <w:rsid w:val="00476D32"/>
    <w:rsid w:val="0047766E"/>
    <w:rsid w:val="00480092"/>
    <w:rsid w:val="004801CF"/>
    <w:rsid w:val="00480379"/>
    <w:rsid w:val="00480479"/>
    <w:rsid w:val="00480683"/>
    <w:rsid w:val="00480B80"/>
    <w:rsid w:val="00480F96"/>
    <w:rsid w:val="0048101D"/>
    <w:rsid w:val="0048188F"/>
    <w:rsid w:val="004818FA"/>
    <w:rsid w:val="00481D7B"/>
    <w:rsid w:val="00481DA0"/>
    <w:rsid w:val="00481F56"/>
    <w:rsid w:val="00482055"/>
    <w:rsid w:val="00482EE3"/>
    <w:rsid w:val="004835F2"/>
    <w:rsid w:val="00483A63"/>
    <w:rsid w:val="00483BE1"/>
    <w:rsid w:val="00483C9A"/>
    <w:rsid w:val="00483E84"/>
    <w:rsid w:val="00484808"/>
    <w:rsid w:val="0048504E"/>
    <w:rsid w:val="004852F2"/>
    <w:rsid w:val="00485328"/>
    <w:rsid w:val="00485451"/>
    <w:rsid w:val="004858E4"/>
    <w:rsid w:val="00485DED"/>
    <w:rsid w:val="00485E19"/>
    <w:rsid w:val="0048600F"/>
    <w:rsid w:val="00486292"/>
    <w:rsid w:val="00486332"/>
    <w:rsid w:val="00486794"/>
    <w:rsid w:val="00486BB2"/>
    <w:rsid w:val="004871F9"/>
    <w:rsid w:val="004872ED"/>
    <w:rsid w:val="004873E1"/>
    <w:rsid w:val="00487AAF"/>
    <w:rsid w:val="00487B85"/>
    <w:rsid w:val="004900D4"/>
    <w:rsid w:val="004907E1"/>
    <w:rsid w:val="0049087B"/>
    <w:rsid w:val="00490975"/>
    <w:rsid w:val="00491BAC"/>
    <w:rsid w:val="00491BAD"/>
    <w:rsid w:val="00491BEA"/>
    <w:rsid w:val="0049205F"/>
    <w:rsid w:val="00492429"/>
    <w:rsid w:val="00492759"/>
    <w:rsid w:val="004927F7"/>
    <w:rsid w:val="004928F9"/>
    <w:rsid w:val="00492BDD"/>
    <w:rsid w:val="004930A7"/>
    <w:rsid w:val="0049362C"/>
    <w:rsid w:val="00493DC9"/>
    <w:rsid w:val="004940F5"/>
    <w:rsid w:val="00494472"/>
    <w:rsid w:val="0049466D"/>
    <w:rsid w:val="0049475F"/>
    <w:rsid w:val="00494811"/>
    <w:rsid w:val="00494CE9"/>
    <w:rsid w:val="00494F41"/>
    <w:rsid w:val="00495160"/>
    <w:rsid w:val="00495322"/>
    <w:rsid w:val="00495657"/>
    <w:rsid w:val="004958CE"/>
    <w:rsid w:val="00495D6D"/>
    <w:rsid w:val="0049617A"/>
    <w:rsid w:val="00496354"/>
    <w:rsid w:val="00496B1C"/>
    <w:rsid w:val="00496C9D"/>
    <w:rsid w:val="0049765B"/>
    <w:rsid w:val="004976B8"/>
    <w:rsid w:val="004A04EF"/>
    <w:rsid w:val="004A0BB5"/>
    <w:rsid w:val="004A161A"/>
    <w:rsid w:val="004A22AC"/>
    <w:rsid w:val="004A29C8"/>
    <w:rsid w:val="004A2E6E"/>
    <w:rsid w:val="004A2F29"/>
    <w:rsid w:val="004A32C9"/>
    <w:rsid w:val="004A3C9B"/>
    <w:rsid w:val="004A4081"/>
    <w:rsid w:val="004A4178"/>
    <w:rsid w:val="004A4355"/>
    <w:rsid w:val="004A44DC"/>
    <w:rsid w:val="004A4798"/>
    <w:rsid w:val="004A5624"/>
    <w:rsid w:val="004A5926"/>
    <w:rsid w:val="004A5B0F"/>
    <w:rsid w:val="004A5B46"/>
    <w:rsid w:val="004A5B97"/>
    <w:rsid w:val="004A5E23"/>
    <w:rsid w:val="004A6146"/>
    <w:rsid w:val="004A6A16"/>
    <w:rsid w:val="004A777D"/>
    <w:rsid w:val="004A7D2E"/>
    <w:rsid w:val="004B0005"/>
    <w:rsid w:val="004B18D7"/>
    <w:rsid w:val="004B1B1B"/>
    <w:rsid w:val="004B21B5"/>
    <w:rsid w:val="004B234F"/>
    <w:rsid w:val="004B28AB"/>
    <w:rsid w:val="004B2DBE"/>
    <w:rsid w:val="004B2E04"/>
    <w:rsid w:val="004B30B7"/>
    <w:rsid w:val="004B36E7"/>
    <w:rsid w:val="004B3AD7"/>
    <w:rsid w:val="004B3B4C"/>
    <w:rsid w:val="004B3D1D"/>
    <w:rsid w:val="004B3D6A"/>
    <w:rsid w:val="004B41FD"/>
    <w:rsid w:val="004B4BBD"/>
    <w:rsid w:val="004B5326"/>
    <w:rsid w:val="004B58D3"/>
    <w:rsid w:val="004B5A5B"/>
    <w:rsid w:val="004B5FD7"/>
    <w:rsid w:val="004B6007"/>
    <w:rsid w:val="004B6234"/>
    <w:rsid w:val="004B63F2"/>
    <w:rsid w:val="004B650D"/>
    <w:rsid w:val="004B6FBA"/>
    <w:rsid w:val="004B7089"/>
    <w:rsid w:val="004B7553"/>
    <w:rsid w:val="004B7B2B"/>
    <w:rsid w:val="004B7D5E"/>
    <w:rsid w:val="004B7E2C"/>
    <w:rsid w:val="004C0421"/>
    <w:rsid w:val="004C0511"/>
    <w:rsid w:val="004C087D"/>
    <w:rsid w:val="004C0BEC"/>
    <w:rsid w:val="004C0D9D"/>
    <w:rsid w:val="004C0E61"/>
    <w:rsid w:val="004C0E65"/>
    <w:rsid w:val="004C135D"/>
    <w:rsid w:val="004C1A90"/>
    <w:rsid w:val="004C22DE"/>
    <w:rsid w:val="004C2388"/>
    <w:rsid w:val="004C23DA"/>
    <w:rsid w:val="004C2612"/>
    <w:rsid w:val="004C2758"/>
    <w:rsid w:val="004C4323"/>
    <w:rsid w:val="004C45E4"/>
    <w:rsid w:val="004C5461"/>
    <w:rsid w:val="004C5705"/>
    <w:rsid w:val="004C5EAC"/>
    <w:rsid w:val="004C6B1A"/>
    <w:rsid w:val="004C754E"/>
    <w:rsid w:val="004C75EC"/>
    <w:rsid w:val="004C7996"/>
    <w:rsid w:val="004C799A"/>
    <w:rsid w:val="004C7B88"/>
    <w:rsid w:val="004C7E28"/>
    <w:rsid w:val="004C7EEE"/>
    <w:rsid w:val="004D0153"/>
    <w:rsid w:val="004D0188"/>
    <w:rsid w:val="004D046A"/>
    <w:rsid w:val="004D0553"/>
    <w:rsid w:val="004D05B5"/>
    <w:rsid w:val="004D0671"/>
    <w:rsid w:val="004D0823"/>
    <w:rsid w:val="004D0C3D"/>
    <w:rsid w:val="004D0DCD"/>
    <w:rsid w:val="004D123C"/>
    <w:rsid w:val="004D12C4"/>
    <w:rsid w:val="004D147E"/>
    <w:rsid w:val="004D1704"/>
    <w:rsid w:val="004D189B"/>
    <w:rsid w:val="004D203C"/>
    <w:rsid w:val="004D2936"/>
    <w:rsid w:val="004D2A32"/>
    <w:rsid w:val="004D2B1C"/>
    <w:rsid w:val="004D2C0A"/>
    <w:rsid w:val="004D3115"/>
    <w:rsid w:val="004D355F"/>
    <w:rsid w:val="004D3F72"/>
    <w:rsid w:val="004D408D"/>
    <w:rsid w:val="004D434B"/>
    <w:rsid w:val="004D4691"/>
    <w:rsid w:val="004D487E"/>
    <w:rsid w:val="004D4AF9"/>
    <w:rsid w:val="004D4DA3"/>
    <w:rsid w:val="004D4ED9"/>
    <w:rsid w:val="004D4FEF"/>
    <w:rsid w:val="004D5063"/>
    <w:rsid w:val="004D5640"/>
    <w:rsid w:val="004D56E7"/>
    <w:rsid w:val="004D5D96"/>
    <w:rsid w:val="004D5F09"/>
    <w:rsid w:val="004D6B37"/>
    <w:rsid w:val="004D6C5D"/>
    <w:rsid w:val="004D6CD3"/>
    <w:rsid w:val="004D6CD7"/>
    <w:rsid w:val="004D6EAC"/>
    <w:rsid w:val="004D76C0"/>
    <w:rsid w:val="004D796A"/>
    <w:rsid w:val="004D7D21"/>
    <w:rsid w:val="004D7E65"/>
    <w:rsid w:val="004D7EE5"/>
    <w:rsid w:val="004D7F24"/>
    <w:rsid w:val="004E002E"/>
    <w:rsid w:val="004E0249"/>
    <w:rsid w:val="004E030F"/>
    <w:rsid w:val="004E051D"/>
    <w:rsid w:val="004E07CA"/>
    <w:rsid w:val="004E098B"/>
    <w:rsid w:val="004E0B28"/>
    <w:rsid w:val="004E0BA6"/>
    <w:rsid w:val="004E1BFA"/>
    <w:rsid w:val="004E20E0"/>
    <w:rsid w:val="004E249F"/>
    <w:rsid w:val="004E2578"/>
    <w:rsid w:val="004E28C6"/>
    <w:rsid w:val="004E2FFE"/>
    <w:rsid w:val="004E311C"/>
    <w:rsid w:val="004E312C"/>
    <w:rsid w:val="004E35BD"/>
    <w:rsid w:val="004E3B34"/>
    <w:rsid w:val="004E3E13"/>
    <w:rsid w:val="004E3E20"/>
    <w:rsid w:val="004E433B"/>
    <w:rsid w:val="004E4700"/>
    <w:rsid w:val="004E480A"/>
    <w:rsid w:val="004E597F"/>
    <w:rsid w:val="004E59E7"/>
    <w:rsid w:val="004E5B35"/>
    <w:rsid w:val="004E60D0"/>
    <w:rsid w:val="004E6603"/>
    <w:rsid w:val="004E68E8"/>
    <w:rsid w:val="004E72D9"/>
    <w:rsid w:val="004E794A"/>
    <w:rsid w:val="004E7981"/>
    <w:rsid w:val="004E7C6A"/>
    <w:rsid w:val="004F01EC"/>
    <w:rsid w:val="004F0597"/>
    <w:rsid w:val="004F0D7B"/>
    <w:rsid w:val="004F0D8B"/>
    <w:rsid w:val="004F1135"/>
    <w:rsid w:val="004F1331"/>
    <w:rsid w:val="004F1FB6"/>
    <w:rsid w:val="004F1FD4"/>
    <w:rsid w:val="004F224C"/>
    <w:rsid w:val="004F2E77"/>
    <w:rsid w:val="004F377A"/>
    <w:rsid w:val="004F3F95"/>
    <w:rsid w:val="004F4162"/>
    <w:rsid w:val="004F4F63"/>
    <w:rsid w:val="004F50DB"/>
    <w:rsid w:val="004F588F"/>
    <w:rsid w:val="004F5A62"/>
    <w:rsid w:val="004F6275"/>
    <w:rsid w:val="004F6447"/>
    <w:rsid w:val="004F68E9"/>
    <w:rsid w:val="004F6B6F"/>
    <w:rsid w:val="004F6BE9"/>
    <w:rsid w:val="004F6CD3"/>
    <w:rsid w:val="004F6CEB"/>
    <w:rsid w:val="004F72F5"/>
    <w:rsid w:val="004F7412"/>
    <w:rsid w:val="004F78D1"/>
    <w:rsid w:val="005004D2"/>
    <w:rsid w:val="005004EE"/>
    <w:rsid w:val="0050052A"/>
    <w:rsid w:val="0050067F"/>
    <w:rsid w:val="00500CC7"/>
    <w:rsid w:val="00500E6E"/>
    <w:rsid w:val="00501569"/>
    <w:rsid w:val="00501AF9"/>
    <w:rsid w:val="00501D1D"/>
    <w:rsid w:val="00501EFC"/>
    <w:rsid w:val="00501F33"/>
    <w:rsid w:val="005020C5"/>
    <w:rsid w:val="00502226"/>
    <w:rsid w:val="005022CF"/>
    <w:rsid w:val="00502306"/>
    <w:rsid w:val="00502700"/>
    <w:rsid w:val="00503175"/>
    <w:rsid w:val="005036B3"/>
    <w:rsid w:val="0050376E"/>
    <w:rsid w:val="00503FBC"/>
    <w:rsid w:val="00504610"/>
    <w:rsid w:val="0050475B"/>
    <w:rsid w:val="00504E48"/>
    <w:rsid w:val="005050A3"/>
    <w:rsid w:val="00505132"/>
    <w:rsid w:val="005054DE"/>
    <w:rsid w:val="00505A0B"/>
    <w:rsid w:val="0050606D"/>
    <w:rsid w:val="00506153"/>
    <w:rsid w:val="0050682E"/>
    <w:rsid w:val="00506E0E"/>
    <w:rsid w:val="00506F8E"/>
    <w:rsid w:val="005072B1"/>
    <w:rsid w:val="005072EB"/>
    <w:rsid w:val="00507460"/>
    <w:rsid w:val="00507538"/>
    <w:rsid w:val="00507581"/>
    <w:rsid w:val="00507805"/>
    <w:rsid w:val="00510818"/>
    <w:rsid w:val="00511366"/>
    <w:rsid w:val="00511CE7"/>
    <w:rsid w:val="00512087"/>
    <w:rsid w:val="00512118"/>
    <w:rsid w:val="0051297A"/>
    <w:rsid w:val="0051368D"/>
    <w:rsid w:val="005139BB"/>
    <w:rsid w:val="00513C6A"/>
    <w:rsid w:val="00513DDA"/>
    <w:rsid w:val="005144A1"/>
    <w:rsid w:val="00514735"/>
    <w:rsid w:val="005149F6"/>
    <w:rsid w:val="00514B75"/>
    <w:rsid w:val="005155E3"/>
    <w:rsid w:val="005156D1"/>
    <w:rsid w:val="00515865"/>
    <w:rsid w:val="005159A9"/>
    <w:rsid w:val="00515F7B"/>
    <w:rsid w:val="00516519"/>
    <w:rsid w:val="00516E9C"/>
    <w:rsid w:val="00517447"/>
    <w:rsid w:val="0051782F"/>
    <w:rsid w:val="00517C99"/>
    <w:rsid w:val="00517D24"/>
    <w:rsid w:val="00517D94"/>
    <w:rsid w:val="00517F84"/>
    <w:rsid w:val="00517FD7"/>
    <w:rsid w:val="005202D5"/>
    <w:rsid w:val="00520858"/>
    <w:rsid w:val="00520B53"/>
    <w:rsid w:val="00520EEB"/>
    <w:rsid w:val="005210CE"/>
    <w:rsid w:val="00521322"/>
    <w:rsid w:val="00521C18"/>
    <w:rsid w:val="00522293"/>
    <w:rsid w:val="00522AE6"/>
    <w:rsid w:val="00522BD2"/>
    <w:rsid w:val="00522C57"/>
    <w:rsid w:val="00523161"/>
    <w:rsid w:val="00523174"/>
    <w:rsid w:val="00523A00"/>
    <w:rsid w:val="00523BCB"/>
    <w:rsid w:val="005251B0"/>
    <w:rsid w:val="0052553B"/>
    <w:rsid w:val="00525545"/>
    <w:rsid w:val="00525B0F"/>
    <w:rsid w:val="00525CCC"/>
    <w:rsid w:val="005262A4"/>
    <w:rsid w:val="00526718"/>
    <w:rsid w:val="005269D8"/>
    <w:rsid w:val="00526A09"/>
    <w:rsid w:val="00526D85"/>
    <w:rsid w:val="00527316"/>
    <w:rsid w:val="00527855"/>
    <w:rsid w:val="005278FD"/>
    <w:rsid w:val="00527CAE"/>
    <w:rsid w:val="00527E8B"/>
    <w:rsid w:val="0053018B"/>
    <w:rsid w:val="00530715"/>
    <w:rsid w:val="00530A84"/>
    <w:rsid w:val="00531191"/>
    <w:rsid w:val="005318AB"/>
    <w:rsid w:val="00531BA7"/>
    <w:rsid w:val="00531F4B"/>
    <w:rsid w:val="005327AB"/>
    <w:rsid w:val="005336B5"/>
    <w:rsid w:val="005338AE"/>
    <w:rsid w:val="00533ADC"/>
    <w:rsid w:val="00533D49"/>
    <w:rsid w:val="00534142"/>
    <w:rsid w:val="005343EC"/>
    <w:rsid w:val="005348B5"/>
    <w:rsid w:val="00534C25"/>
    <w:rsid w:val="005355CB"/>
    <w:rsid w:val="005357A0"/>
    <w:rsid w:val="0053607D"/>
    <w:rsid w:val="005362AE"/>
    <w:rsid w:val="00537328"/>
    <w:rsid w:val="00537CED"/>
    <w:rsid w:val="00537D60"/>
    <w:rsid w:val="005405D4"/>
    <w:rsid w:val="00541CA7"/>
    <w:rsid w:val="005423A0"/>
    <w:rsid w:val="00542581"/>
    <w:rsid w:val="005425D1"/>
    <w:rsid w:val="00542797"/>
    <w:rsid w:val="0054363B"/>
    <w:rsid w:val="005438BA"/>
    <w:rsid w:val="00543F5C"/>
    <w:rsid w:val="005442BA"/>
    <w:rsid w:val="00544942"/>
    <w:rsid w:val="00544E0A"/>
    <w:rsid w:val="00545053"/>
    <w:rsid w:val="0054598E"/>
    <w:rsid w:val="00545BF4"/>
    <w:rsid w:val="00546056"/>
    <w:rsid w:val="0054680D"/>
    <w:rsid w:val="00546A1E"/>
    <w:rsid w:val="00546C7C"/>
    <w:rsid w:val="0054784D"/>
    <w:rsid w:val="00547859"/>
    <w:rsid w:val="005504F3"/>
    <w:rsid w:val="005507AD"/>
    <w:rsid w:val="00550829"/>
    <w:rsid w:val="00550EF7"/>
    <w:rsid w:val="0055129D"/>
    <w:rsid w:val="00551545"/>
    <w:rsid w:val="00551B1F"/>
    <w:rsid w:val="00552F61"/>
    <w:rsid w:val="005532CB"/>
    <w:rsid w:val="0055382B"/>
    <w:rsid w:val="0055396A"/>
    <w:rsid w:val="00553BF4"/>
    <w:rsid w:val="00553D58"/>
    <w:rsid w:val="005545FD"/>
    <w:rsid w:val="00554965"/>
    <w:rsid w:val="00554FDA"/>
    <w:rsid w:val="00555254"/>
    <w:rsid w:val="0055586A"/>
    <w:rsid w:val="005559CF"/>
    <w:rsid w:val="00555D2D"/>
    <w:rsid w:val="0055637D"/>
    <w:rsid w:val="005568C3"/>
    <w:rsid w:val="0055709D"/>
    <w:rsid w:val="00557273"/>
    <w:rsid w:val="005574A9"/>
    <w:rsid w:val="00557572"/>
    <w:rsid w:val="005577CA"/>
    <w:rsid w:val="005578B7"/>
    <w:rsid w:val="00557A36"/>
    <w:rsid w:val="00557DA2"/>
    <w:rsid w:val="00557EAD"/>
    <w:rsid w:val="00560D77"/>
    <w:rsid w:val="00560E5C"/>
    <w:rsid w:val="00560F67"/>
    <w:rsid w:val="00561026"/>
    <w:rsid w:val="005611F1"/>
    <w:rsid w:val="00561D52"/>
    <w:rsid w:val="00562546"/>
    <w:rsid w:val="0056256C"/>
    <w:rsid w:val="00562A3A"/>
    <w:rsid w:val="00562E1E"/>
    <w:rsid w:val="005633FF"/>
    <w:rsid w:val="00563479"/>
    <w:rsid w:val="00563509"/>
    <w:rsid w:val="00563582"/>
    <w:rsid w:val="00563D0D"/>
    <w:rsid w:val="00563D6A"/>
    <w:rsid w:val="005640F7"/>
    <w:rsid w:val="00564CCB"/>
    <w:rsid w:val="005657A3"/>
    <w:rsid w:val="00566021"/>
    <w:rsid w:val="005665BA"/>
    <w:rsid w:val="00566AEA"/>
    <w:rsid w:val="00567D27"/>
    <w:rsid w:val="00567D91"/>
    <w:rsid w:val="00570005"/>
    <w:rsid w:val="00570007"/>
    <w:rsid w:val="00570084"/>
    <w:rsid w:val="005703C0"/>
    <w:rsid w:val="0057093E"/>
    <w:rsid w:val="00570D24"/>
    <w:rsid w:val="0057136E"/>
    <w:rsid w:val="00571947"/>
    <w:rsid w:val="00571E01"/>
    <w:rsid w:val="0057215A"/>
    <w:rsid w:val="00572DC2"/>
    <w:rsid w:val="00573036"/>
    <w:rsid w:val="005733A2"/>
    <w:rsid w:val="00573F09"/>
    <w:rsid w:val="00574AC3"/>
    <w:rsid w:val="00574B89"/>
    <w:rsid w:val="0057521E"/>
    <w:rsid w:val="005753C3"/>
    <w:rsid w:val="00575CCC"/>
    <w:rsid w:val="00575DD9"/>
    <w:rsid w:val="00575F42"/>
    <w:rsid w:val="0057660E"/>
    <w:rsid w:val="00576828"/>
    <w:rsid w:val="00576837"/>
    <w:rsid w:val="005768EB"/>
    <w:rsid w:val="00576AAA"/>
    <w:rsid w:val="0057706A"/>
    <w:rsid w:val="005772A5"/>
    <w:rsid w:val="00577E23"/>
    <w:rsid w:val="00577FFE"/>
    <w:rsid w:val="005800BA"/>
    <w:rsid w:val="005808BF"/>
    <w:rsid w:val="005814AC"/>
    <w:rsid w:val="00581BAE"/>
    <w:rsid w:val="00581C4E"/>
    <w:rsid w:val="00581DD9"/>
    <w:rsid w:val="00582303"/>
    <w:rsid w:val="0058242B"/>
    <w:rsid w:val="00582503"/>
    <w:rsid w:val="00582ECC"/>
    <w:rsid w:val="0058382F"/>
    <w:rsid w:val="005849A2"/>
    <w:rsid w:val="00584BEA"/>
    <w:rsid w:val="00584C3B"/>
    <w:rsid w:val="0058556D"/>
    <w:rsid w:val="00586090"/>
    <w:rsid w:val="00586396"/>
    <w:rsid w:val="0058649E"/>
    <w:rsid w:val="005869EF"/>
    <w:rsid w:val="0058704D"/>
    <w:rsid w:val="0058721B"/>
    <w:rsid w:val="00590220"/>
    <w:rsid w:val="00590385"/>
    <w:rsid w:val="0059060F"/>
    <w:rsid w:val="005907BC"/>
    <w:rsid w:val="005909D9"/>
    <w:rsid w:val="005909F7"/>
    <w:rsid w:val="00590EC7"/>
    <w:rsid w:val="00590F9C"/>
    <w:rsid w:val="00591177"/>
    <w:rsid w:val="005912B4"/>
    <w:rsid w:val="005917AB"/>
    <w:rsid w:val="005926D7"/>
    <w:rsid w:val="005935BF"/>
    <w:rsid w:val="00593760"/>
    <w:rsid w:val="00593804"/>
    <w:rsid w:val="00593D34"/>
    <w:rsid w:val="005940EA"/>
    <w:rsid w:val="00594581"/>
    <w:rsid w:val="00594731"/>
    <w:rsid w:val="005948C7"/>
    <w:rsid w:val="00595040"/>
    <w:rsid w:val="00595985"/>
    <w:rsid w:val="00595A89"/>
    <w:rsid w:val="00596675"/>
    <w:rsid w:val="005967BB"/>
    <w:rsid w:val="00596812"/>
    <w:rsid w:val="00596CB9"/>
    <w:rsid w:val="00596E44"/>
    <w:rsid w:val="00596ECB"/>
    <w:rsid w:val="005971C1"/>
    <w:rsid w:val="00597268"/>
    <w:rsid w:val="00597CA7"/>
    <w:rsid w:val="00597EEB"/>
    <w:rsid w:val="005A013A"/>
    <w:rsid w:val="005A0164"/>
    <w:rsid w:val="005A02B8"/>
    <w:rsid w:val="005A0380"/>
    <w:rsid w:val="005A0493"/>
    <w:rsid w:val="005A07DB"/>
    <w:rsid w:val="005A1255"/>
    <w:rsid w:val="005A12B9"/>
    <w:rsid w:val="005A15E2"/>
    <w:rsid w:val="005A16EB"/>
    <w:rsid w:val="005A1C57"/>
    <w:rsid w:val="005A1C85"/>
    <w:rsid w:val="005A1E39"/>
    <w:rsid w:val="005A2B25"/>
    <w:rsid w:val="005A323F"/>
    <w:rsid w:val="005A3BA1"/>
    <w:rsid w:val="005A3BAF"/>
    <w:rsid w:val="005A4060"/>
    <w:rsid w:val="005A42FC"/>
    <w:rsid w:val="005A4B95"/>
    <w:rsid w:val="005A4E8E"/>
    <w:rsid w:val="005A4FCD"/>
    <w:rsid w:val="005A5064"/>
    <w:rsid w:val="005A57F4"/>
    <w:rsid w:val="005A5A44"/>
    <w:rsid w:val="005A655A"/>
    <w:rsid w:val="005A6FC3"/>
    <w:rsid w:val="005A702C"/>
    <w:rsid w:val="005A77A9"/>
    <w:rsid w:val="005A78C2"/>
    <w:rsid w:val="005A7BBA"/>
    <w:rsid w:val="005A7C9A"/>
    <w:rsid w:val="005B00C6"/>
    <w:rsid w:val="005B0409"/>
    <w:rsid w:val="005B049D"/>
    <w:rsid w:val="005B083A"/>
    <w:rsid w:val="005B0B15"/>
    <w:rsid w:val="005B11D4"/>
    <w:rsid w:val="005B156B"/>
    <w:rsid w:val="005B19D4"/>
    <w:rsid w:val="005B1E9C"/>
    <w:rsid w:val="005B1EFA"/>
    <w:rsid w:val="005B1FDF"/>
    <w:rsid w:val="005B2199"/>
    <w:rsid w:val="005B21C5"/>
    <w:rsid w:val="005B26A8"/>
    <w:rsid w:val="005B26C7"/>
    <w:rsid w:val="005B3B67"/>
    <w:rsid w:val="005B3E77"/>
    <w:rsid w:val="005B4DEE"/>
    <w:rsid w:val="005B521E"/>
    <w:rsid w:val="005B7427"/>
    <w:rsid w:val="005B7489"/>
    <w:rsid w:val="005B748C"/>
    <w:rsid w:val="005B7B9B"/>
    <w:rsid w:val="005B7C4E"/>
    <w:rsid w:val="005C029B"/>
    <w:rsid w:val="005C0513"/>
    <w:rsid w:val="005C07B6"/>
    <w:rsid w:val="005C0E1A"/>
    <w:rsid w:val="005C112A"/>
    <w:rsid w:val="005C116B"/>
    <w:rsid w:val="005C165A"/>
    <w:rsid w:val="005C1734"/>
    <w:rsid w:val="005C1A4F"/>
    <w:rsid w:val="005C2BEC"/>
    <w:rsid w:val="005C311A"/>
    <w:rsid w:val="005C3473"/>
    <w:rsid w:val="005C349E"/>
    <w:rsid w:val="005C3933"/>
    <w:rsid w:val="005C4551"/>
    <w:rsid w:val="005C4840"/>
    <w:rsid w:val="005C4BC3"/>
    <w:rsid w:val="005C4BED"/>
    <w:rsid w:val="005C5180"/>
    <w:rsid w:val="005C5890"/>
    <w:rsid w:val="005C58A4"/>
    <w:rsid w:val="005C5E35"/>
    <w:rsid w:val="005C61C3"/>
    <w:rsid w:val="005C641B"/>
    <w:rsid w:val="005C641D"/>
    <w:rsid w:val="005C6BB4"/>
    <w:rsid w:val="005C76FB"/>
    <w:rsid w:val="005C77A6"/>
    <w:rsid w:val="005C7F1C"/>
    <w:rsid w:val="005C7F6A"/>
    <w:rsid w:val="005D0BC6"/>
    <w:rsid w:val="005D0D8E"/>
    <w:rsid w:val="005D1F1D"/>
    <w:rsid w:val="005D2634"/>
    <w:rsid w:val="005D264D"/>
    <w:rsid w:val="005D28AB"/>
    <w:rsid w:val="005D28BF"/>
    <w:rsid w:val="005D2CDE"/>
    <w:rsid w:val="005D2F1C"/>
    <w:rsid w:val="005D2F7A"/>
    <w:rsid w:val="005D3051"/>
    <w:rsid w:val="005D339F"/>
    <w:rsid w:val="005D3561"/>
    <w:rsid w:val="005D36E3"/>
    <w:rsid w:val="005D3974"/>
    <w:rsid w:val="005D3CFD"/>
    <w:rsid w:val="005D41F6"/>
    <w:rsid w:val="005D47A4"/>
    <w:rsid w:val="005D47F4"/>
    <w:rsid w:val="005D4E73"/>
    <w:rsid w:val="005D516F"/>
    <w:rsid w:val="005D56BF"/>
    <w:rsid w:val="005D6092"/>
    <w:rsid w:val="005D69CC"/>
    <w:rsid w:val="005D6DFF"/>
    <w:rsid w:val="005D6F09"/>
    <w:rsid w:val="005D75A0"/>
    <w:rsid w:val="005D765C"/>
    <w:rsid w:val="005D7897"/>
    <w:rsid w:val="005D794D"/>
    <w:rsid w:val="005D7C5B"/>
    <w:rsid w:val="005D7DCD"/>
    <w:rsid w:val="005E0902"/>
    <w:rsid w:val="005E0CD0"/>
    <w:rsid w:val="005E0E06"/>
    <w:rsid w:val="005E0F0F"/>
    <w:rsid w:val="005E10D2"/>
    <w:rsid w:val="005E12DF"/>
    <w:rsid w:val="005E175E"/>
    <w:rsid w:val="005E1791"/>
    <w:rsid w:val="005E1852"/>
    <w:rsid w:val="005E1B89"/>
    <w:rsid w:val="005E1CE6"/>
    <w:rsid w:val="005E1F13"/>
    <w:rsid w:val="005E1FE9"/>
    <w:rsid w:val="005E1FEF"/>
    <w:rsid w:val="005E22F7"/>
    <w:rsid w:val="005E263F"/>
    <w:rsid w:val="005E2AB9"/>
    <w:rsid w:val="005E2D45"/>
    <w:rsid w:val="005E2E24"/>
    <w:rsid w:val="005E30F6"/>
    <w:rsid w:val="005E3691"/>
    <w:rsid w:val="005E36DF"/>
    <w:rsid w:val="005E3D78"/>
    <w:rsid w:val="005E3E87"/>
    <w:rsid w:val="005E4591"/>
    <w:rsid w:val="005E495A"/>
    <w:rsid w:val="005E50B5"/>
    <w:rsid w:val="005E5AF4"/>
    <w:rsid w:val="005E5FAD"/>
    <w:rsid w:val="005E688A"/>
    <w:rsid w:val="005E7025"/>
    <w:rsid w:val="005E7036"/>
    <w:rsid w:val="005E7294"/>
    <w:rsid w:val="005E72BE"/>
    <w:rsid w:val="005E77A4"/>
    <w:rsid w:val="005E78BE"/>
    <w:rsid w:val="005E7BEC"/>
    <w:rsid w:val="005E7D92"/>
    <w:rsid w:val="005F012F"/>
    <w:rsid w:val="005F0779"/>
    <w:rsid w:val="005F1087"/>
    <w:rsid w:val="005F1995"/>
    <w:rsid w:val="005F22A4"/>
    <w:rsid w:val="005F2359"/>
    <w:rsid w:val="005F2A68"/>
    <w:rsid w:val="005F2BFC"/>
    <w:rsid w:val="005F3344"/>
    <w:rsid w:val="005F3667"/>
    <w:rsid w:val="005F37A4"/>
    <w:rsid w:val="005F3A16"/>
    <w:rsid w:val="005F3B10"/>
    <w:rsid w:val="005F3FF0"/>
    <w:rsid w:val="005F4113"/>
    <w:rsid w:val="005F4278"/>
    <w:rsid w:val="005F450F"/>
    <w:rsid w:val="005F46E5"/>
    <w:rsid w:val="005F4A10"/>
    <w:rsid w:val="005F4BB5"/>
    <w:rsid w:val="005F4EFC"/>
    <w:rsid w:val="005F5673"/>
    <w:rsid w:val="005F5C26"/>
    <w:rsid w:val="005F5C90"/>
    <w:rsid w:val="005F6506"/>
    <w:rsid w:val="005F75F7"/>
    <w:rsid w:val="006004DC"/>
    <w:rsid w:val="0060060E"/>
    <w:rsid w:val="006007A5"/>
    <w:rsid w:val="00600C4B"/>
    <w:rsid w:val="006018B3"/>
    <w:rsid w:val="00601E6A"/>
    <w:rsid w:val="006022CB"/>
    <w:rsid w:val="00602650"/>
    <w:rsid w:val="00602CC1"/>
    <w:rsid w:val="00602D5A"/>
    <w:rsid w:val="00603665"/>
    <w:rsid w:val="00603BA9"/>
    <w:rsid w:val="006045A2"/>
    <w:rsid w:val="006046DC"/>
    <w:rsid w:val="00604A70"/>
    <w:rsid w:val="00604A96"/>
    <w:rsid w:val="00604B4A"/>
    <w:rsid w:val="0060598D"/>
    <w:rsid w:val="00605A25"/>
    <w:rsid w:val="00605DCF"/>
    <w:rsid w:val="00605ECE"/>
    <w:rsid w:val="00606060"/>
    <w:rsid w:val="006062C6"/>
    <w:rsid w:val="006063E2"/>
    <w:rsid w:val="0060685A"/>
    <w:rsid w:val="00606C92"/>
    <w:rsid w:val="00606FBE"/>
    <w:rsid w:val="006073AA"/>
    <w:rsid w:val="006074B6"/>
    <w:rsid w:val="00607C7B"/>
    <w:rsid w:val="00607D00"/>
    <w:rsid w:val="00607D37"/>
    <w:rsid w:val="00607EA6"/>
    <w:rsid w:val="00607F01"/>
    <w:rsid w:val="0061007A"/>
    <w:rsid w:val="006101BB"/>
    <w:rsid w:val="006102F6"/>
    <w:rsid w:val="00610504"/>
    <w:rsid w:val="006109AB"/>
    <w:rsid w:val="00610B3C"/>
    <w:rsid w:val="00611022"/>
    <w:rsid w:val="00612000"/>
    <w:rsid w:val="006125FE"/>
    <w:rsid w:val="00612B78"/>
    <w:rsid w:val="00612BA1"/>
    <w:rsid w:val="00612E96"/>
    <w:rsid w:val="00612FE5"/>
    <w:rsid w:val="006132D9"/>
    <w:rsid w:val="006139C2"/>
    <w:rsid w:val="00613B89"/>
    <w:rsid w:val="00613CD4"/>
    <w:rsid w:val="00614115"/>
    <w:rsid w:val="006142D6"/>
    <w:rsid w:val="00614F06"/>
    <w:rsid w:val="00615C2E"/>
    <w:rsid w:val="00615C3D"/>
    <w:rsid w:val="00615F91"/>
    <w:rsid w:val="00616427"/>
    <w:rsid w:val="0061647D"/>
    <w:rsid w:val="0061700D"/>
    <w:rsid w:val="0061724D"/>
    <w:rsid w:val="00617730"/>
    <w:rsid w:val="006178DA"/>
    <w:rsid w:val="00617EBA"/>
    <w:rsid w:val="006204F3"/>
    <w:rsid w:val="00620871"/>
    <w:rsid w:val="00621139"/>
    <w:rsid w:val="006214A5"/>
    <w:rsid w:val="006216C4"/>
    <w:rsid w:val="00621C12"/>
    <w:rsid w:val="00621E28"/>
    <w:rsid w:val="0062349A"/>
    <w:rsid w:val="006234F6"/>
    <w:rsid w:val="00623541"/>
    <w:rsid w:val="0062362A"/>
    <w:rsid w:val="00624605"/>
    <w:rsid w:val="00624B41"/>
    <w:rsid w:val="00624BF0"/>
    <w:rsid w:val="0062556D"/>
    <w:rsid w:val="006259DB"/>
    <w:rsid w:val="00625AE0"/>
    <w:rsid w:val="00626240"/>
    <w:rsid w:val="006269FF"/>
    <w:rsid w:val="00626B2F"/>
    <w:rsid w:val="00626E95"/>
    <w:rsid w:val="00626ED8"/>
    <w:rsid w:val="00626F34"/>
    <w:rsid w:val="00626F5B"/>
    <w:rsid w:val="00627817"/>
    <w:rsid w:val="0062785B"/>
    <w:rsid w:val="00627BFE"/>
    <w:rsid w:val="00627FF0"/>
    <w:rsid w:val="006300B0"/>
    <w:rsid w:val="006300F5"/>
    <w:rsid w:val="0063052F"/>
    <w:rsid w:val="006307C3"/>
    <w:rsid w:val="00630A48"/>
    <w:rsid w:val="00630B7C"/>
    <w:rsid w:val="00630F10"/>
    <w:rsid w:val="0063235E"/>
    <w:rsid w:val="0063262A"/>
    <w:rsid w:val="0063263B"/>
    <w:rsid w:val="00632AC3"/>
    <w:rsid w:val="00632CF4"/>
    <w:rsid w:val="00633163"/>
    <w:rsid w:val="00633585"/>
    <w:rsid w:val="00633829"/>
    <w:rsid w:val="00633990"/>
    <w:rsid w:val="0063423A"/>
    <w:rsid w:val="00634273"/>
    <w:rsid w:val="00634BAB"/>
    <w:rsid w:val="00634C9B"/>
    <w:rsid w:val="00635178"/>
    <w:rsid w:val="00635505"/>
    <w:rsid w:val="00635A02"/>
    <w:rsid w:val="00636507"/>
    <w:rsid w:val="006366E3"/>
    <w:rsid w:val="0063683C"/>
    <w:rsid w:val="00636D37"/>
    <w:rsid w:val="0063702A"/>
    <w:rsid w:val="00637030"/>
    <w:rsid w:val="0063779C"/>
    <w:rsid w:val="00637ECA"/>
    <w:rsid w:val="00640501"/>
    <w:rsid w:val="00640552"/>
    <w:rsid w:val="00640B2C"/>
    <w:rsid w:val="00640CB0"/>
    <w:rsid w:val="00640FCF"/>
    <w:rsid w:val="0064127D"/>
    <w:rsid w:val="00641743"/>
    <w:rsid w:val="00641C3F"/>
    <w:rsid w:val="00641D02"/>
    <w:rsid w:val="00641DBF"/>
    <w:rsid w:val="00641F28"/>
    <w:rsid w:val="006427EE"/>
    <w:rsid w:val="00642935"/>
    <w:rsid w:val="00642B19"/>
    <w:rsid w:val="00642F76"/>
    <w:rsid w:val="00643262"/>
    <w:rsid w:val="00643304"/>
    <w:rsid w:val="00643480"/>
    <w:rsid w:val="0064378D"/>
    <w:rsid w:val="00643CC1"/>
    <w:rsid w:val="006442E5"/>
    <w:rsid w:val="0064451C"/>
    <w:rsid w:val="00644548"/>
    <w:rsid w:val="00645314"/>
    <w:rsid w:val="00645879"/>
    <w:rsid w:val="00645D7A"/>
    <w:rsid w:val="00645F66"/>
    <w:rsid w:val="006461D7"/>
    <w:rsid w:val="00646A1D"/>
    <w:rsid w:val="00650068"/>
    <w:rsid w:val="006501B1"/>
    <w:rsid w:val="00650298"/>
    <w:rsid w:val="00650794"/>
    <w:rsid w:val="006509E4"/>
    <w:rsid w:val="00650E7F"/>
    <w:rsid w:val="00650F19"/>
    <w:rsid w:val="006517BA"/>
    <w:rsid w:val="00651A87"/>
    <w:rsid w:val="00651AD3"/>
    <w:rsid w:val="006522D4"/>
    <w:rsid w:val="00653C04"/>
    <w:rsid w:val="00653E8D"/>
    <w:rsid w:val="00654AA0"/>
    <w:rsid w:val="00654AB5"/>
    <w:rsid w:val="006551AC"/>
    <w:rsid w:val="006555F6"/>
    <w:rsid w:val="00655E42"/>
    <w:rsid w:val="00655FA2"/>
    <w:rsid w:val="0065600E"/>
    <w:rsid w:val="0065666B"/>
    <w:rsid w:val="00656911"/>
    <w:rsid w:val="00656D11"/>
    <w:rsid w:val="00656F35"/>
    <w:rsid w:val="0065700F"/>
    <w:rsid w:val="00657422"/>
    <w:rsid w:val="00657830"/>
    <w:rsid w:val="0065784B"/>
    <w:rsid w:val="00657B20"/>
    <w:rsid w:val="00657E2F"/>
    <w:rsid w:val="00657E63"/>
    <w:rsid w:val="0066045A"/>
    <w:rsid w:val="00660D14"/>
    <w:rsid w:val="006610E5"/>
    <w:rsid w:val="006612B2"/>
    <w:rsid w:val="006615DA"/>
    <w:rsid w:val="00661606"/>
    <w:rsid w:val="006616AB"/>
    <w:rsid w:val="00662271"/>
    <w:rsid w:val="00662342"/>
    <w:rsid w:val="00662385"/>
    <w:rsid w:val="006625B5"/>
    <w:rsid w:val="00662639"/>
    <w:rsid w:val="00662E62"/>
    <w:rsid w:val="0066348A"/>
    <w:rsid w:val="00664035"/>
    <w:rsid w:val="00664A18"/>
    <w:rsid w:val="00664A60"/>
    <w:rsid w:val="00664BBB"/>
    <w:rsid w:val="00665000"/>
    <w:rsid w:val="00665576"/>
    <w:rsid w:val="00667422"/>
    <w:rsid w:val="0066749D"/>
    <w:rsid w:val="006679B3"/>
    <w:rsid w:val="00667D78"/>
    <w:rsid w:val="00667ED8"/>
    <w:rsid w:val="0067084D"/>
    <w:rsid w:val="006709BD"/>
    <w:rsid w:val="00670A4E"/>
    <w:rsid w:val="00670E80"/>
    <w:rsid w:val="00670EAA"/>
    <w:rsid w:val="00671097"/>
    <w:rsid w:val="00671365"/>
    <w:rsid w:val="0067154F"/>
    <w:rsid w:val="006718A3"/>
    <w:rsid w:val="00671BE8"/>
    <w:rsid w:val="00671C9F"/>
    <w:rsid w:val="0067207B"/>
    <w:rsid w:val="00672173"/>
    <w:rsid w:val="00672413"/>
    <w:rsid w:val="0067304D"/>
    <w:rsid w:val="006730D2"/>
    <w:rsid w:val="0067325C"/>
    <w:rsid w:val="00673EEE"/>
    <w:rsid w:val="006740C5"/>
    <w:rsid w:val="00674127"/>
    <w:rsid w:val="00674390"/>
    <w:rsid w:val="006743D2"/>
    <w:rsid w:val="00674533"/>
    <w:rsid w:val="00674627"/>
    <w:rsid w:val="00674F2F"/>
    <w:rsid w:val="00674F97"/>
    <w:rsid w:val="00675043"/>
    <w:rsid w:val="00675437"/>
    <w:rsid w:val="00675717"/>
    <w:rsid w:val="00675A51"/>
    <w:rsid w:val="00676615"/>
    <w:rsid w:val="00676990"/>
    <w:rsid w:val="00676C87"/>
    <w:rsid w:val="00676CD5"/>
    <w:rsid w:val="006775AF"/>
    <w:rsid w:val="0067778E"/>
    <w:rsid w:val="00677AED"/>
    <w:rsid w:val="006807EC"/>
    <w:rsid w:val="006807F0"/>
    <w:rsid w:val="00680EDB"/>
    <w:rsid w:val="00680F8E"/>
    <w:rsid w:val="00681CDA"/>
    <w:rsid w:val="006823C5"/>
    <w:rsid w:val="00682784"/>
    <w:rsid w:val="00682A7B"/>
    <w:rsid w:val="00682F1D"/>
    <w:rsid w:val="0068341D"/>
    <w:rsid w:val="0068359D"/>
    <w:rsid w:val="00683A62"/>
    <w:rsid w:val="00683B0D"/>
    <w:rsid w:val="0068405E"/>
    <w:rsid w:val="0068411E"/>
    <w:rsid w:val="00684303"/>
    <w:rsid w:val="006846AC"/>
    <w:rsid w:val="00684D02"/>
    <w:rsid w:val="00684FD9"/>
    <w:rsid w:val="006851B6"/>
    <w:rsid w:val="006855D7"/>
    <w:rsid w:val="00685B82"/>
    <w:rsid w:val="006860AD"/>
    <w:rsid w:val="00686914"/>
    <w:rsid w:val="00687A1F"/>
    <w:rsid w:val="006903EA"/>
    <w:rsid w:val="00690885"/>
    <w:rsid w:val="00691236"/>
    <w:rsid w:val="00691562"/>
    <w:rsid w:val="006916CA"/>
    <w:rsid w:val="006919BA"/>
    <w:rsid w:val="00692EAB"/>
    <w:rsid w:val="00693CC4"/>
    <w:rsid w:val="0069469E"/>
    <w:rsid w:val="00694A4E"/>
    <w:rsid w:val="006959E6"/>
    <w:rsid w:val="00695B4D"/>
    <w:rsid w:val="00696311"/>
    <w:rsid w:val="006970A9"/>
    <w:rsid w:val="00697363"/>
    <w:rsid w:val="006979DE"/>
    <w:rsid w:val="00697AD8"/>
    <w:rsid w:val="00697C09"/>
    <w:rsid w:val="006A0187"/>
    <w:rsid w:val="006A0211"/>
    <w:rsid w:val="006A08F6"/>
    <w:rsid w:val="006A0968"/>
    <w:rsid w:val="006A0C39"/>
    <w:rsid w:val="006A0C74"/>
    <w:rsid w:val="006A0E21"/>
    <w:rsid w:val="006A0E62"/>
    <w:rsid w:val="006A1216"/>
    <w:rsid w:val="006A18F1"/>
    <w:rsid w:val="006A206F"/>
    <w:rsid w:val="006A237A"/>
    <w:rsid w:val="006A267F"/>
    <w:rsid w:val="006A27A3"/>
    <w:rsid w:val="006A27D5"/>
    <w:rsid w:val="006A283C"/>
    <w:rsid w:val="006A2A00"/>
    <w:rsid w:val="006A2D43"/>
    <w:rsid w:val="006A3A6F"/>
    <w:rsid w:val="006A3B97"/>
    <w:rsid w:val="006A3DEA"/>
    <w:rsid w:val="006A4ACA"/>
    <w:rsid w:val="006A4B57"/>
    <w:rsid w:val="006A4DE8"/>
    <w:rsid w:val="006A4EE4"/>
    <w:rsid w:val="006A4F05"/>
    <w:rsid w:val="006A51DB"/>
    <w:rsid w:val="006A53F4"/>
    <w:rsid w:val="006A5403"/>
    <w:rsid w:val="006A55E5"/>
    <w:rsid w:val="006A578C"/>
    <w:rsid w:val="006A6130"/>
    <w:rsid w:val="006A6190"/>
    <w:rsid w:val="006A62FE"/>
    <w:rsid w:val="006A657E"/>
    <w:rsid w:val="006A684D"/>
    <w:rsid w:val="006A6A03"/>
    <w:rsid w:val="006A6A3B"/>
    <w:rsid w:val="006A6BDF"/>
    <w:rsid w:val="006A6E92"/>
    <w:rsid w:val="006A6F90"/>
    <w:rsid w:val="006A7091"/>
    <w:rsid w:val="006A7112"/>
    <w:rsid w:val="006A7305"/>
    <w:rsid w:val="006A7D86"/>
    <w:rsid w:val="006A7EF0"/>
    <w:rsid w:val="006B00B4"/>
    <w:rsid w:val="006B0127"/>
    <w:rsid w:val="006B0175"/>
    <w:rsid w:val="006B063E"/>
    <w:rsid w:val="006B0BF7"/>
    <w:rsid w:val="006B13EB"/>
    <w:rsid w:val="006B1A17"/>
    <w:rsid w:val="006B1A4F"/>
    <w:rsid w:val="006B1A5B"/>
    <w:rsid w:val="006B1F34"/>
    <w:rsid w:val="006B227B"/>
    <w:rsid w:val="006B2308"/>
    <w:rsid w:val="006B2353"/>
    <w:rsid w:val="006B26F4"/>
    <w:rsid w:val="006B27D8"/>
    <w:rsid w:val="006B29CA"/>
    <w:rsid w:val="006B2BF6"/>
    <w:rsid w:val="006B3062"/>
    <w:rsid w:val="006B323D"/>
    <w:rsid w:val="006B32AB"/>
    <w:rsid w:val="006B34F4"/>
    <w:rsid w:val="006B3641"/>
    <w:rsid w:val="006B39BD"/>
    <w:rsid w:val="006B41EA"/>
    <w:rsid w:val="006B4257"/>
    <w:rsid w:val="006B4640"/>
    <w:rsid w:val="006B4744"/>
    <w:rsid w:val="006B49D5"/>
    <w:rsid w:val="006B50A7"/>
    <w:rsid w:val="006B5357"/>
    <w:rsid w:val="006B5958"/>
    <w:rsid w:val="006B5A79"/>
    <w:rsid w:val="006B5BEF"/>
    <w:rsid w:val="006B5FD0"/>
    <w:rsid w:val="006B6151"/>
    <w:rsid w:val="006B635B"/>
    <w:rsid w:val="006B650D"/>
    <w:rsid w:val="006B6A2B"/>
    <w:rsid w:val="006B6C40"/>
    <w:rsid w:val="006B6C64"/>
    <w:rsid w:val="006B7783"/>
    <w:rsid w:val="006B78A8"/>
    <w:rsid w:val="006B7CFD"/>
    <w:rsid w:val="006C0521"/>
    <w:rsid w:val="006C07A4"/>
    <w:rsid w:val="006C158A"/>
    <w:rsid w:val="006C1B19"/>
    <w:rsid w:val="006C1BB0"/>
    <w:rsid w:val="006C1D32"/>
    <w:rsid w:val="006C2653"/>
    <w:rsid w:val="006C2DB4"/>
    <w:rsid w:val="006C2F36"/>
    <w:rsid w:val="006C3094"/>
    <w:rsid w:val="006C330F"/>
    <w:rsid w:val="006C3DB1"/>
    <w:rsid w:val="006C41CC"/>
    <w:rsid w:val="006C45B4"/>
    <w:rsid w:val="006C483F"/>
    <w:rsid w:val="006C4876"/>
    <w:rsid w:val="006C4EF4"/>
    <w:rsid w:val="006C5159"/>
    <w:rsid w:val="006C611A"/>
    <w:rsid w:val="006C663C"/>
    <w:rsid w:val="006C6B37"/>
    <w:rsid w:val="006C6B6E"/>
    <w:rsid w:val="006C6B94"/>
    <w:rsid w:val="006C7223"/>
    <w:rsid w:val="006C77EC"/>
    <w:rsid w:val="006C78C0"/>
    <w:rsid w:val="006D0139"/>
    <w:rsid w:val="006D0424"/>
    <w:rsid w:val="006D0581"/>
    <w:rsid w:val="006D0A40"/>
    <w:rsid w:val="006D0A87"/>
    <w:rsid w:val="006D1141"/>
    <w:rsid w:val="006D1B77"/>
    <w:rsid w:val="006D1DA4"/>
    <w:rsid w:val="006D201A"/>
    <w:rsid w:val="006D2235"/>
    <w:rsid w:val="006D2502"/>
    <w:rsid w:val="006D269A"/>
    <w:rsid w:val="006D2898"/>
    <w:rsid w:val="006D28CC"/>
    <w:rsid w:val="006D2A06"/>
    <w:rsid w:val="006D2A57"/>
    <w:rsid w:val="006D2E0E"/>
    <w:rsid w:val="006D3723"/>
    <w:rsid w:val="006D39E0"/>
    <w:rsid w:val="006D3AF9"/>
    <w:rsid w:val="006D3D14"/>
    <w:rsid w:val="006D53F8"/>
    <w:rsid w:val="006D561C"/>
    <w:rsid w:val="006D5B22"/>
    <w:rsid w:val="006D5E72"/>
    <w:rsid w:val="006D60F2"/>
    <w:rsid w:val="006D640F"/>
    <w:rsid w:val="006D684C"/>
    <w:rsid w:val="006D68B7"/>
    <w:rsid w:val="006D6985"/>
    <w:rsid w:val="006D6AA0"/>
    <w:rsid w:val="006D7355"/>
    <w:rsid w:val="006E06D1"/>
    <w:rsid w:val="006E111A"/>
    <w:rsid w:val="006E1530"/>
    <w:rsid w:val="006E1D85"/>
    <w:rsid w:val="006E22E8"/>
    <w:rsid w:val="006E290A"/>
    <w:rsid w:val="006E29B1"/>
    <w:rsid w:val="006E2C33"/>
    <w:rsid w:val="006E3288"/>
    <w:rsid w:val="006E3336"/>
    <w:rsid w:val="006E3417"/>
    <w:rsid w:val="006E36AB"/>
    <w:rsid w:val="006E3E57"/>
    <w:rsid w:val="006E44BA"/>
    <w:rsid w:val="006E4A6C"/>
    <w:rsid w:val="006E5278"/>
    <w:rsid w:val="006E538C"/>
    <w:rsid w:val="006E54C1"/>
    <w:rsid w:val="006E58C3"/>
    <w:rsid w:val="006E5BF4"/>
    <w:rsid w:val="006E5D1B"/>
    <w:rsid w:val="006E666B"/>
    <w:rsid w:val="006E6E0C"/>
    <w:rsid w:val="006E745B"/>
    <w:rsid w:val="006E78AB"/>
    <w:rsid w:val="006F00CF"/>
    <w:rsid w:val="006F0160"/>
    <w:rsid w:val="006F07F8"/>
    <w:rsid w:val="006F0CB2"/>
    <w:rsid w:val="006F0DA1"/>
    <w:rsid w:val="006F0DC1"/>
    <w:rsid w:val="006F2176"/>
    <w:rsid w:val="006F21EC"/>
    <w:rsid w:val="006F2A37"/>
    <w:rsid w:val="006F2A96"/>
    <w:rsid w:val="006F2B52"/>
    <w:rsid w:val="006F2CB2"/>
    <w:rsid w:val="006F38B5"/>
    <w:rsid w:val="006F3F41"/>
    <w:rsid w:val="006F42EF"/>
    <w:rsid w:val="006F45D0"/>
    <w:rsid w:val="006F4961"/>
    <w:rsid w:val="006F49C8"/>
    <w:rsid w:val="006F4E68"/>
    <w:rsid w:val="006F58E4"/>
    <w:rsid w:val="006F5B9D"/>
    <w:rsid w:val="006F5F96"/>
    <w:rsid w:val="006F5FB7"/>
    <w:rsid w:val="006F60F3"/>
    <w:rsid w:val="006F6286"/>
    <w:rsid w:val="006F694B"/>
    <w:rsid w:val="006F705D"/>
    <w:rsid w:val="006F73F2"/>
    <w:rsid w:val="006F7FCF"/>
    <w:rsid w:val="006F7FF8"/>
    <w:rsid w:val="007000B4"/>
    <w:rsid w:val="00700497"/>
    <w:rsid w:val="00700A33"/>
    <w:rsid w:val="007016BA"/>
    <w:rsid w:val="00701B23"/>
    <w:rsid w:val="00701FA5"/>
    <w:rsid w:val="00701FDB"/>
    <w:rsid w:val="0070283E"/>
    <w:rsid w:val="007031E5"/>
    <w:rsid w:val="007034E0"/>
    <w:rsid w:val="00703E06"/>
    <w:rsid w:val="00703F55"/>
    <w:rsid w:val="007048DD"/>
    <w:rsid w:val="00704B5C"/>
    <w:rsid w:val="00705209"/>
    <w:rsid w:val="00705582"/>
    <w:rsid w:val="007058D8"/>
    <w:rsid w:val="007059EC"/>
    <w:rsid w:val="00705ECB"/>
    <w:rsid w:val="00706523"/>
    <w:rsid w:val="007066F9"/>
    <w:rsid w:val="0070695F"/>
    <w:rsid w:val="00706A77"/>
    <w:rsid w:val="00706FD5"/>
    <w:rsid w:val="0070743C"/>
    <w:rsid w:val="00707DC4"/>
    <w:rsid w:val="0071077B"/>
    <w:rsid w:val="00710D8F"/>
    <w:rsid w:val="007115A6"/>
    <w:rsid w:val="00711912"/>
    <w:rsid w:val="0071194D"/>
    <w:rsid w:val="00711BB3"/>
    <w:rsid w:val="00711DF9"/>
    <w:rsid w:val="0071223C"/>
    <w:rsid w:val="0071274A"/>
    <w:rsid w:val="00712937"/>
    <w:rsid w:val="00712AE4"/>
    <w:rsid w:val="00713196"/>
    <w:rsid w:val="00713380"/>
    <w:rsid w:val="00713491"/>
    <w:rsid w:val="0071391E"/>
    <w:rsid w:val="007139C4"/>
    <w:rsid w:val="00714445"/>
    <w:rsid w:val="00715383"/>
    <w:rsid w:val="00715854"/>
    <w:rsid w:val="007159B6"/>
    <w:rsid w:val="00715F06"/>
    <w:rsid w:val="00715F35"/>
    <w:rsid w:val="0071640D"/>
    <w:rsid w:val="0071649B"/>
    <w:rsid w:val="00716C80"/>
    <w:rsid w:val="00716D3E"/>
    <w:rsid w:val="00717837"/>
    <w:rsid w:val="00717878"/>
    <w:rsid w:val="00717A56"/>
    <w:rsid w:val="00717A5F"/>
    <w:rsid w:val="00717D37"/>
    <w:rsid w:val="007200C9"/>
    <w:rsid w:val="00720330"/>
    <w:rsid w:val="0072043F"/>
    <w:rsid w:val="00720DA8"/>
    <w:rsid w:val="0072199A"/>
    <w:rsid w:val="007219B6"/>
    <w:rsid w:val="00721DF1"/>
    <w:rsid w:val="00721EED"/>
    <w:rsid w:val="00722186"/>
    <w:rsid w:val="0072227A"/>
    <w:rsid w:val="007222AD"/>
    <w:rsid w:val="00722680"/>
    <w:rsid w:val="00722E7D"/>
    <w:rsid w:val="00723615"/>
    <w:rsid w:val="007236A0"/>
    <w:rsid w:val="00723734"/>
    <w:rsid w:val="00723856"/>
    <w:rsid w:val="00723AA6"/>
    <w:rsid w:val="00723CB4"/>
    <w:rsid w:val="0072426E"/>
    <w:rsid w:val="007243C0"/>
    <w:rsid w:val="00724560"/>
    <w:rsid w:val="00724B96"/>
    <w:rsid w:val="00724C75"/>
    <w:rsid w:val="00724D8A"/>
    <w:rsid w:val="0072558B"/>
    <w:rsid w:val="007259D5"/>
    <w:rsid w:val="00725AD1"/>
    <w:rsid w:val="007261CA"/>
    <w:rsid w:val="0072697C"/>
    <w:rsid w:val="00726B20"/>
    <w:rsid w:val="00726D4F"/>
    <w:rsid w:val="00726D8A"/>
    <w:rsid w:val="00727280"/>
    <w:rsid w:val="0072758B"/>
    <w:rsid w:val="007278B2"/>
    <w:rsid w:val="00727C49"/>
    <w:rsid w:val="0073049E"/>
    <w:rsid w:val="0073092D"/>
    <w:rsid w:val="00730953"/>
    <w:rsid w:val="00730B50"/>
    <w:rsid w:val="00731026"/>
    <w:rsid w:val="007310FE"/>
    <w:rsid w:val="00731B7B"/>
    <w:rsid w:val="00731C89"/>
    <w:rsid w:val="007328E0"/>
    <w:rsid w:val="007328F4"/>
    <w:rsid w:val="00732C84"/>
    <w:rsid w:val="00732F87"/>
    <w:rsid w:val="007330AA"/>
    <w:rsid w:val="00733BE9"/>
    <w:rsid w:val="0073410E"/>
    <w:rsid w:val="00734650"/>
    <w:rsid w:val="00734A43"/>
    <w:rsid w:val="00734C40"/>
    <w:rsid w:val="0073589D"/>
    <w:rsid w:val="007359C3"/>
    <w:rsid w:val="00735FB9"/>
    <w:rsid w:val="00735FC2"/>
    <w:rsid w:val="00736129"/>
    <w:rsid w:val="007364E2"/>
    <w:rsid w:val="007375C6"/>
    <w:rsid w:val="00737926"/>
    <w:rsid w:val="00737A42"/>
    <w:rsid w:val="00737BF5"/>
    <w:rsid w:val="007407B6"/>
    <w:rsid w:val="00740AAB"/>
    <w:rsid w:val="00741A16"/>
    <w:rsid w:val="00742522"/>
    <w:rsid w:val="007426FD"/>
    <w:rsid w:val="0074275F"/>
    <w:rsid w:val="007429E8"/>
    <w:rsid w:val="00742F81"/>
    <w:rsid w:val="007430DA"/>
    <w:rsid w:val="00743627"/>
    <w:rsid w:val="00743743"/>
    <w:rsid w:val="00743869"/>
    <w:rsid w:val="00743FC3"/>
    <w:rsid w:val="007442E6"/>
    <w:rsid w:val="00744403"/>
    <w:rsid w:val="007445BD"/>
    <w:rsid w:val="00744707"/>
    <w:rsid w:val="007450D4"/>
    <w:rsid w:val="007468A7"/>
    <w:rsid w:val="00746A9A"/>
    <w:rsid w:val="00746EA6"/>
    <w:rsid w:val="00746FD6"/>
    <w:rsid w:val="00750039"/>
    <w:rsid w:val="007502A3"/>
    <w:rsid w:val="00750769"/>
    <w:rsid w:val="00750C90"/>
    <w:rsid w:val="00751407"/>
    <w:rsid w:val="007517A1"/>
    <w:rsid w:val="007517BD"/>
    <w:rsid w:val="007520C1"/>
    <w:rsid w:val="007521D8"/>
    <w:rsid w:val="00752754"/>
    <w:rsid w:val="007528C1"/>
    <w:rsid w:val="00752914"/>
    <w:rsid w:val="00753003"/>
    <w:rsid w:val="00753AC4"/>
    <w:rsid w:val="007540D5"/>
    <w:rsid w:val="00754370"/>
    <w:rsid w:val="007544C7"/>
    <w:rsid w:val="00754741"/>
    <w:rsid w:val="007548B1"/>
    <w:rsid w:val="00754B30"/>
    <w:rsid w:val="00755095"/>
    <w:rsid w:val="00755312"/>
    <w:rsid w:val="00755CD3"/>
    <w:rsid w:val="00755E63"/>
    <w:rsid w:val="00755F32"/>
    <w:rsid w:val="0075608E"/>
    <w:rsid w:val="007564B3"/>
    <w:rsid w:val="0075668F"/>
    <w:rsid w:val="00756F0D"/>
    <w:rsid w:val="007574E4"/>
    <w:rsid w:val="00760EA8"/>
    <w:rsid w:val="00760F01"/>
    <w:rsid w:val="007611F3"/>
    <w:rsid w:val="0076147C"/>
    <w:rsid w:val="007614E1"/>
    <w:rsid w:val="00761B99"/>
    <w:rsid w:val="00761D69"/>
    <w:rsid w:val="00761F4D"/>
    <w:rsid w:val="00761FC8"/>
    <w:rsid w:val="00762364"/>
    <w:rsid w:val="00762489"/>
    <w:rsid w:val="007625A8"/>
    <w:rsid w:val="0076270C"/>
    <w:rsid w:val="007627D5"/>
    <w:rsid w:val="007627EB"/>
    <w:rsid w:val="00762822"/>
    <w:rsid w:val="007628F5"/>
    <w:rsid w:val="00762E15"/>
    <w:rsid w:val="007631B0"/>
    <w:rsid w:val="007631F5"/>
    <w:rsid w:val="007633D6"/>
    <w:rsid w:val="007633DC"/>
    <w:rsid w:val="0076407E"/>
    <w:rsid w:val="007642BB"/>
    <w:rsid w:val="00764320"/>
    <w:rsid w:val="00765294"/>
    <w:rsid w:val="007653DB"/>
    <w:rsid w:val="0076558C"/>
    <w:rsid w:val="00765CC4"/>
    <w:rsid w:val="00765D09"/>
    <w:rsid w:val="00766594"/>
    <w:rsid w:val="007675BE"/>
    <w:rsid w:val="00767749"/>
    <w:rsid w:val="00767A4A"/>
    <w:rsid w:val="00767A8D"/>
    <w:rsid w:val="00767DBB"/>
    <w:rsid w:val="00767F3B"/>
    <w:rsid w:val="00767F8E"/>
    <w:rsid w:val="007703B4"/>
    <w:rsid w:val="007703B6"/>
    <w:rsid w:val="007706E5"/>
    <w:rsid w:val="007708A5"/>
    <w:rsid w:val="00770F5C"/>
    <w:rsid w:val="00770F8B"/>
    <w:rsid w:val="00771232"/>
    <w:rsid w:val="007713B4"/>
    <w:rsid w:val="00771414"/>
    <w:rsid w:val="00771743"/>
    <w:rsid w:val="0077174E"/>
    <w:rsid w:val="00771B0D"/>
    <w:rsid w:val="007727E6"/>
    <w:rsid w:val="00772997"/>
    <w:rsid w:val="00772D2A"/>
    <w:rsid w:val="007738BB"/>
    <w:rsid w:val="007738DD"/>
    <w:rsid w:val="0077399D"/>
    <w:rsid w:val="00773D6B"/>
    <w:rsid w:val="00773E12"/>
    <w:rsid w:val="00774057"/>
    <w:rsid w:val="0077407C"/>
    <w:rsid w:val="0077411A"/>
    <w:rsid w:val="00774CE9"/>
    <w:rsid w:val="007755DD"/>
    <w:rsid w:val="00775B26"/>
    <w:rsid w:val="00775B39"/>
    <w:rsid w:val="0077602E"/>
    <w:rsid w:val="007760FE"/>
    <w:rsid w:val="007764D1"/>
    <w:rsid w:val="00776535"/>
    <w:rsid w:val="00776709"/>
    <w:rsid w:val="00776A24"/>
    <w:rsid w:val="00776D3A"/>
    <w:rsid w:val="00777992"/>
    <w:rsid w:val="00777C5A"/>
    <w:rsid w:val="00777D98"/>
    <w:rsid w:val="00777EF6"/>
    <w:rsid w:val="00780618"/>
    <w:rsid w:val="00780625"/>
    <w:rsid w:val="00780834"/>
    <w:rsid w:val="00780B6F"/>
    <w:rsid w:val="00780B7D"/>
    <w:rsid w:val="00780D6D"/>
    <w:rsid w:val="00780D7D"/>
    <w:rsid w:val="00780D87"/>
    <w:rsid w:val="00780F3A"/>
    <w:rsid w:val="00781336"/>
    <w:rsid w:val="0078188D"/>
    <w:rsid w:val="00781BD7"/>
    <w:rsid w:val="0078216E"/>
    <w:rsid w:val="007829C4"/>
    <w:rsid w:val="00782B15"/>
    <w:rsid w:val="007838FE"/>
    <w:rsid w:val="00783D10"/>
    <w:rsid w:val="00784375"/>
    <w:rsid w:val="0078451A"/>
    <w:rsid w:val="00785A2A"/>
    <w:rsid w:val="00785C72"/>
    <w:rsid w:val="00785E01"/>
    <w:rsid w:val="00785EB8"/>
    <w:rsid w:val="00786C0E"/>
    <w:rsid w:val="00786E88"/>
    <w:rsid w:val="00786ED5"/>
    <w:rsid w:val="0078761D"/>
    <w:rsid w:val="00787898"/>
    <w:rsid w:val="00787947"/>
    <w:rsid w:val="00787DAB"/>
    <w:rsid w:val="00787EE5"/>
    <w:rsid w:val="00787FC1"/>
    <w:rsid w:val="007909FD"/>
    <w:rsid w:val="00790A36"/>
    <w:rsid w:val="00790AF8"/>
    <w:rsid w:val="00790DD2"/>
    <w:rsid w:val="00791418"/>
    <w:rsid w:val="007915DB"/>
    <w:rsid w:val="0079165A"/>
    <w:rsid w:val="00791B68"/>
    <w:rsid w:val="00791F4A"/>
    <w:rsid w:val="007922B8"/>
    <w:rsid w:val="00792C42"/>
    <w:rsid w:val="00793264"/>
    <w:rsid w:val="0079365C"/>
    <w:rsid w:val="00793840"/>
    <w:rsid w:val="00793EB8"/>
    <w:rsid w:val="00794049"/>
    <w:rsid w:val="007941F6"/>
    <w:rsid w:val="0079430D"/>
    <w:rsid w:val="00794531"/>
    <w:rsid w:val="00794930"/>
    <w:rsid w:val="00796D10"/>
    <w:rsid w:val="0079735C"/>
    <w:rsid w:val="0079760D"/>
    <w:rsid w:val="00797AFA"/>
    <w:rsid w:val="00797BB2"/>
    <w:rsid w:val="007A01F5"/>
    <w:rsid w:val="007A0397"/>
    <w:rsid w:val="007A1021"/>
    <w:rsid w:val="007A133A"/>
    <w:rsid w:val="007A1459"/>
    <w:rsid w:val="007A169C"/>
    <w:rsid w:val="007A1A6F"/>
    <w:rsid w:val="007A1BB4"/>
    <w:rsid w:val="007A1D23"/>
    <w:rsid w:val="007A219C"/>
    <w:rsid w:val="007A2397"/>
    <w:rsid w:val="007A23B3"/>
    <w:rsid w:val="007A2AA0"/>
    <w:rsid w:val="007A2BF9"/>
    <w:rsid w:val="007A2C59"/>
    <w:rsid w:val="007A33FD"/>
    <w:rsid w:val="007A40E7"/>
    <w:rsid w:val="007A43C0"/>
    <w:rsid w:val="007A4563"/>
    <w:rsid w:val="007A4588"/>
    <w:rsid w:val="007A45CF"/>
    <w:rsid w:val="007A45E0"/>
    <w:rsid w:val="007A480F"/>
    <w:rsid w:val="007A487D"/>
    <w:rsid w:val="007A4902"/>
    <w:rsid w:val="007A4940"/>
    <w:rsid w:val="007A4962"/>
    <w:rsid w:val="007A4CA1"/>
    <w:rsid w:val="007A4EF8"/>
    <w:rsid w:val="007A50DD"/>
    <w:rsid w:val="007A5349"/>
    <w:rsid w:val="007A6301"/>
    <w:rsid w:val="007A642D"/>
    <w:rsid w:val="007A66F9"/>
    <w:rsid w:val="007A67C3"/>
    <w:rsid w:val="007A684B"/>
    <w:rsid w:val="007A6999"/>
    <w:rsid w:val="007A6B83"/>
    <w:rsid w:val="007A7136"/>
    <w:rsid w:val="007A75D3"/>
    <w:rsid w:val="007A765F"/>
    <w:rsid w:val="007A76C6"/>
    <w:rsid w:val="007A7891"/>
    <w:rsid w:val="007A7906"/>
    <w:rsid w:val="007A79B0"/>
    <w:rsid w:val="007A7DAF"/>
    <w:rsid w:val="007A7EF6"/>
    <w:rsid w:val="007B00DB"/>
    <w:rsid w:val="007B05C0"/>
    <w:rsid w:val="007B061E"/>
    <w:rsid w:val="007B095F"/>
    <w:rsid w:val="007B0976"/>
    <w:rsid w:val="007B0DCE"/>
    <w:rsid w:val="007B10D5"/>
    <w:rsid w:val="007B1126"/>
    <w:rsid w:val="007B1140"/>
    <w:rsid w:val="007B13E0"/>
    <w:rsid w:val="007B1438"/>
    <w:rsid w:val="007B1899"/>
    <w:rsid w:val="007B1915"/>
    <w:rsid w:val="007B23D5"/>
    <w:rsid w:val="007B3033"/>
    <w:rsid w:val="007B30E0"/>
    <w:rsid w:val="007B33BF"/>
    <w:rsid w:val="007B3966"/>
    <w:rsid w:val="007B3DDF"/>
    <w:rsid w:val="007B45EC"/>
    <w:rsid w:val="007B5327"/>
    <w:rsid w:val="007B5518"/>
    <w:rsid w:val="007B634E"/>
    <w:rsid w:val="007B66CF"/>
    <w:rsid w:val="007B66DC"/>
    <w:rsid w:val="007B6AFB"/>
    <w:rsid w:val="007B6ECB"/>
    <w:rsid w:val="007C0C1D"/>
    <w:rsid w:val="007C1280"/>
    <w:rsid w:val="007C13EC"/>
    <w:rsid w:val="007C15D9"/>
    <w:rsid w:val="007C1986"/>
    <w:rsid w:val="007C1E20"/>
    <w:rsid w:val="007C20E1"/>
    <w:rsid w:val="007C2848"/>
    <w:rsid w:val="007C2A1A"/>
    <w:rsid w:val="007C2D58"/>
    <w:rsid w:val="007C354C"/>
    <w:rsid w:val="007C363D"/>
    <w:rsid w:val="007C3677"/>
    <w:rsid w:val="007C3DB0"/>
    <w:rsid w:val="007C3FC7"/>
    <w:rsid w:val="007C41B5"/>
    <w:rsid w:val="007C43EA"/>
    <w:rsid w:val="007C4856"/>
    <w:rsid w:val="007C4872"/>
    <w:rsid w:val="007C4C3E"/>
    <w:rsid w:val="007C58CB"/>
    <w:rsid w:val="007C5C75"/>
    <w:rsid w:val="007C631E"/>
    <w:rsid w:val="007C6C2C"/>
    <w:rsid w:val="007C6C96"/>
    <w:rsid w:val="007C6D77"/>
    <w:rsid w:val="007C6F72"/>
    <w:rsid w:val="007C6F9D"/>
    <w:rsid w:val="007C733B"/>
    <w:rsid w:val="007C7512"/>
    <w:rsid w:val="007C7DEB"/>
    <w:rsid w:val="007C7F24"/>
    <w:rsid w:val="007D0872"/>
    <w:rsid w:val="007D1351"/>
    <w:rsid w:val="007D1659"/>
    <w:rsid w:val="007D1FC8"/>
    <w:rsid w:val="007D246C"/>
    <w:rsid w:val="007D2E7D"/>
    <w:rsid w:val="007D3246"/>
    <w:rsid w:val="007D3710"/>
    <w:rsid w:val="007D3961"/>
    <w:rsid w:val="007D4170"/>
    <w:rsid w:val="007D41BA"/>
    <w:rsid w:val="007D43E1"/>
    <w:rsid w:val="007D4A5D"/>
    <w:rsid w:val="007D4BE5"/>
    <w:rsid w:val="007D4D7D"/>
    <w:rsid w:val="007D4E4D"/>
    <w:rsid w:val="007D4EB6"/>
    <w:rsid w:val="007D5295"/>
    <w:rsid w:val="007D5C07"/>
    <w:rsid w:val="007D5F6C"/>
    <w:rsid w:val="007D5FC4"/>
    <w:rsid w:val="007D6927"/>
    <w:rsid w:val="007D69FE"/>
    <w:rsid w:val="007D6EB6"/>
    <w:rsid w:val="007D6EB9"/>
    <w:rsid w:val="007D7D58"/>
    <w:rsid w:val="007D7DCE"/>
    <w:rsid w:val="007E012A"/>
    <w:rsid w:val="007E10AC"/>
    <w:rsid w:val="007E1B84"/>
    <w:rsid w:val="007E2AE9"/>
    <w:rsid w:val="007E316F"/>
    <w:rsid w:val="007E3BAB"/>
    <w:rsid w:val="007E3DDF"/>
    <w:rsid w:val="007E4624"/>
    <w:rsid w:val="007E46BF"/>
    <w:rsid w:val="007E50A5"/>
    <w:rsid w:val="007E5192"/>
    <w:rsid w:val="007E5D7C"/>
    <w:rsid w:val="007E5FA5"/>
    <w:rsid w:val="007E65DA"/>
    <w:rsid w:val="007E7105"/>
    <w:rsid w:val="007E712B"/>
    <w:rsid w:val="007E7479"/>
    <w:rsid w:val="007E74A0"/>
    <w:rsid w:val="007E7A50"/>
    <w:rsid w:val="007F002D"/>
    <w:rsid w:val="007F1269"/>
    <w:rsid w:val="007F15E0"/>
    <w:rsid w:val="007F2394"/>
    <w:rsid w:val="007F24B2"/>
    <w:rsid w:val="007F264B"/>
    <w:rsid w:val="007F2709"/>
    <w:rsid w:val="007F27AA"/>
    <w:rsid w:val="007F2BAF"/>
    <w:rsid w:val="007F3034"/>
    <w:rsid w:val="007F322A"/>
    <w:rsid w:val="007F35E8"/>
    <w:rsid w:val="007F3C4D"/>
    <w:rsid w:val="007F40CA"/>
    <w:rsid w:val="007F428A"/>
    <w:rsid w:val="007F44AF"/>
    <w:rsid w:val="007F4522"/>
    <w:rsid w:val="007F4605"/>
    <w:rsid w:val="007F46CC"/>
    <w:rsid w:val="007F4AE8"/>
    <w:rsid w:val="007F4C64"/>
    <w:rsid w:val="007F4E20"/>
    <w:rsid w:val="007F4E7A"/>
    <w:rsid w:val="007F4EC7"/>
    <w:rsid w:val="007F5805"/>
    <w:rsid w:val="007F59B2"/>
    <w:rsid w:val="007F5F31"/>
    <w:rsid w:val="007F5FC2"/>
    <w:rsid w:val="007F649F"/>
    <w:rsid w:val="007F6C7A"/>
    <w:rsid w:val="007F70A9"/>
    <w:rsid w:val="007F7164"/>
    <w:rsid w:val="007F774F"/>
    <w:rsid w:val="007F7FEC"/>
    <w:rsid w:val="00800464"/>
    <w:rsid w:val="00800FA8"/>
    <w:rsid w:val="00801CA7"/>
    <w:rsid w:val="00802718"/>
    <w:rsid w:val="00802E0E"/>
    <w:rsid w:val="00803062"/>
    <w:rsid w:val="0080321C"/>
    <w:rsid w:val="00803806"/>
    <w:rsid w:val="00804200"/>
    <w:rsid w:val="0080490D"/>
    <w:rsid w:val="00804A84"/>
    <w:rsid w:val="00804B4C"/>
    <w:rsid w:val="00804FBC"/>
    <w:rsid w:val="00805475"/>
    <w:rsid w:val="008054A4"/>
    <w:rsid w:val="00806098"/>
    <w:rsid w:val="008060B4"/>
    <w:rsid w:val="00806870"/>
    <w:rsid w:val="00806AA0"/>
    <w:rsid w:val="00806CA7"/>
    <w:rsid w:val="00806EA9"/>
    <w:rsid w:val="00807115"/>
    <w:rsid w:val="00807846"/>
    <w:rsid w:val="0080785F"/>
    <w:rsid w:val="00807C0E"/>
    <w:rsid w:val="008101F1"/>
    <w:rsid w:val="008104B5"/>
    <w:rsid w:val="008104F6"/>
    <w:rsid w:val="00810BC5"/>
    <w:rsid w:val="008128EA"/>
    <w:rsid w:val="0081299E"/>
    <w:rsid w:val="00812A20"/>
    <w:rsid w:val="00812CD1"/>
    <w:rsid w:val="00812CED"/>
    <w:rsid w:val="00812DAC"/>
    <w:rsid w:val="008130B1"/>
    <w:rsid w:val="00813CE1"/>
    <w:rsid w:val="008141D2"/>
    <w:rsid w:val="00814724"/>
    <w:rsid w:val="00814E88"/>
    <w:rsid w:val="00814FC8"/>
    <w:rsid w:val="00815313"/>
    <w:rsid w:val="00816171"/>
    <w:rsid w:val="00816400"/>
    <w:rsid w:val="008166D9"/>
    <w:rsid w:val="008167C2"/>
    <w:rsid w:val="008174DF"/>
    <w:rsid w:val="00817B3C"/>
    <w:rsid w:val="00817BD6"/>
    <w:rsid w:val="00817C8F"/>
    <w:rsid w:val="0082003E"/>
    <w:rsid w:val="008205EB"/>
    <w:rsid w:val="008211C3"/>
    <w:rsid w:val="00821AF8"/>
    <w:rsid w:val="00821B60"/>
    <w:rsid w:val="00821BB8"/>
    <w:rsid w:val="00821CF9"/>
    <w:rsid w:val="00821D6A"/>
    <w:rsid w:val="00822777"/>
    <w:rsid w:val="0082295D"/>
    <w:rsid w:val="00822CA9"/>
    <w:rsid w:val="00822D8A"/>
    <w:rsid w:val="0082344E"/>
    <w:rsid w:val="00823B98"/>
    <w:rsid w:val="00823EF9"/>
    <w:rsid w:val="00824166"/>
    <w:rsid w:val="008242B5"/>
    <w:rsid w:val="00824623"/>
    <w:rsid w:val="00824AFF"/>
    <w:rsid w:val="00824CA1"/>
    <w:rsid w:val="00824D19"/>
    <w:rsid w:val="00824D38"/>
    <w:rsid w:val="00825A83"/>
    <w:rsid w:val="0082650B"/>
    <w:rsid w:val="00826681"/>
    <w:rsid w:val="008269F0"/>
    <w:rsid w:val="008273F1"/>
    <w:rsid w:val="00827910"/>
    <w:rsid w:val="00827B99"/>
    <w:rsid w:val="00827FA3"/>
    <w:rsid w:val="0083090F"/>
    <w:rsid w:val="0083119D"/>
    <w:rsid w:val="00831232"/>
    <w:rsid w:val="008313FF"/>
    <w:rsid w:val="0083146C"/>
    <w:rsid w:val="008319F0"/>
    <w:rsid w:val="00831CAC"/>
    <w:rsid w:val="00831DB6"/>
    <w:rsid w:val="00832256"/>
    <w:rsid w:val="00832397"/>
    <w:rsid w:val="00833410"/>
    <w:rsid w:val="00834481"/>
    <w:rsid w:val="0083472C"/>
    <w:rsid w:val="00835000"/>
    <w:rsid w:val="008354B0"/>
    <w:rsid w:val="0083587E"/>
    <w:rsid w:val="00835EBB"/>
    <w:rsid w:val="00836451"/>
    <w:rsid w:val="00836B1D"/>
    <w:rsid w:val="00836BAB"/>
    <w:rsid w:val="00836C89"/>
    <w:rsid w:val="00836DDA"/>
    <w:rsid w:val="00837049"/>
    <w:rsid w:val="0083705F"/>
    <w:rsid w:val="008372EC"/>
    <w:rsid w:val="0083780C"/>
    <w:rsid w:val="00837C84"/>
    <w:rsid w:val="00841792"/>
    <w:rsid w:val="00842412"/>
    <w:rsid w:val="0084258E"/>
    <w:rsid w:val="00842D1E"/>
    <w:rsid w:val="00843A4C"/>
    <w:rsid w:val="00843B12"/>
    <w:rsid w:val="00843B9D"/>
    <w:rsid w:val="00844537"/>
    <w:rsid w:val="00844D40"/>
    <w:rsid w:val="00844F5F"/>
    <w:rsid w:val="008451C9"/>
    <w:rsid w:val="008456E4"/>
    <w:rsid w:val="00846413"/>
    <w:rsid w:val="00846E47"/>
    <w:rsid w:val="008471FC"/>
    <w:rsid w:val="00847606"/>
    <w:rsid w:val="00847687"/>
    <w:rsid w:val="008476AB"/>
    <w:rsid w:val="008476DC"/>
    <w:rsid w:val="00847CC0"/>
    <w:rsid w:val="00847D7C"/>
    <w:rsid w:val="00847DB6"/>
    <w:rsid w:val="00850236"/>
    <w:rsid w:val="00850244"/>
    <w:rsid w:val="008504DF"/>
    <w:rsid w:val="00850624"/>
    <w:rsid w:val="00850AFD"/>
    <w:rsid w:val="00850BF5"/>
    <w:rsid w:val="008521F6"/>
    <w:rsid w:val="00852555"/>
    <w:rsid w:val="00852CBA"/>
    <w:rsid w:val="0085309B"/>
    <w:rsid w:val="008530BE"/>
    <w:rsid w:val="0085347E"/>
    <w:rsid w:val="00853A93"/>
    <w:rsid w:val="00853C93"/>
    <w:rsid w:val="00853DEB"/>
    <w:rsid w:val="008543D7"/>
    <w:rsid w:val="00854580"/>
    <w:rsid w:val="0085487B"/>
    <w:rsid w:val="00854F6A"/>
    <w:rsid w:val="008556E1"/>
    <w:rsid w:val="00855F3A"/>
    <w:rsid w:val="00855FE8"/>
    <w:rsid w:val="008562A8"/>
    <w:rsid w:val="0085665A"/>
    <w:rsid w:val="0085674A"/>
    <w:rsid w:val="008567CE"/>
    <w:rsid w:val="008567D5"/>
    <w:rsid w:val="00856BFA"/>
    <w:rsid w:val="00856F01"/>
    <w:rsid w:val="00857759"/>
    <w:rsid w:val="00860128"/>
    <w:rsid w:val="008606FC"/>
    <w:rsid w:val="0086093F"/>
    <w:rsid w:val="0086101E"/>
    <w:rsid w:val="00861061"/>
    <w:rsid w:val="008617B7"/>
    <w:rsid w:val="00861844"/>
    <w:rsid w:val="00861DD0"/>
    <w:rsid w:val="00861FBE"/>
    <w:rsid w:val="0086257C"/>
    <w:rsid w:val="00862A2C"/>
    <w:rsid w:val="00862DE2"/>
    <w:rsid w:val="0086313C"/>
    <w:rsid w:val="0086322C"/>
    <w:rsid w:val="0086333E"/>
    <w:rsid w:val="00863372"/>
    <w:rsid w:val="00863957"/>
    <w:rsid w:val="00863A37"/>
    <w:rsid w:val="00863E8E"/>
    <w:rsid w:val="008644EB"/>
    <w:rsid w:val="00864567"/>
    <w:rsid w:val="008647A6"/>
    <w:rsid w:val="00865193"/>
    <w:rsid w:val="0086547A"/>
    <w:rsid w:val="00865A95"/>
    <w:rsid w:val="00865AF1"/>
    <w:rsid w:val="00865AF6"/>
    <w:rsid w:val="00866301"/>
    <w:rsid w:val="008665E3"/>
    <w:rsid w:val="00866E7B"/>
    <w:rsid w:val="00867260"/>
    <w:rsid w:val="00867450"/>
    <w:rsid w:val="008679D3"/>
    <w:rsid w:val="00867AE1"/>
    <w:rsid w:val="00867BC8"/>
    <w:rsid w:val="00867CCD"/>
    <w:rsid w:val="00870755"/>
    <w:rsid w:val="00870AA5"/>
    <w:rsid w:val="00871C6B"/>
    <w:rsid w:val="00871D66"/>
    <w:rsid w:val="008724E3"/>
    <w:rsid w:val="00872653"/>
    <w:rsid w:val="008726A9"/>
    <w:rsid w:val="00872D97"/>
    <w:rsid w:val="00872DC9"/>
    <w:rsid w:val="00872DDE"/>
    <w:rsid w:val="00872F5D"/>
    <w:rsid w:val="00873506"/>
    <w:rsid w:val="00873DAC"/>
    <w:rsid w:val="00874552"/>
    <w:rsid w:val="008749CC"/>
    <w:rsid w:val="00874CD0"/>
    <w:rsid w:val="00874DB3"/>
    <w:rsid w:val="00875872"/>
    <w:rsid w:val="008759A4"/>
    <w:rsid w:val="00875E02"/>
    <w:rsid w:val="00876073"/>
    <w:rsid w:val="00876454"/>
    <w:rsid w:val="00876BD0"/>
    <w:rsid w:val="00876F7A"/>
    <w:rsid w:val="00877327"/>
    <w:rsid w:val="00877442"/>
    <w:rsid w:val="0087790A"/>
    <w:rsid w:val="00877A48"/>
    <w:rsid w:val="00877AA0"/>
    <w:rsid w:val="0088103C"/>
    <w:rsid w:val="00881803"/>
    <w:rsid w:val="00881A3D"/>
    <w:rsid w:val="00881B89"/>
    <w:rsid w:val="0088256B"/>
    <w:rsid w:val="00882ACE"/>
    <w:rsid w:val="00882EEB"/>
    <w:rsid w:val="00883823"/>
    <w:rsid w:val="00883EBF"/>
    <w:rsid w:val="00884185"/>
    <w:rsid w:val="008843A8"/>
    <w:rsid w:val="008846D4"/>
    <w:rsid w:val="008847F4"/>
    <w:rsid w:val="00884B4D"/>
    <w:rsid w:val="00884FAF"/>
    <w:rsid w:val="008853B4"/>
    <w:rsid w:val="008854FF"/>
    <w:rsid w:val="008860FA"/>
    <w:rsid w:val="00886766"/>
    <w:rsid w:val="0088699A"/>
    <w:rsid w:val="00887053"/>
    <w:rsid w:val="008873DD"/>
    <w:rsid w:val="00887997"/>
    <w:rsid w:val="00887C5F"/>
    <w:rsid w:val="00887E8C"/>
    <w:rsid w:val="0089017D"/>
    <w:rsid w:val="0089030F"/>
    <w:rsid w:val="00890C79"/>
    <w:rsid w:val="008911C9"/>
    <w:rsid w:val="00891B21"/>
    <w:rsid w:val="00892111"/>
    <w:rsid w:val="008921D0"/>
    <w:rsid w:val="00892303"/>
    <w:rsid w:val="00892485"/>
    <w:rsid w:val="008924D7"/>
    <w:rsid w:val="00892756"/>
    <w:rsid w:val="008929B6"/>
    <w:rsid w:val="00893986"/>
    <w:rsid w:val="00894525"/>
    <w:rsid w:val="00894785"/>
    <w:rsid w:val="008949D6"/>
    <w:rsid w:val="00894ABE"/>
    <w:rsid w:val="00894EA2"/>
    <w:rsid w:val="008956C1"/>
    <w:rsid w:val="00895863"/>
    <w:rsid w:val="00895D22"/>
    <w:rsid w:val="00895EF5"/>
    <w:rsid w:val="00896BFC"/>
    <w:rsid w:val="00896E68"/>
    <w:rsid w:val="008974D5"/>
    <w:rsid w:val="0089781E"/>
    <w:rsid w:val="00897F58"/>
    <w:rsid w:val="008A010D"/>
    <w:rsid w:val="008A05A2"/>
    <w:rsid w:val="008A062A"/>
    <w:rsid w:val="008A08DD"/>
    <w:rsid w:val="008A08E7"/>
    <w:rsid w:val="008A1D70"/>
    <w:rsid w:val="008A1E8B"/>
    <w:rsid w:val="008A1EBA"/>
    <w:rsid w:val="008A2208"/>
    <w:rsid w:val="008A2281"/>
    <w:rsid w:val="008A2821"/>
    <w:rsid w:val="008A2C26"/>
    <w:rsid w:val="008A336F"/>
    <w:rsid w:val="008A3868"/>
    <w:rsid w:val="008A39FD"/>
    <w:rsid w:val="008A3E23"/>
    <w:rsid w:val="008A42F3"/>
    <w:rsid w:val="008A439B"/>
    <w:rsid w:val="008A4515"/>
    <w:rsid w:val="008A52F9"/>
    <w:rsid w:val="008A56BA"/>
    <w:rsid w:val="008A5A2F"/>
    <w:rsid w:val="008A6341"/>
    <w:rsid w:val="008A6AA0"/>
    <w:rsid w:val="008A73EE"/>
    <w:rsid w:val="008A75EF"/>
    <w:rsid w:val="008B0846"/>
    <w:rsid w:val="008B0A2E"/>
    <w:rsid w:val="008B0B2D"/>
    <w:rsid w:val="008B10FB"/>
    <w:rsid w:val="008B16A5"/>
    <w:rsid w:val="008B1BE5"/>
    <w:rsid w:val="008B212F"/>
    <w:rsid w:val="008B2147"/>
    <w:rsid w:val="008B2BB0"/>
    <w:rsid w:val="008B2DBB"/>
    <w:rsid w:val="008B3050"/>
    <w:rsid w:val="008B339C"/>
    <w:rsid w:val="008B456F"/>
    <w:rsid w:val="008B4AAE"/>
    <w:rsid w:val="008B4CA5"/>
    <w:rsid w:val="008B507A"/>
    <w:rsid w:val="008B5101"/>
    <w:rsid w:val="008B52D1"/>
    <w:rsid w:val="008B58B6"/>
    <w:rsid w:val="008B65B3"/>
    <w:rsid w:val="008B67CE"/>
    <w:rsid w:val="008B683E"/>
    <w:rsid w:val="008B6F78"/>
    <w:rsid w:val="008B7AD0"/>
    <w:rsid w:val="008B7D46"/>
    <w:rsid w:val="008B7F0B"/>
    <w:rsid w:val="008C07E9"/>
    <w:rsid w:val="008C0A59"/>
    <w:rsid w:val="008C0F5C"/>
    <w:rsid w:val="008C108B"/>
    <w:rsid w:val="008C14FD"/>
    <w:rsid w:val="008C1535"/>
    <w:rsid w:val="008C1E0E"/>
    <w:rsid w:val="008C2056"/>
    <w:rsid w:val="008C2C72"/>
    <w:rsid w:val="008C31B7"/>
    <w:rsid w:val="008C36D0"/>
    <w:rsid w:val="008C37FD"/>
    <w:rsid w:val="008C3997"/>
    <w:rsid w:val="008C39CA"/>
    <w:rsid w:val="008C3B54"/>
    <w:rsid w:val="008C3EA3"/>
    <w:rsid w:val="008C464B"/>
    <w:rsid w:val="008C468A"/>
    <w:rsid w:val="008C477B"/>
    <w:rsid w:val="008C4829"/>
    <w:rsid w:val="008C497B"/>
    <w:rsid w:val="008C564B"/>
    <w:rsid w:val="008C5909"/>
    <w:rsid w:val="008C59E7"/>
    <w:rsid w:val="008C6029"/>
    <w:rsid w:val="008C6243"/>
    <w:rsid w:val="008C757F"/>
    <w:rsid w:val="008C786C"/>
    <w:rsid w:val="008C794F"/>
    <w:rsid w:val="008C7A13"/>
    <w:rsid w:val="008C7A90"/>
    <w:rsid w:val="008D075A"/>
    <w:rsid w:val="008D07BA"/>
    <w:rsid w:val="008D0E37"/>
    <w:rsid w:val="008D1017"/>
    <w:rsid w:val="008D12D2"/>
    <w:rsid w:val="008D1A11"/>
    <w:rsid w:val="008D201D"/>
    <w:rsid w:val="008D24CE"/>
    <w:rsid w:val="008D2CD2"/>
    <w:rsid w:val="008D3B4B"/>
    <w:rsid w:val="008D40A7"/>
    <w:rsid w:val="008D41E2"/>
    <w:rsid w:val="008D4573"/>
    <w:rsid w:val="008D4D41"/>
    <w:rsid w:val="008D5556"/>
    <w:rsid w:val="008D589C"/>
    <w:rsid w:val="008D5B70"/>
    <w:rsid w:val="008D5D4F"/>
    <w:rsid w:val="008D5F6A"/>
    <w:rsid w:val="008D604C"/>
    <w:rsid w:val="008D6105"/>
    <w:rsid w:val="008D68B8"/>
    <w:rsid w:val="008D6AA6"/>
    <w:rsid w:val="008D6B78"/>
    <w:rsid w:val="008D6D3C"/>
    <w:rsid w:val="008D702C"/>
    <w:rsid w:val="008D75EA"/>
    <w:rsid w:val="008D760C"/>
    <w:rsid w:val="008D784D"/>
    <w:rsid w:val="008D7EE1"/>
    <w:rsid w:val="008E0522"/>
    <w:rsid w:val="008E0E02"/>
    <w:rsid w:val="008E0F3C"/>
    <w:rsid w:val="008E10AD"/>
    <w:rsid w:val="008E12C6"/>
    <w:rsid w:val="008E1E16"/>
    <w:rsid w:val="008E23D3"/>
    <w:rsid w:val="008E2546"/>
    <w:rsid w:val="008E2637"/>
    <w:rsid w:val="008E282C"/>
    <w:rsid w:val="008E29DC"/>
    <w:rsid w:val="008E2BD5"/>
    <w:rsid w:val="008E37BB"/>
    <w:rsid w:val="008E396A"/>
    <w:rsid w:val="008E3E23"/>
    <w:rsid w:val="008E4615"/>
    <w:rsid w:val="008E484D"/>
    <w:rsid w:val="008E4B93"/>
    <w:rsid w:val="008E4BE1"/>
    <w:rsid w:val="008E4CC2"/>
    <w:rsid w:val="008E4F0C"/>
    <w:rsid w:val="008E4F31"/>
    <w:rsid w:val="008E5282"/>
    <w:rsid w:val="008E66B5"/>
    <w:rsid w:val="008E6A0C"/>
    <w:rsid w:val="008E6F2E"/>
    <w:rsid w:val="008E7CF7"/>
    <w:rsid w:val="008E7DCE"/>
    <w:rsid w:val="008F063F"/>
    <w:rsid w:val="008F073D"/>
    <w:rsid w:val="008F087E"/>
    <w:rsid w:val="008F0B78"/>
    <w:rsid w:val="008F0C20"/>
    <w:rsid w:val="008F0CC2"/>
    <w:rsid w:val="008F0DF1"/>
    <w:rsid w:val="008F0E52"/>
    <w:rsid w:val="008F1699"/>
    <w:rsid w:val="008F1709"/>
    <w:rsid w:val="008F19A4"/>
    <w:rsid w:val="008F1CBA"/>
    <w:rsid w:val="008F1FE4"/>
    <w:rsid w:val="008F2543"/>
    <w:rsid w:val="008F2BB8"/>
    <w:rsid w:val="008F2C33"/>
    <w:rsid w:val="008F2D2F"/>
    <w:rsid w:val="008F314C"/>
    <w:rsid w:val="008F3718"/>
    <w:rsid w:val="008F375C"/>
    <w:rsid w:val="008F3C46"/>
    <w:rsid w:val="008F3EF7"/>
    <w:rsid w:val="008F44DC"/>
    <w:rsid w:val="008F46F8"/>
    <w:rsid w:val="008F49F4"/>
    <w:rsid w:val="008F4C08"/>
    <w:rsid w:val="008F4CD1"/>
    <w:rsid w:val="008F514E"/>
    <w:rsid w:val="008F5270"/>
    <w:rsid w:val="008F52D3"/>
    <w:rsid w:val="008F544B"/>
    <w:rsid w:val="008F56A4"/>
    <w:rsid w:val="008F57D5"/>
    <w:rsid w:val="008F5D08"/>
    <w:rsid w:val="008F6092"/>
    <w:rsid w:val="008F6329"/>
    <w:rsid w:val="008F6496"/>
    <w:rsid w:val="008F6929"/>
    <w:rsid w:val="008F75F7"/>
    <w:rsid w:val="008F7A10"/>
    <w:rsid w:val="00900DF8"/>
    <w:rsid w:val="009013FD"/>
    <w:rsid w:val="009016BF"/>
    <w:rsid w:val="0090173B"/>
    <w:rsid w:val="00901CDF"/>
    <w:rsid w:val="00901FFD"/>
    <w:rsid w:val="00902227"/>
    <w:rsid w:val="00902269"/>
    <w:rsid w:val="00902533"/>
    <w:rsid w:val="00902A03"/>
    <w:rsid w:val="00902A04"/>
    <w:rsid w:val="00902D23"/>
    <w:rsid w:val="00903ADC"/>
    <w:rsid w:val="00903E6B"/>
    <w:rsid w:val="009044CA"/>
    <w:rsid w:val="009048E4"/>
    <w:rsid w:val="0090551D"/>
    <w:rsid w:val="00905757"/>
    <w:rsid w:val="00905DCC"/>
    <w:rsid w:val="0090630A"/>
    <w:rsid w:val="009065C0"/>
    <w:rsid w:val="00906CA5"/>
    <w:rsid w:val="00907306"/>
    <w:rsid w:val="00907594"/>
    <w:rsid w:val="00907B9E"/>
    <w:rsid w:val="00907CBB"/>
    <w:rsid w:val="00907CBC"/>
    <w:rsid w:val="009106AA"/>
    <w:rsid w:val="009109D3"/>
    <w:rsid w:val="00910C8C"/>
    <w:rsid w:val="009118F3"/>
    <w:rsid w:val="00911D7B"/>
    <w:rsid w:val="00911D93"/>
    <w:rsid w:val="00911DB9"/>
    <w:rsid w:val="00911EB1"/>
    <w:rsid w:val="00912143"/>
    <w:rsid w:val="00912208"/>
    <w:rsid w:val="009128EC"/>
    <w:rsid w:val="00912CEE"/>
    <w:rsid w:val="00913608"/>
    <w:rsid w:val="00914054"/>
    <w:rsid w:val="009142C0"/>
    <w:rsid w:val="009143E0"/>
    <w:rsid w:val="0091472A"/>
    <w:rsid w:val="00914D6C"/>
    <w:rsid w:val="009157FC"/>
    <w:rsid w:val="00916356"/>
    <w:rsid w:val="0091669B"/>
    <w:rsid w:val="009166BE"/>
    <w:rsid w:val="0091674D"/>
    <w:rsid w:val="00916E1A"/>
    <w:rsid w:val="00916ED0"/>
    <w:rsid w:val="00917348"/>
    <w:rsid w:val="009173DA"/>
    <w:rsid w:val="00917544"/>
    <w:rsid w:val="00917FCF"/>
    <w:rsid w:val="00920704"/>
    <w:rsid w:val="0092089F"/>
    <w:rsid w:val="00921254"/>
    <w:rsid w:val="00921433"/>
    <w:rsid w:val="00921AA5"/>
    <w:rsid w:val="00921EE2"/>
    <w:rsid w:val="009220DC"/>
    <w:rsid w:val="00922494"/>
    <w:rsid w:val="009224DA"/>
    <w:rsid w:val="00922ADE"/>
    <w:rsid w:val="00922EA0"/>
    <w:rsid w:val="00923593"/>
    <w:rsid w:val="009236A8"/>
    <w:rsid w:val="0092455B"/>
    <w:rsid w:val="00924E12"/>
    <w:rsid w:val="00925156"/>
    <w:rsid w:val="0092534B"/>
    <w:rsid w:val="0092595C"/>
    <w:rsid w:val="00925DD8"/>
    <w:rsid w:val="009264B8"/>
    <w:rsid w:val="00926C95"/>
    <w:rsid w:val="00927048"/>
    <w:rsid w:val="009275A0"/>
    <w:rsid w:val="00927B89"/>
    <w:rsid w:val="00927B9B"/>
    <w:rsid w:val="00927FA5"/>
    <w:rsid w:val="00930040"/>
    <w:rsid w:val="0093024A"/>
    <w:rsid w:val="009306FB"/>
    <w:rsid w:val="00930795"/>
    <w:rsid w:val="00930A28"/>
    <w:rsid w:val="009311AE"/>
    <w:rsid w:val="0093136C"/>
    <w:rsid w:val="009316BA"/>
    <w:rsid w:val="00931A04"/>
    <w:rsid w:val="00931D5C"/>
    <w:rsid w:val="009326D9"/>
    <w:rsid w:val="00932997"/>
    <w:rsid w:val="00932A21"/>
    <w:rsid w:val="00932C4F"/>
    <w:rsid w:val="00932D03"/>
    <w:rsid w:val="00932F33"/>
    <w:rsid w:val="009333DD"/>
    <w:rsid w:val="00933787"/>
    <w:rsid w:val="0093408A"/>
    <w:rsid w:val="00934094"/>
    <w:rsid w:val="0093446E"/>
    <w:rsid w:val="009348AB"/>
    <w:rsid w:val="00935585"/>
    <w:rsid w:val="00935A51"/>
    <w:rsid w:val="00936625"/>
    <w:rsid w:val="009367B2"/>
    <w:rsid w:val="00936CBA"/>
    <w:rsid w:val="00936D3C"/>
    <w:rsid w:val="009373A5"/>
    <w:rsid w:val="009376F7"/>
    <w:rsid w:val="00937726"/>
    <w:rsid w:val="0093797C"/>
    <w:rsid w:val="00937B7E"/>
    <w:rsid w:val="00937C34"/>
    <w:rsid w:val="0094004D"/>
    <w:rsid w:val="00940206"/>
    <w:rsid w:val="00940222"/>
    <w:rsid w:val="00940CC3"/>
    <w:rsid w:val="00940D19"/>
    <w:rsid w:val="00940E6D"/>
    <w:rsid w:val="00941105"/>
    <w:rsid w:val="00941467"/>
    <w:rsid w:val="0094158C"/>
    <w:rsid w:val="00941BEF"/>
    <w:rsid w:val="00941FDE"/>
    <w:rsid w:val="00942446"/>
    <w:rsid w:val="0094266A"/>
    <w:rsid w:val="00942804"/>
    <w:rsid w:val="00942B28"/>
    <w:rsid w:val="00942E0E"/>
    <w:rsid w:val="00942E2F"/>
    <w:rsid w:val="00943074"/>
    <w:rsid w:val="0094346F"/>
    <w:rsid w:val="0094370C"/>
    <w:rsid w:val="00943E61"/>
    <w:rsid w:val="00943F0F"/>
    <w:rsid w:val="0094456D"/>
    <w:rsid w:val="009447E7"/>
    <w:rsid w:val="00944DFE"/>
    <w:rsid w:val="00944F89"/>
    <w:rsid w:val="00944FF0"/>
    <w:rsid w:val="00945CBC"/>
    <w:rsid w:val="00945F27"/>
    <w:rsid w:val="00946011"/>
    <w:rsid w:val="009471D3"/>
    <w:rsid w:val="00947273"/>
    <w:rsid w:val="0094762E"/>
    <w:rsid w:val="00947701"/>
    <w:rsid w:val="009479CB"/>
    <w:rsid w:val="00947BDE"/>
    <w:rsid w:val="0095057B"/>
    <w:rsid w:val="0095092E"/>
    <w:rsid w:val="00950940"/>
    <w:rsid w:val="00950C4D"/>
    <w:rsid w:val="00950D14"/>
    <w:rsid w:val="009514B6"/>
    <w:rsid w:val="0095161B"/>
    <w:rsid w:val="009521C8"/>
    <w:rsid w:val="009521FD"/>
    <w:rsid w:val="009525FE"/>
    <w:rsid w:val="0095267B"/>
    <w:rsid w:val="00952CA9"/>
    <w:rsid w:val="00953164"/>
    <w:rsid w:val="009534A1"/>
    <w:rsid w:val="00953ED3"/>
    <w:rsid w:val="00953FD4"/>
    <w:rsid w:val="009542B7"/>
    <w:rsid w:val="00954324"/>
    <w:rsid w:val="009544A0"/>
    <w:rsid w:val="0095458E"/>
    <w:rsid w:val="009548A8"/>
    <w:rsid w:val="00954908"/>
    <w:rsid w:val="00954A29"/>
    <w:rsid w:val="00954A2B"/>
    <w:rsid w:val="00954DAD"/>
    <w:rsid w:val="00955588"/>
    <w:rsid w:val="009556D4"/>
    <w:rsid w:val="00955977"/>
    <w:rsid w:val="00955989"/>
    <w:rsid w:val="009561E9"/>
    <w:rsid w:val="0095630F"/>
    <w:rsid w:val="009568AA"/>
    <w:rsid w:val="00956A31"/>
    <w:rsid w:val="00956AE9"/>
    <w:rsid w:val="00956EA4"/>
    <w:rsid w:val="00957137"/>
    <w:rsid w:val="009571B6"/>
    <w:rsid w:val="0095764D"/>
    <w:rsid w:val="00957BCB"/>
    <w:rsid w:val="00957BD4"/>
    <w:rsid w:val="00957F9B"/>
    <w:rsid w:val="00957FDB"/>
    <w:rsid w:val="0096015D"/>
    <w:rsid w:val="009606A2"/>
    <w:rsid w:val="00960A0D"/>
    <w:rsid w:val="00961117"/>
    <w:rsid w:val="009614E6"/>
    <w:rsid w:val="00961BAE"/>
    <w:rsid w:val="00962EB8"/>
    <w:rsid w:val="009639B5"/>
    <w:rsid w:val="00963A65"/>
    <w:rsid w:val="00963BBA"/>
    <w:rsid w:val="00963C41"/>
    <w:rsid w:val="00963E3F"/>
    <w:rsid w:val="0096408A"/>
    <w:rsid w:val="0096445B"/>
    <w:rsid w:val="00964F7E"/>
    <w:rsid w:val="00965235"/>
    <w:rsid w:val="00965581"/>
    <w:rsid w:val="0096589E"/>
    <w:rsid w:val="00965B92"/>
    <w:rsid w:val="00965EF4"/>
    <w:rsid w:val="0096627B"/>
    <w:rsid w:val="00966327"/>
    <w:rsid w:val="00966543"/>
    <w:rsid w:val="00966685"/>
    <w:rsid w:val="009668F5"/>
    <w:rsid w:val="00966CED"/>
    <w:rsid w:val="00966E58"/>
    <w:rsid w:val="00966F2D"/>
    <w:rsid w:val="00967E73"/>
    <w:rsid w:val="00970535"/>
    <w:rsid w:val="0097071A"/>
    <w:rsid w:val="009707DD"/>
    <w:rsid w:val="00970D29"/>
    <w:rsid w:val="009711B3"/>
    <w:rsid w:val="009711D1"/>
    <w:rsid w:val="009713C9"/>
    <w:rsid w:val="00971A40"/>
    <w:rsid w:val="00971D80"/>
    <w:rsid w:val="0097280F"/>
    <w:rsid w:val="0097289A"/>
    <w:rsid w:val="00972D22"/>
    <w:rsid w:val="00973017"/>
    <w:rsid w:val="0097315C"/>
    <w:rsid w:val="0097346B"/>
    <w:rsid w:val="009734DE"/>
    <w:rsid w:val="009736CE"/>
    <w:rsid w:val="00973D18"/>
    <w:rsid w:val="00973F05"/>
    <w:rsid w:val="0097417C"/>
    <w:rsid w:val="009742A3"/>
    <w:rsid w:val="00974397"/>
    <w:rsid w:val="009743E4"/>
    <w:rsid w:val="00974503"/>
    <w:rsid w:val="00974A3D"/>
    <w:rsid w:val="00974B44"/>
    <w:rsid w:val="00975696"/>
    <w:rsid w:val="00976C2F"/>
    <w:rsid w:val="00976E33"/>
    <w:rsid w:val="00977487"/>
    <w:rsid w:val="00977687"/>
    <w:rsid w:val="009777BF"/>
    <w:rsid w:val="00977960"/>
    <w:rsid w:val="00977A78"/>
    <w:rsid w:val="00977B35"/>
    <w:rsid w:val="00977E23"/>
    <w:rsid w:val="00980A5A"/>
    <w:rsid w:val="00981275"/>
    <w:rsid w:val="00981568"/>
    <w:rsid w:val="00981E99"/>
    <w:rsid w:val="00981EF4"/>
    <w:rsid w:val="009820EA"/>
    <w:rsid w:val="0098227B"/>
    <w:rsid w:val="0098244C"/>
    <w:rsid w:val="0098256F"/>
    <w:rsid w:val="00984369"/>
    <w:rsid w:val="00984516"/>
    <w:rsid w:val="009845A5"/>
    <w:rsid w:val="00984A08"/>
    <w:rsid w:val="00984A26"/>
    <w:rsid w:val="00984EB2"/>
    <w:rsid w:val="0098535F"/>
    <w:rsid w:val="009857B8"/>
    <w:rsid w:val="0098580C"/>
    <w:rsid w:val="00985BDD"/>
    <w:rsid w:val="00985C22"/>
    <w:rsid w:val="00985ECE"/>
    <w:rsid w:val="00985FB4"/>
    <w:rsid w:val="00985FFD"/>
    <w:rsid w:val="00986150"/>
    <w:rsid w:val="009866CF"/>
    <w:rsid w:val="00986E01"/>
    <w:rsid w:val="009870F0"/>
    <w:rsid w:val="00987233"/>
    <w:rsid w:val="0098752F"/>
    <w:rsid w:val="009879F2"/>
    <w:rsid w:val="00987C3A"/>
    <w:rsid w:val="00987DC2"/>
    <w:rsid w:val="00987F80"/>
    <w:rsid w:val="009901B8"/>
    <w:rsid w:val="009908E2"/>
    <w:rsid w:val="00990C58"/>
    <w:rsid w:val="00990ED5"/>
    <w:rsid w:val="00991153"/>
    <w:rsid w:val="00991376"/>
    <w:rsid w:val="00991608"/>
    <w:rsid w:val="00991846"/>
    <w:rsid w:val="0099189F"/>
    <w:rsid w:val="009925D8"/>
    <w:rsid w:val="0099280B"/>
    <w:rsid w:val="00992B1E"/>
    <w:rsid w:val="00992CC7"/>
    <w:rsid w:val="009931F6"/>
    <w:rsid w:val="00993626"/>
    <w:rsid w:val="00993BAA"/>
    <w:rsid w:val="00993ED4"/>
    <w:rsid w:val="00993FDE"/>
    <w:rsid w:val="00994496"/>
    <w:rsid w:val="00994740"/>
    <w:rsid w:val="00994B20"/>
    <w:rsid w:val="009953E0"/>
    <w:rsid w:val="00996C4D"/>
    <w:rsid w:val="00997002"/>
    <w:rsid w:val="00997AB8"/>
    <w:rsid w:val="009A0425"/>
    <w:rsid w:val="009A0B9B"/>
    <w:rsid w:val="009A137A"/>
    <w:rsid w:val="009A1D00"/>
    <w:rsid w:val="009A21CB"/>
    <w:rsid w:val="009A22ED"/>
    <w:rsid w:val="009A271B"/>
    <w:rsid w:val="009A2759"/>
    <w:rsid w:val="009A28E2"/>
    <w:rsid w:val="009A2995"/>
    <w:rsid w:val="009A2B6C"/>
    <w:rsid w:val="009A2C98"/>
    <w:rsid w:val="009A312F"/>
    <w:rsid w:val="009A335F"/>
    <w:rsid w:val="009A3A24"/>
    <w:rsid w:val="009A3BB4"/>
    <w:rsid w:val="009A3CC2"/>
    <w:rsid w:val="009A3D63"/>
    <w:rsid w:val="009A3DCC"/>
    <w:rsid w:val="009A4209"/>
    <w:rsid w:val="009A42FE"/>
    <w:rsid w:val="009A4316"/>
    <w:rsid w:val="009A46A8"/>
    <w:rsid w:val="009A4748"/>
    <w:rsid w:val="009A4F03"/>
    <w:rsid w:val="009A5035"/>
    <w:rsid w:val="009A5062"/>
    <w:rsid w:val="009A5C11"/>
    <w:rsid w:val="009A5C25"/>
    <w:rsid w:val="009A5D5E"/>
    <w:rsid w:val="009A67DA"/>
    <w:rsid w:val="009A694D"/>
    <w:rsid w:val="009A6FAC"/>
    <w:rsid w:val="009A7984"/>
    <w:rsid w:val="009B0660"/>
    <w:rsid w:val="009B07F0"/>
    <w:rsid w:val="009B111D"/>
    <w:rsid w:val="009B20B4"/>
    <w:rsid w:val="009B238A"/>
    <w:rsid w:val="009B24F9"/>
    <w:rsid w:val="009B2966"/>
    <w:rsid w:val="009B29B8"/>
    <w:rsid w:val="009B29C2"/>
    <w:rsid w:val="009B2FB3"/>
    <w:rsid w:val="009B339A"/>
    <w:rsid w:val="009B3524"/>
    <w:rsid w:val="009B36EB"/>
    <w:rsid w:val="009B47A2"/>
    <w:rsid w:val="009B4C28"/>
    <w:rsid w:val="009B5086"/>
    <w:rsid w:val="009B5413"/>
    <w:rsid w:val="009B55CA"/>
    <w:rsid w:val="009B57DF"/>
    <w:rsid w:val="009B588A"/>
    <w:rsid w:val="009B5E81"/>
    <w:rsid w:val="009B64D3"/>
    <w:rsid w:val="009B6A62"/>
    <w:rsid w:val="009B6EE3"/>
    <w:rsid w:val="009B76D2"/>
    <w:rsid w:val="009B779C"/>
    <w:rsid w:val="009B79D9"/>
    <w:rsid w:val="009B7F23"/>
    <w:rsid w:val="009C0FB1"/>
    <w:rsid w:val="009C0FCE"/>
    <w:rsid w:val="009C1780"/>
    <w:rsid w:val="009C199D"/>
    <w:rsid w:val="009C1DD1"/>
    <w:rsid w:val="009C1E8C"/>
    <w:rsid w:val="009C1F56"/>
    <w:rsid w:val="009C2113"/>
    <w:rsid w:val="009C217A"/>
    <w:rsid w:val="009C2842"/>
    <w:rsid w:val="009C2955"/>
    <w:rsid w:val="009C2B89"/>
    <w:rsid w:val="009C2E5D"/>
    <w:rsid w:val="009C30D0"/>
    <w:rsid w:val="009C325E"/>
    <w:rsid w:val="009C32D6"/>
    <w:rsid w:val="009C344F"/>
    <w:rsid w:val="009C3797"/>
    <w:rsid w:val="009C3951"/>
    <w:rsid w:val="009C39F4"/>
    <w:rsid w:val="009C3F23"/>
    <w:rsid w:val="009C3F8E"/>
    <w:rsid w:val="009C42D9"/>
    <w:rsid w:val="009C4581"/>
    <w:rsid w:val="009C4D30"/>
    <w:rsid w:val="009C50B3"/>
    <w:rsid w:val="009C536F"/>
    <w:rsid w:val="009C54C7"/>
    <w:rsid w:val="009C5AEE"/>
    <w:rsid w:val="009C5D9A"/>
    <w:rsid w:val="009C5F8F"/>
    <w:rsid w:val="009C63A9"/>
    <w:rsid w:val="009C6F5C"/>
    <w:rsid w:val="009C716B"/>
    <w:rsid w:val="009C7348"/>
    <w:rsid w:val="009C7B3B"/>
    <w:rsid w:val="009C7C9A"/>
    <w:rsid w:val="009D016F"/>
    <w:rsid w:val="009D01EF"/>
    <w:rsid w:val="009D0DD9"/>
    <w:rsid w:val="009D0F87"/>
    <w:rsid w:val="009D0FB1"/>
    <w:rsid w:val="009D116D"/>
    <w:rsid w:val="009D14C8"/>
    <w:rsid w:val="009D170C"/>
    <w:rsid w:val="009D178D"/>
    <w:rsid w:val="009D17FA"/>
    <w:rsid w:val="009D1B7E"/>
    <w:rsid w:val="009D1C35"/>
    <w:rsid w:val="009D1FF6"/>
    <w:rsid w:val="009D29CA"/>
    <w:rsid w:val="009D29F7"/>
    <w:rsid w:val="009D2D66"/>
    <w:rsid w:val="009D301C"/>
    <w:rsid w:val="009D30BF"/>
    <w:rsid w:val="009D318A"/>
    <w:rsid w:val="009D3A52"/>
    <w:rsid w:val="009D3C35"/>
    <w:rsid w:val="009D49E2"/>
    <w:rsid w:val="009D4A0C"/>
    <w:rsid w:val="009D565C"/>
    <w:rsid w:val="009D613A"/>
    <w:rsid w:val="009D6315"/>
    <w:rsid w:val="009D631D"/>
    <w:rsid w:val="009D6B01"/>
    <w:rsid w:val="009D6DFA"/>
    <w:rsid w:val="009D6F4C"/>
    <w:rsid w:val="009D6FBE"/>
    <w:rsid w:val="009D720F"/>
    <w:rsid w:val="009D77A2"/>
    <w:rsid w:val="009D7AF1"/>
    <w:rsid w:val="009D7F8D"/>
    <w:rsid w:val="009E0022"/>
    <w:rsid w:val="009E00F9"/>
    <w:rsid w:val="009E0331"/>
    <w:rsid w:val="009E03CB"/>
    <w:rsid w:val="009E08ED"/>
    <w:rsid w:val="009E17B7"/>
    <w:rsid w:val="009E1898"/>
    <w:rsid w:val="009E1AE0"/>
    <w:rsid w:val="009E1C47"/>
    <w:rsid w:val="009E1CA3"/>
    <w:rsid w:val="009E1CCF"/>
    <w:rsid w:val="009E1F96"/>
    <w:rsid w:val="009E242E"/>
    <w:rsid w:val="009E304F"/>
    <w:rsid w:val="009E3213"/>
    <w:rsid w:val="009E4077"/>
    <w:rsid w:val="009E4185"/>
    <w:rsid w:val="009E5457"/>
    <w:rsid w:val="009E5EAF"/>
    <w:rsid w:val="009E5EF8"/>
    <w:rsid w:val="009E6719"/>
    <w:rsid w:val="009E6A7D"/>
    <w:rsid w:val="009E6C05"/>
    <w:rsid w:val="009E7397"/>
    <w:rsid w:val="009E75C9"/>
    <w:rsid w:val="009E7619"/>
    <w:rsid w:val="009E7953"/>
    <w:rsid w:val="009E7AE3"/>
    <w:rsid w:val="009F025C"/>
    <w:rsid w:val="009F03EE"/>
    <w:rsid w:val="009F0808"/>
    <w:rsid w:val="009F0C18"/>
    <w:rsid w:val="009F11D9"/>
    <w:rsid w:val="009F2B5E"/>
    <w:rsid w:val="009F2B5F"/>
    <w:rsid w:val="009F37CE"/>
    <w:rsid w:val="009F3A99"/>
    <w:rsid w:val="009F4157"/>
    <w:rsid w:val="009F42D5"/>
    <w:rsid w:val="009F442A"/>
    <w:rsid w:val="009F4752"/>
    <w:rsid w:val="009F4864"/>
    <w:rsid w:val="009F5295"/>
    <w:rsid w:val="009F5659"/>
    <w:rsid w:val="009F5E17"/>
    <w:rsid w:val="009F60C7"/>
    <w:rsid w:val="009F6A18"/>
    <w:rsid w:val="009F70B3"/>
    <w:rsid w:val="009F749C"/>
    <w:rsid w:val="00A000ED"/>
    <w:rsid w:val="00A003C3"/>
    <w:rsid w:val="00A00CFC"/>
    <w:rsid w:val="00A01311"/>
    <w:rsid w:val="00A013F1"/>
    <w:rsid w:val="00A0189F"/>
    <w:rsid w:val="00A01A5B"/>
    <w:rsid w:val="00A0264D"/>
    <w:rsid w:val="00A02B03"/>
    <w:rsid w:val="00A02ED3"/>
    <w:rsid w:val="00A0315B"/>
    <w:rsid w:val="00A03F83"/>
    <w:rsid w:val="00A0436E"/>
    <w:rsid w:val="00A0451A"/>
    <w:rsid w:val="00A04B33"/>
    <w:rsid w:val="00A04EF6"/>
    <w:rsid w:val="00A05188"/>
    <w:rsid w:val="00A05A07"/>
    <w:rsid w:val="00A05C34"/>
    <w:rsid w:val="00A05C39"/>
    <w:rsid w:val="00A06210"/>
    <w:rsid w:val="00A066C2"/>
    <w:rsid w:val="00A06810"/>
    <w:rsid w:val="00A06C39"/>
    <w:rsid w:val="00A06D74"/>
    <w:rsid w:val="00A0718A"/>
    <w:rsid w:val="00A07514"/>
    <w:rsid w:val="00A075FA"/>
    <w:rsid w:val="00A07C10"/>
    <w:rsid w:val="00A07F74"/>
    <w:rsid w:val="00A100D5"/>
    <w:rsid w:val="00A10382"/>
    <w:rsid w:val="00A10522"/>
    <w:rsid w:val="00A10588"/>
    <w:rsid w:val="00A11557"/>
    <w:rsid w:val="00A11776"/>
    <w:rsid w:val="00A118DB"/>
    <w:rsid w:val="00A11E61"/>
    <w:rsid w:val="00A124BB"/>
    <w:rsid w:val="00A124D7"/>
    <w:rsid w:val="00A125D2"/>
    <w:rsid w:val="00A127B4"/>
    <w:rsid w:val="00A12B5F"/>
    <w:rsid w:val="00A12B75"/>
    <w:rsid w:val="00A13015"/>
    <w:rsid w:val="00A136E0"/>
    <w:rsid w:val="00A1381A"/>
    <w:rsid w:val="00A141D3"/>
    <w:rsid w:val="00A148BE"/>
    <w:rsid w:val="00A14A4C"/>
    <w:rsid w:val="00A14E4D"/>
    <w:rsid w:val="00A15701"/>
    <w:rsid w:val="00A1576D"/>
    <w:rsid w:val="00A15B5D"/>
    <w:rsid w:val="00A16C01"/>
    <w:rsid w:val="00A17136"/>
    <w:rsid w:val="00A17336"/>
    <w:rsid w:val="00A17C2D"/>
    <w:rsid w:val="00A17CA5"/>
    <w:rsid w:val="00A17CC6"/>
    <w:rsid w:val="00A17CC8"/>
    <w:rsid w:val="00A17DF6"/>
    <w:rsid w:val="00A202C6"/>
    <w:rsid w:val="00A20CBD"/>
    <w:rsid w:val="00A213FC"/>
    <w:rsid w:val="00A21CC2"/>
    <w:rsid w:val="00A21D1A"/>
    <w:rsid w:val="00A22185"/>
    <w:rsid w:val="00A221DC"/>
    <w:rsid w:val="00A2251E"/>
    <w:rsid w:val="00A24623"/>
    <w:rsid w:val="00A24678"/>
    <w:rsid w:val="00A24DF6"/>
    <w:rsid w:val="00A254A8"/>
    <w:rsid w:val="00A25A67"/>
    <w:rsid w:val="00A25D84"/>
    <w:rsid w:val="00A2601A"/>
    <w:rsid w:val="00A2692D"/>
    <w:rsid w:val="00A26B1D"/>
    <w:rsid w:val="00A30415"/>
    <w:rsid w:val="00A30955"/>
    <w:rsid w:val="00A30974"/>
    <w:rsid w:val="00A30E36"/>
    <w:rsid w:val="00A30F09"/>
    <w:rsid w:val="00A31160"/>
    <w:rsid w:val="00A31697"/>
    <w:rsid w:val="00A31746"/>
    <w:rsid w:val="00A319B3"/>
    <w:rsid w:val="00A31C7C"/>
    <w:rsid w:val="00A31FB9"/>
    <w:rsid w:val="00A3212F"/>
    <w:rsid w:val="00A32233"/>
    <w:rsid w:val="00A3261C"/>
    <w:rsid w:val="00A328FC"/>
    <w:rsid w:val="00A32C66"/>
    <w:rsid w:val="00A33656"/>
    <w:rsid w:val="00A33762"/>
    <w:rsid w:val="00A33F6F"/>
    <w:rsid w:val="00A34868"/>
    <w:rsid w:val="00A34935"/>
    <w:rsid w:val="00A34C11"/>
    <w:rsid w:val="00A34D83"/>
    <w:rsid w:val="00A34E74"/>
    <w:rsid w:val="00A3599C"/>
    <w:rsid w:val="00A3607B"/>
    <w:rsid w:val="00A366D9"/>
    <w:rsid w:val="00A36F56"/>
    <w:rsid w:val="00A37089"/>
    <w:rsid w:val="00A374FF"/>
    <w:rsid w:val="00A375DE"/>
    <w:rsid w:val="00A408B2"/>
    <w:rsid w:val="00A409E3"/>
    <w:rsid w:val="00A40D18"/>
    <w:rsid w:val="00A41B75"/>
    <w:rsid w:val="00A41BBE"/>
    <w:rsid w:val="00A41C0A"/>
    <w:rsid w:val="00A41EFD"/>
    <w:rsid w:val="00A42001"/>
    <w:rsid w:val="00A428D5"/>
    <w:rsid w:val="00A42DFF"/>
    <w:rsid w:val="00A435FF"/>
    <w:rsid w:val="00A438BE"/>
    <w:rsid w:val="00A438CC"/>
    <w:rsid w:val="00A43B65"/>
    <w:rsid w:val="00A43F8D"/>
    <w:rsid w:val="00A45319"/>
    <w:rsid w:val="00A458DA"/>
    <w:rsid w:val="00A459F0"/>
    <w:rsid w:val="00A45DB3"/>
    <w:rsid w:val="00A45F78"/>
    <w:rsid w:val="00A46540"/>
    <w:rsid w:val="00A46B42"/>
    <w:rsid w:val="00A46CA9"/>
    <w:rsid w:val="00A47A03"/>
    <w:rsid w:val="00A47BB3"/>
    <w:rsid w:val="00A47F31"/>
    <w:rsid w:val="00A502E9"/>
    <w:rsid w:val="00A5047C"/>
    <w:rsid w:val="00A50560"/>
    <w:rsid w:val="00A50DCF"/>
    <w:rsid w:val="00A5165F"/>
    <w:rsid w:val="00A51684"/>
    <w:rsid w:val="00A517F7"/>
    <w:rsid w:val="00A524FA"/>
    <w:rsid w:val="00A528A5"/>
    <w:rsid w:val="00A529E9"/>
    <w:rsid w:val="00A52B2C"/>
    <w:rsid w:val="00A52C35"/>
    <w:rsid w:val="00A52C92"/>
    <w:rsid w:val="00A535CC"/>
    <w:rsid w:val="00A535ED"/>
    <w:rsid w:val="00A53C67"/>
    <w:rsid w:val="00A53DFB"/>
    <w:rsid w:val="00A5430F"/>
    <w:rsid w:val="00A54315"/>
    <w:rsid w:val="00A54490"/>
    <w:rsid w:val="00A54723"/>
    <w:rsid w:val="00A54C0E"/>
    <w:rsid w:val="00A54D93"/>
    <w:rsid w:val="00A54E2B"/>
    <w:rsid w:val="00A54EE1"/>
    <w:rsid w:val="00A559D9"/>
    <w:rsid w:val="00A55CAE"/>
    <w:rsid w:val="00A562B6"/>
    <w:rsid w:val="00A5635D"/>
    <w:rsid w:val="00A56502"/>
    <w:rsid w:val="00A56970"/>
    <w:rsid w:val="00A56E0C"/>
    <w:rsid w:val="00A56F1B"/>
    <w:rsid w:val="00A56FB8"/>
    <w:rsid w:val="00A571B2"/>
    <w:rsid w:val="00A571D0"/>
    <w:rsid w:val="00A57597"/>
    <w:rsid w:val="00A57653"/>
    <w:rsid w:val="00A57CD6"/>
    <w:rsid w:val="00A60D10"/>
    <w:rsid w:val="00A60E8D"/>
    <w:rsid w:val="00A6117C"/>
    <w:rsid w:val="00A62160"/>
    <w:rsid w:val="00A627DA"/>
    <w:rsid w:val="00A63134"/>
    <w:rsid w:val="00A633E0"/>
    <w:rsid w:val="00A63637"/>
    <w:rsid w:val="00A63AFA"/>
    <w:rsid w:val="00A63E5D"/>
    <w:rsid w:val="00A64649"/>
    <w:rsid w:val="00A6488D"/>
    <w:rsid w:val="00A65374"/>
    <w:rsid w:val="00A657D3"/>
    <w:rsid w:val="00A65854"/>
    <w:rsid w:val="00A65E82"/>
    <w:rsid w:val="00A66444"/>
    <w:rsid w:val="00A670CC"/>
    <w:rsid w:val="00A673ED"/>
    <w:rsid w:val="00A673FC"/>
    <w:rsid w:val="00A67872"/>
    <w:rsid w:val="00A67919"/>
    <w:rsid w:val="00A6791A"/>
    <w:rsid w:val="00A67F48"/>
    <w:rsid w:val="00A701D3"/>
    <w:rsid w:val="00A7027E"/>
    <w:rsid w:val="00A70A09"/>
    <w:rsid w:val="00A70BC2"/>
    <w:rsid w:val="00A70BF5"/>
    <w:rsid w:val="00A7143D"/>
    <w:rsid w:val="00A718BC"/>
    <w:rsid w:val="00A721FE"/>
    <w:rsid w:val="00A724FA"/>
    <w:rsid w:val="00A7275C"/>
    <w:rsid w:val="00A72A56"/>
    <w:rsid w:val="00A72BFC"/>
    <w:rsid w:val="00A7343A"/>
    <w:rsid w:val="00A73562"/>
    <w:rsid w:val="00A73B30"/>
    <w:rsid w:val="00A73B36"/>
    <w:rsid w:val="00A73C31"/>
    <w:rsid w:val="00A73E3F"/>
    <w:rsid w:val="00A73EBF"/>
    <w:rsid w:val="00A73F40"/>
    <w:rsid w:val="00A741CE"/>
    <w:rsid w:val="00A743E8"/>
    <w:rsid w:val="00A74869"/>
    <w:rsid w:val="00A74DAC"/>
    <w:rsid w:val="00A74F7C"/>
    <w:rsid w:val="00A7544A"/>
    <w:rsid w:val="00A7557E"/>
    <w:rsid w:val="00A75CE5"/>
    <w:rsid w:val="00A76272"/>
    <w:rsid w:val="00A76946"/>
    <w:rsid w:val="00A77161"/>
    <w:rsid w:val="00A774EF"/>
    <w:rsid w:val="00A77877"/>
    <w:rsid w:val="00A80714"/>
    <w:rsid w:val="00A8090F"/>
    <w:rsid w:val="00A80954"/>
    <w:rsid w:val="00A80E8C"/>
    <w:rsid w:val="00A81DD3"/>
    <w:rsid w:val="00A81E91"/>
    <w:rsid w:val="00A81EE5"/>
    <w:rsid w:val="00A82897"/>
    <w:rsid w:val="00A82B7A"/>
    <w:rsid w:val="00A83FA5"/>
    <w:rsid w:val="00A84CE7"/>
    <w:rsid w:val="00A84CEA"/>
    <w:rsid w:val="00A84D78"/>
    <w:rsid w:val="00A84F03"/>
    <w:rsid w:val="00A851F7"/>
    <w:rsid w:val="00A854B3"/>
    <w:rsid w:val="00A854BE"/>
    <w:rsid w:val="00A8698E"/>
    <w:rsid w:val="00A8710E"/>
    <w:rsid w:val="00A872E5"/>
    <w:rsid w:val="00A8739C"/>
    <w:rsid w:val="00A87C61"/>
    <w:rsid w:val="00A87F70"/>
    <w:rsid w:val="00A902A5"/>
    <w:rsid w:val="00A90937"/>
    <w:rsid w:val="00A90AD8"/>
    <w:rsid w:val="00A91652"/>
    <w:rsid w:val="00A9178B"/>
    <w:rsid w:val="00A91B53"/>
    <w:rsid w:val="00A92870"/>
    <w:rsid w:val="00A9294D"/>
    <w:rsid w:val="00A930DA"/>
    <w:rsid w:val="00A9326F"/>
    <w:rsid w:val="00A93716"/>
    <w:rsid w:val="00A937FC"/>
    <w:rsid w:val="00A93966"/>
    <w:rsid w:val="00A94008"/>
    <w:rsid w:val="00A94413"/>
    <w:rsid w:val="00A95194"/>
    <w:rsid w:val="00A9587B"/>
    <w:rsid w:val="00A95B72"/>
    <w:rsid w:val="00A9710A"/>
    <w:rsid w:val="00A97243"/>
    <w:rsid w:val="00A972CB"/>
    <w:rsid w:val="00A9769C"/>
    <w:rsid w:val="00A97BB2"/>
    <w:rsid w:val="00A97C72"/>
    <w:rsid w:val="00AA03E6"/>
    <w:rsid w:val="00AA0794"/>
    <w:rsid w:val="00AA0C34"/>
    <w:rsid w:val="00AA1C3B"/>
    <w:rsid w:val="00AA1DEE"/>
    <w:rsid w:val="00AA1FB7"/>
    <w:rsid w:val="00AA2244"/>
    <w:rsid w:val="00AA2349"/>
    <w:rsid w:val="00AA26CA"/>
    <w:rsid w:val="00AA2BAA"/>
    <w:rsid w:val="00AA333C"/>
    <w:rsid w:val="00AA3A79"/>
    <w:rsid w:val="00AA4398"/>
    <w:rsid w:val="00AA4581"/>
    <w:rsid w:val="00AA4804"/>
    <w:rsid w:val="00AA57A4"/>
    <w:rsid w:val="00AA583C"/>
    <w:rsid w:val="00AA5A67"/>
    <w:rsid w:val="00AA5D2E"/>
    <w:rsid w:val="00AA5D7F"/>
    <w:rsid w:val="00AA601F"/>
    <w:rsid w:val="00AA6188"/>
    <w:rsid w:val="00AA6360"/>
    <w:rsid w:val="00AA6528"/>
    <w:rsid w:val="00AA7737"/>
    <w:rsid w:val="00AA7938"/>
    <w:rsid w:val="00AA7D89"/>
    <w:rsid w:val="00AA7D8B"/>
    <w:rsid w:val="00AB0047"/>
    <w:rsid w:val="00AB0C0A"/>
    <w:rsid w:val="00AB0CEF"/>
    <w:rsid w:val="00AB1200"/>
    <w:rsid w:val="00AB1282"/>
    <w:rsid w:val="00AB137E"/>
    <w:rsid w:val="00AB143A"/>
    <w:rsid w:val="00AB24A5"/>
    <w:rsid w:val="00AB2DAE"/>
    <w:rsid w:val="00AB3449"/>
    <w:rsid w:val="00AB39F5"/>
    <w:rsid w:val="00AB3D4D"/>
    <w:rsid w:val="00AB4025"/>
    <w:rsid w:val="00AB4E4E"/>
    <w:rsid w:val="00AB5047"/>
    <w:rsid w:val="00AB581D"/>
    <w:rsid w:val="00AB5D4F"/>
    <w:rsid w:val="00AB5D6A"/>
    <w:rsid w:val="00AB5F16"/>
    <w:rsid w:val="00AB6911"/>
    <w:rsid w:val="00AB69A4"/>
    <w:rsid w:val="00AB71F3"/>
    <w:rsid w:val="00AB72D5"/>
    <w:rsid w:val="00AB739E"/>
    <w:rsid w:val="00AB7611"/>
    <w:rsid w:val="00AB76B3"/>
    <w:rsid w:val="00AB7943"/>
    <w:rsid w:val="00AB7BA7"/>
    <w:rsid w:val="00AC0051"/>
    <w:rsid w:val="00AC02CC"/>
    <w:rsid w:val="00AC03DC"/>
    <w:rsid w:val="00AC098A"/>
    <w:rsid w:val="00AC0C10"/>
    <w:rsid w:val="00AC0D6D"/>
    <w:rsid w:val="00AC14F0"/>
    <w:rsid w:val="00AC15F0"/>
    <w:rsid w:val="00AC1777"/>
    <w:rsid w:val="00AC177A"/>
    <w:rsid w:val="00AC19B2"/>
    <w:rsid w:val="00AC1CEA"/>
    <w:rsid w:val="00AC1D79"/>
    <w:rsid w:val="00AC2274"/>
    <w:rsid w:val="00AC238F"/>
    <w:rsid w:val="00AC2798"/>
    <w:rsid w:val="00AC27C0"/>
    <w:rsid w:val="00AC2F1D"/>
    <w:rsid w:val="00AC34AB"/>
    <w:rsid w:val="00AC34D2"/>
    <w:rsid w:val="00AC379F"/>
    <w:rsid w:val="00AC3810"/>
    <w:rsid w:val="00AC3C4C"/>
    <w:rsid w:val="00AC3F42"/>
    <w:rsid w:val="00AC4E0E"/>
    <w:rsid w:val="00AC52A4"/>
    <w:rsid w:val="00AC5A9A"/>
    <w:rsid w:val="00AC63BC"/>
    <w:rsid w:val="00AC6739"/>
    <w:rsid w:val="00AC6CCF"/>
    <w:rsid w:val="00AC7079"/>
    <w:rsid w:val="00AC7A44"/>
    <w:rsid w:val="00AD0A62"/>
    <w:rsid w:val="00AD0BB4"/>
    <w:rsid w:val="00AD106A"/>
    <w:rsid w:val="00AD3457"/>
    <w:rsid w:val="00AD363A"/>
    <w:rsid w:val="00AD3876"/>
    <w:rsid w:val="00AD39B5"/>
    <w:rsid w:val="00AD3B65"/>
    <w:rsid w:val="00AD3CD3"/>
    <w:rsid w:val="00AD4501"/>
    <w:rsid w:val="00AD46B3"/>
    <w:rsid w:val="00AD4AF2"/>
    <w:rsid w:val="00AD4CEA"/>
    <w:rsid w:val="00AD57B0"/>
    <w:rsid w:val="00AD5CC7"/>
    <w:rsid w:val="00AD5E6D"/>
    <w:rsid w:val="00AD637B"/>
    <w:rsid w:val="00AD65A9"/>
    <w:rsid w:val="00AD6955"/>
    <w:rsid w:val="00AD699D"/>
    <w:rsid w:val="00AD7165"/>
    <w:rsid w:val="00AD7AC2"/>
    <w:rsid w:val="00AE0190"/>
    <w:rsid w:val="00AE0558"/>
    <w:rsid w:val="00AE05EA"/>
    <w:rsid w:val="00AE063F"/>
    <w:rsid w:val="00AE0823"/>
    <w:rsid w:val="00AE0B4F"/>
    <w:rsid w:val="00AE0ED5"/>
    <w:rsid w:val="00AE134B"/>
    <w:rsid w:val="00AE23ED"/>
    <w:rsid w:val="00AE258F"/>
    <w:rsid w:val="00AE2DB6"/>
    <w:rsid w:val="00AE3464"/>
    <w:rsid w:val="00AE352F"/>
    <w:rsid w:val="00AE39FF"/>
    <w:rsid w:val="00AE3A61"/>
    <w:rsid w:val="00AE3A7B"/>
    <w:rsid w:val="00AE4077"/>
    <w:rsid w:val="00AE4097"/>
    <w:rsid w:val="00AE4540"/>
    <w:rsid w:val="00AE4936"/>
    <w:rsid w:val="00AE4C36"/>
    <w:rsid w:val="00AE522F"/>
    <w:rsid w:val="00AE551B"/>
    <w:rsid w:val="00AE5C43"/>
    <w:rsid w:val="00AE5CC5"/>
    <w:rsid w:val="00AE636B"/>
    <w:rsid w:val="00AE6882"/>
    <w:rsid w:val="00AE72A8"/>
    <w:rsid w:val="00AE72DA"/>
    <w:rsid w:val="00AE7391"/>
    <w:rsid w:val="00AE79B7"/>
    <w:rsid w:val="00AF0603"/>
    <w:rsid w:val="00AF08B1"/>
    <w:rsid w:val="00AF09A9"/>
    <w:rsid w:val="00AF0AC4"/>
    <w:rsid w:val="00AF11F0"/>
    <w:rsid w:val="00AF1491"/>
    <w:rsid w:val="00AF2294"/>
    <w:rsid w:val="00AF24EF"/>
    <w:rsid w:val="00AF2D2A"/>
    <w:rsid w:val="00AF3270"/>
    <w:rsid w:val="00AF352A"/>
    <w:rsid w:val="00AF363C"/>
    <w:rsid w:val="00AF36FE"/>
    <w:rsid w:val="00AF374C"/>
    <w:rsid w:val="00AF39E6"/>
    <w:rsid w:val="00AF4968"/>
    <w:rsid w:val="00AF52CB"/>
    <w:rsid w:val="00AF52FE"/>
    <w:rsid w:val="00AF5308"/>
    <w:rsid w:val="00AF589D"/>
    <w:rsid w:val="00AF59BB"/>
    <w:rsid w:val="00AF5F8E"/>
    <w:rsid w:val="00AF604C"/>
    <w:rsid w:val="00AF60A7"/>
    <w:rsid w:val="00AF6246"/>
    <w:rsid w:val="00AF641D"/>
    <w:rsid w:val="00AF6973"/>
    <w:rsid w:val="00AF6E5C"/>
    <w:rsid w:val="00AF7309"/>
    <w:rsid w:val="00AF7598"/>
    <w:rsid w:val="00AF7B97"/>
    <w:rsid w:val="00AF7CAC"/>
    <w:rsid w:val="00B008BB"/>
    <w:rsid w:val="00B00D60"/>
    <w:rsid w:val="00B00F6C"/>
    <w:rsid w:val="00B0163F"/>
    <w:rsid w:val="00B0184B"/>
    <w:rsid w:val="00B01F4A"/>
    <w:rsid w:val="00B02348"/>
    <w:rsid w:val="00B02C12"/>
    <w:rsid w:val="00B0486D"/>
    <w:rsid w:val="00B04B66"/>
    <w:rsid w:val="00B050C7"/>
    <w:rsid w:val="00B05345"/>
    <w:rsid w:val="00B0555C"/>
    <w:rsid w:val="00B05AB5"/>
    <w:rsid w:val="00B06428"/>
    <w:rsid w:val="00B06461"/>
    <w:rsid w:val="00B068E1"/>
    <w:rsid w:val="00B06E45"/>
    <w:rsid w:val="00B06F29"/>
    <w:rsid w:val="00B07B32"/>
    <w:rsid w:val="00B103CE"/>
    <w:rsid w:val="00B10818"/>
    <w:rsid w:val="00B10AFE"/>
    <w:rsid w:val="00B1103F"/>
    <w:rsid w:val="00B11DB4"/>
    <w:rsid w:val="00B1219E"/>
    <w:rsid w:val="00B124DC"/>
    <w:rsid w:val="00B12A2E"/>
    <w:rsid w:val="00B12EE8"/>
    <w:rsid w:val="00B130A8"/>
    <w:rsid w:val="00B14424"/>
    <w:rsid w:val="00B144F5"/>
    <w:rsid w:val="00B14539"/>
    <w:rsid w:val="00B1459F"/>
    <w:rsid w:val="00B1497A"/>
    <w:rsid w:val="00B15196"/>
    <w:rsid w:val="00B1527E"/>
    <w:rsid w:val="00B15CA3"/>
    <w:rsid w:val="00B160C9"/>
    <w:rsid w:val="00B1626E"/>
    <w:rsid w:val="00B16288"/>
    <w:rsid w:val="00B16CF4"/>
    <w:rsid w:val="00B16EF2"/>
    <w:rsid w:val="00B16F09"/>
    <w:rsid w:val="00B16F63"/>
    <w:rsid w:val="00B1710E"/>
    <w:rsid w:val="00B1758A"/>
    <w:rsid w:val="00B175F6"/>
    <w:rsid w:val="00B17E63"/>
    <w:rsid w:val="00B20370"/>
    <w:rsid w:val="00B20844"/>
    <w:rsid w:val="00B219D2"/>
    <w:rsid w:val="00B21D95"/>
    <w:rsid w:val="00B2242D"/>
    <w:rsid w:val="00B224F5"/>
    <w:rsid w:val="00B2285A"/>
    <w:rsid w:val="00B22FD1"/>
    <w:rsid w:val="00B2361A"/>
    <w:rsid w:val="00B23AA6"/>
    <w:rsid w:val="00B23CC0"/>
    <w:rsid w:val="00B242A7"/>
    <w:rsid w:val="00B244E8"/>
    <w:rsid w:val="00B246F8"/>
    <w:rsid w:val="00B24BB0"/>
    <w:rsid w:val="00B24DF7"/>
    <w:rsid w:val="00B25114"/>
    <w:rsid w:val="00B258D1"/>
    <w:rsid w:val="00B25982"/>
    <w:rsid w:val="00B26153"/>
    <w:rsid w:val="00B26463"/>
    <w:rsid w:val="00B26F9A"/>
    <w:rsid w:val="00B2799E"/>
    <w:rsid w:val="00B30193"/>
    <w:rsid w:val="00B301BF"/>
    <w:rsid w:val="00B30E04"/>
    <w:rsid w:val="00B3139D"/>
    <w:rsid w:val="00B317D0"/>
    <w:rsid w:val="00B31D7D"/>
    <w:rsid w:val="00B32095"/>
    <w:rsid w:val="00B32918"/>
    <w:rsid w:val="00B3308C"/>
    <w:rsid w:val="00B330E4"/>
    <w:rsid w:val="00B33351"/>
    <w:rsid w:val="00B33B63"/>
    <w:rsid w:val="00B33B80"/>
    <w:rsid w:val="00B345FD"/>
    <w:rsid w:val="00B34859"/>
    <w:rsid w:val="00B34925"/>
    <w:rsid w:val="00B349C5"/>
    <w:rsid w:val="00B34C13"/>
    <w:rsid w:val="00B34CA9"/>
    <w:rsid w:val="00B34CC6"/>
    <w:rsid w:val="00B3533C"/>
    <w:rsid w:val="00B355E5"/>
    <w:rsid w:val="00B3575A"/>
    <w:rsid w:val="00B35D34"/>
    <w:rsid w:val="00B35D57"/>
    <w:rsid w:val="00B35EEF"/>
    <w:rsid w:val="00B36274"/>
    <w:rsid w:val="00B3638B"/>
    <w:rsid w:val="00B36533"/>
    <w:rsid w:val="00B36A53"/>
    <w:rsid w:val="00B37442"/>
    <w:rsid w:val="00B37B2D"/>
    <w:rsid w:val="00B4074E"/>
    <w:rsid w:val="00B40784"/>
    <w:rsid w:val="00B40AEF"/>
    <w:rsid w:val="00B40CE8"/>
    <w:rsid w:val="00B41754"/>
    <w:rsid w:val="00B41E7C"/>
    <w:rsid w:val="00B41FB4"/>
    <w:rsid w:val="00B42049"/>
    <w:rsid w:val="00B42830"/>
    <w:rsid w:val="00B42A3D"/>
    <w:rsid w:val="00B42BEA"/>
    <w:rsid w:val="00B42CFA"/>
    <w:rsid w:val="00B431C0"/>
    <w:rsid w:val="00B435B3"/>
    <w:rsid w:val="00B436B9"/>
    <w:rsid w:val="00B43E5A"/>
    <w:rsid w:val="00B43F46"/>
    <w:rsid w:val="00B444F1"/>
    <w:rsid w:val="00B4492B"/>
    <w:rsid w:val="00B44F2F"/>
    <w:rsid w:val="00B45BF7"/>
    <w:rsid w:val="00B45CD5"/>
    <w:rsid w:val="00B45EDB"/>
    <w:rsid w:val="00B45F34"/>
    <w:rsid w:val="00B45FD4"/>
    <w:rsid w:val="00B46481"/>
    <w:rsid w:val="00B467A7"/>
    <w:rsid w:val="00B4680F"/>
    <w:rsid w:val="00B46FA2"/>
    <w:rsid w:val="00B4780B"/>
    <w:rsid w:val="00B50023"/>
    <w:rsid w:val="00B5101E"/>
    <w:rsid w:val="00B51521"/>
    <w:rsid w:val="00B528CA"/>
    <w:rsid w:val="00B52A32"/>
    <w:rsid w:val="00B52A33"/>
    <w:rsid w:val="00B52CAE"/>
    <w:rsid w:val="00B5325B"/>
    <w:rsid w:val="00B532EF"/>
    <w:rsid w:val="00B53718"/>
    <w:rsid w:val="00B539D4"/>
    <w:rsid w:val="00B54751"/>
    <w:rsid w:val="00B54941"/>
    <w:rsid w:val="00B54DBF"/>
    <w:rsid w:val="00B54DFB"/>
    <w:rsid w:val="00B54F02"/>
    <w:rsid w:val="00B54FAE"/>
    <w:rsid w:val="00B555DB"/>
    <w:rsid w:val="00B5595D"/>
    <w:rsid w:val="00B559C7"/>
    <w:rsid w:val="00B55A77"/>
    <w:rsid w:val="00B56196"/>
    <w:rsid w:val="00B56EF0"/>
    <w:rsid w:val="00B570D4"/>
    <w:rsid w:val="00B57215"/>
    <w:rsid w:val="00B57410"/>
    <w:rsid w:val="00B57423"/>
    <w:rsid w:val="00B57735"/>
    <w:rsid w:val="00B57B8E"/>
    <w:rsid w:val="00B57F0C"/>
    <w:rsid w:val="00B60081"/>
    <w:rsid w:val="00B60A1B"/>
    <w:rsid w:val="00B610EB"/>
    <w:rsid w:val="00B61A22"/>
    <w:rsid w:val="00B61D57"/>
    <w:rsid w:val="00B61DEB"/>
    <w:rsid w:val="00B620E7"/>
    <w:rsid w:val="00B62B3F"/>
    <w:rsid w:val="00B62F57"/>
    <w:rsid w:val="00B63073"/>
    <w:rsid w:val="00B63CB7"/>
    <w:rsid w:val="00B640DD"/>
    <w:rsid w:val="00B64181"/>
    <w:rsid w:val="00B6456E"/>
    <w:rsid w:val="00B647FB"/>
    <w:rsid w:val="00B648FD"/>
    <w:rsid w:val="00B64ACE"/>
    <w:rsid w:val="00B64BEE"/>
    <w:rsid w:val="00B64D4A"/>
    <w:rsid w:val="00B650D4"/>
    <w:rsid w:val="00B65574"/>
    <w:rsid w:val="00B65E77"/>
    <w:rsid w:val="00B65FC9"/>
    <w:rsid w:val="00B66050"/>
    <w:rsid w:val="00B661AC"/>
    <w:rsid w:val="00B66633"/>
    <w:rsid w:val="00B66840"/>
    <w:rsid w:val="00B66D49"/>
    <w:rsid w:val="00B66E28"/>
    <w:rsid w:val="00B67290"/>
    <w:rsid w:val="00B6794A"/>
    <w:rsid w:val="00B67C46"/>
    <w:rsid w:val="00B67D2F"/>
    <w:rsid w:val="00B70180"/>
    <w:rsid w:val="00B708FF"/>
    <w:rsid w:val="00B70B20"/>
    <w:rsid w:val="00B70C4E"/>
    <w:rsid w:val="00B70E6A"/>
    <w:rsid w:val="00B71A09"/>
    <w:rsid w:val="00B71A94"/>
    <w:rsid w:val="00B71AB5"/>
    <w:rsid w:val="00B722FC"/>
    <w:rsid w:val="00B730DA"/>
    <w:rsid w:val="00B736E1"/>
    <w:rsid w:val="00B73BBB"/>
    <w:rsid w:val="00B7495F"/>
    <w:rsid w:val="00B74AEE"/>
    <w:rsid w:val="00B74F97"/>
    <w:rsid w:val="00B74FD0"/>
    <w:rsid w:val="00B751C1"/>
    <w:rsid w:val="00B75952"/>
    <w:rsid w:val="00B7609F"/>
    <w:rsid w:val="00B7616F"/>
    <w:rsid w:val="00B76639"/>
    <w:rsid w:val="00B76646"/>
    <w:rsid w:val="00B76D20"/>
    <w:rsid w:val="00B76EFA"/>
    <w:rsid w:val="00B77188"/>
    <w:rsid w:val="00B77286"/>
    <w:rsid w:val="00B77463"/>
    <w:rsid w:val="00B7792A"/>
    <w:rsid w:val="00B8000F"/>
    <w:rsid w:val="00B80BB4"/>
    <w:rsid w:val="00B80C16"/>
    <w:rsid w:val="00B81C37"/>
    <w:rsid w:val="00B820B8"/>
    <w:rsid w:val="00B824EE"/>
    <w:rsid w:val="00B82684"/>
    <w:rsid w:val="00B8329D"/>
    <w:rsid w:val="00B837D0"/>
    <w:rsid w:val="00B839A0"/>
    <w:rsid w:val="00B8408A"/>
    <w:rsid w:val="00B8444B"/>
    <w:rsid w:val="00B8460E"/>
    <w:rsid w:val="00B848C2"/>
    <w:rsid w:val="00B84D9D"/>
    <w:rsid w:val="00B84DDF"/>
    <w:rsid w:val="00B85629"/>
    <w:rsid w:val="00B85E88"/>
    <w:rsid w:val="00B864EC"/>
    <w:rsid w:val="00B866E0"/>
    <w:rsid w:val="00B868F4"/>
    <w:rsid w:val="00B86DEE"/>
    <w:rsid w:val="00B87056"/>
    <w:rsid w:val="00B875AE"/>
    <w:rsid w:val="00B87B6A"/>
    <w:rsid w:val="00B87D58"/>
    <w:rsid w:val="00B87F51"/>
    <w:rsid w:val="00B90497"/>
    <w:rsid w:val="00B90714"/>
    <w:rsid w:val="00B90B49"/>
    <w:rsid w:val="00B911DD"/>
    <w:rsid w:val="00B9156D"/>
    <w:rsid w:val="00B91844"/>
    <w:rsid w:val="00B91936"/>
    <w:rsid w:val="00B91B32"/>
    <w:rsid w:val="00B91BE8"/>
    <w:rsid w:val="00B91D13"/>
    <w:rsid w:val="00B921DC"/>
    <w:rsid w:val="00B92674"/>
    <w:rsid w:val="00B92861"/>
    <w:rsid w:val="00B92FD3"/>
    <w:rsid w:val="00B9321C"/>
    <w:rsid w:val="00B93434"/>
    <w:rsid w:val="00B93D50"/>
    <w:rsid w:val="00B93E54"/>
    <w:rsid w:val="00B941D1"/>
    <w:rsid w:val="00B949F6"/>
    <w:rsid w:val="00B9522A"/>
    <w:rsid w:val="00B95982"/>
    <w:rsid w:val="00B95CF0"/>
    <w:rsid w:val="00B96E6A"/>
    <w:rsid w:val="00B971FE"/>
    <w:rsid w:val="00B97303"/>
    <w:rsid w:val="00B97A31"/>
    <w:rsid w:val="00B97B29"/>
    <w:rsid w:val="00B97D90"/>
    <w:rsid w:val="00BA0074"/>
    <w:rsid w:val="00BA022F"/>
    <w:rsid w:val="00BA0541"/>
    <w:rsid w:val="00BA07AC"/>
    <w:rsid w:val="00BA10B8"/>
    <w:rsid w:val="00BA1118"/>
    <w:rsid w:val="00BA1570"/>
    <w:rsid w:val="00BA15CD"/>
    <w:rsid w:val="00BA1671"/>
    <w:rsid w:val="00BA19B2"/>
    <w:rsid w:val="00BA1BA2"/>
    <w:rsid w:val="00BA2370"/>
    <w:rsid w:val="00BA2E2F"/>
    <w:rsid w:val="00BA32D6"/>
    <w:rsid w:val="00BA3ADA"/>
    <w:rsid w:val="00BA3B16"/>
    <w:rsid w:val="00BA3C25"/>
    <w:rsid w:val="00BA3D9A"/>
    <w:rsid w:val="00BA3DFA"/>
    <w:rsid w:val="00BA416C"/>
    <w:rsid w:val="00BA42B4"/>
    <w:rsid w:val="00BA4418"/>
    <w:rsid w:val="00BA4601"/>
    <w:rsid w:val="00BA47F2"/>
    <w:rsid w:val="00BA4C8F"/>
    <w:rsid w:val="00BA4D05"/>
    <w:rsid w:val="00BA5143"/>
    <w:rsid w:val="00BA5686"/>
    <w:rsid w:val="00BA56FB"/>
    <w:rsid w:val="00BA5AA7"/>
    <w:rsid w:val="00BA5B92"/>
    <w:rsid w:val="00BA6168"/>
    <w:rsid w:val="00BA7C65"/>
    <w:rsid w:val="00BA7CA3"/>
    <w:rsid w:val="00BB0237"/>
    <w:rsid w:val="00BB0292"/>
    <w:rsid w:val="00BB098F"/>
    <w:rsid w:val="00BB11F5"/>
    <w:rsid w:val="00BB13D2"/>
    <w:rsid w:val="00BB17F6"/>
    <w:rsid w:val="00BB1E63"/>
    <w:rsid w:val="00BB1EDA"/>
    <w:rsid w:val="00BB25D8"/>
    <w:rsid w:val="00BB2DA6"/>
    <w:rsid w:val="00BB3305"/>
    <w:rsid w:val="00BB360E"/>
    <w:rsid w:val="00BB3642"/>
    <w:rsid w:val="00BB3ADD"/>
    <w:rsid w:val="00BB3CF6"/>
    <w:rsid w:val="00BB4002"/>
    <w:rsid w:val="00BB463C"/>
    <w:rsid w:val="00BB47FC"/>
    <w:rsid w:val="00BB4A31"/>
    <w:rsid w:val="00BB4BBA"/>
    <w:rsid w:val="00BB4D6E"/>
    <w:rsid w:val="00BB4E77"/>
    <w:rsid w:val="00BB4EAD"/>
    <w:rsid w:val="00BB50CE"/>
    <w:rsid w:val="00BB5323"/>
    <w:rsid w:val="00BB5434"/>
    <w:rsid w:val="00BB57BC"/>
    <w:rsid w:val="00BB5D4F"/>
    <w:rsid w:val="00BB5FBF"/>
    <w:rsid w:val="00BB6246"/>
    <w:rsid w:val="00BB6363"/>
    <w:rsid w:val="00BB6494"/>
    <w:rsid w:val="00BB65A1"/>
    <w:rsid w:val="00BB73E8"/>
    <w:rsid w:val="00BB78B6"/>
    <w:rsid w:val="00BB795E"/>
    <w:rsid w:val="00BB7A5B"/>
    <w:rsid w:val="00BB7AEB"/>
    <w:rsid w:val="00BB7D1D"/>
    <w:rsid w:val="00BB7F0A"/>
    <w:rsid w:val="00BB7F6F"/>
    <w:rsid w:val="00BB7FD3"/>
    <w:rsid w:val="00BC0954"/>
    <w:rsid w:val="00BC0A36"/>
    <w:rsid w:val="00BC0E1C"/>
    <w:rsid w:val="00BC1119"/>
    <w:rsid w:val="00BC11B7"/>
    <w:rsid w:val="00BC2A16"/>
    <w:rsid w:val="00BC2DD3"/>
    <w:rsid w:val="00BC30FC"/>
    <w:rsid w:val="00BC32D9"/>
    <w:rsid w:val="00BC3B00"/>
    <w:rsid w:val="00BC3ECF"/>
    <w:rsid w:val="00BC43F2"/>
    <w:rsid w:val="00BC4596"/>
    <w:rsid w:val="00BC4B7F"/>
    <w:rsid w:val="00BC4F2E"/>
    <w:rsid w:val="00BC54C2"/>
    <w:rsid w:val="00BC5738"/>
    <w:rsid w:val="00BC5A3F"/>
    <w:rsid w:val="00BC5B8A"/>
    <w:rsid w:val="00BC637D"/>
    <w:rsid w:val="00BC6B70"/>
    <w:rsid w:val="00BC7599"/>
    <w:rsid w:val="00BC768C"/>
    <w:rsid w:val="00BC79AD"/>
    <w:rsid w:val="00BC7D55"/>
    <w:rsid w:val="00BD0093"/>
    <w:rsid w:val="00BD00A3"/>
    <w:rsid w:val="00BD08F0"/>
    <w:rsid w:val="00BD0C70"/>
    <w:rsid w:val="00BD0CB5"/>
    <w:rsid w:val="00BD1565"/>
    <w:rsid w:val="00BD17F5"/>
    <w:rsid w:val="00BD2374"/>
    <w:rsid w:val="00BD2464"/>
    <w:rsid w:val="00BD288D"/>
    <w:rsid w:val="00BD2C4A"/>
    <w:rsid w:val="00BD3138"/>
    <w:rsid w:val="00BD33F2"/>
    <w:rsid w:val="00BD3409"/>
    <w:rsid w:val="00BD402C"/>
    <w:rsid w:val="00BD43EB"/>
    <w:rsid w:val="00BD46C7"/>
    <w:rsid w:val="00BD46D9"/>
    <w:rsid w:val="00BD4AEB"/>
    <w:rsid w:val="00BD571E"/>
    <w:rsid w:val="00BD59A3"/>
    <w:rsid w:val="00BD609B"/>
    <w:rsid w:val="00BD6465"/>
    <w:rsid w:val="00BD6696"/>
    <w:rsid w:val="00BD7029"/>
    <w:rsid w:val="00BD71C0"/>
    <w:rsid w:val="00BD753E"/>
    <w:rsid w:val="00BD764A"/>
    <w:rsid w:val="00BD76C1"/>
    <w:rsid w:val="00BE04BF"/>
    <w:rsid w:val="00BE05F6"/>
    <w:rsid w:val="00BE060C"/>
    <w:rsid w:val="00BE0ADB"/>
    <w:rsid w:val="00BE0BCE"/>
    <w:rsid w:val="00BE0F0D"/>
    <w:rsid w:val="00BE1710"/>
    <w:rsid w:val="00BE19FE"/>
    <w:rsid w:val="00BE1B98"/>
    <w:rsid w:val="00BE256C"/>
    <w:rsid w:val="00BE262C"/>
    <w:rsid w:val="00BE284E"/>
    <w:rsid w:val="00BE2C83"/>
    <w:rsid w:val="00BE3390"/>
    <w:rsid w:val="00BE3CC3"/>
    <w:rsid w:val="00BE3D4F"/>
    <w:rsid w:val="00BE3FA7"/>
    <w:rsid w:val="00BE4559"/>
    <w:rsid w:val="00BE48A2"/>
    <w:rsid w:val="00BE564F"/>
    <w:rsid w:val="00BE5885"/>
    <w:rsid w:val="00BE59A8"/>
    <w:rsid w:val="00BE5BD0"/>
    <w:rsid w:val="00BE5BED"/>
    <w:rsid w:val="00BE5C5C"/>
    <w:rsid w:val="00BE5D4D"/>
    <w:rsid w:val="00BE668A"/>
    <w:rsid w:val="00BE66C4"/>
    <w:rsid w:val="00BE6A62"/>
    <w:rsid w:val="00BE6CA1"/>
    <w:rsid w:val="00BE6D0E"/>
    <w:rsid w:val="00BE7EB8"/>
    <w:rsid w:val="00BF1D17"/>
    <w:rsid w:val="00BF239E"/>
    <w:rsid w:val="00BF25DF"/>
    <w:rsid w:val="00BF2751"/>
    <w:rsid w:val="00BF280F"/>
    <w:rsid w:val="00BF2872"/>
    <w:rsid w:val="00BF2B29"/>
    <w:rsid w:val="00BF30AE"/>
    <w:rsid w:val="00BF324E"/>
    <w:rsid w:val="00BF39A2"/>
    <w:rsid w:val="00BF40AD"/>
    <w:rsid w:val="00BF45B4"/>
    <w:rsid w:val="00BF496E"/>
    <w:rsid w:val="00BF4ABA"/>
    <w:rsid w:val="00BF4AD2"/>
    <w:rsid w:val="00BF4D34"/>
    <w:rsid w:val="00BF4FD6"/>
    <w:rsid w:val="00BF5278"/>
    <w:rsid w:val="00BF58E1"/>
    <w:rsid w:val="00BF5CEE"/>
    <w:rsid w:val="00BF5F80"/>
    <w:rsid w:val="00BF6580"/>
    <w:rsid w:val="00BF66E1"/>
    <w:rsid w:val="00BF6DDD"/>
    <w:rsid w:val="00BF728A"/>
    <w:rsid w:val="00BF79A5"/>
    <w:rsid w:val="00BF7AB2"/>
    <w:rsid w:val="00BF7B39"/>
    <w:rsid w:val="00BF7C07"/>
    <w:rsid w:val="00BF7D2D"/>
    <w:rsid w:val="00C001CC"/>
    <w:rsid w:val="00C0043E"/>
    <w:rsid w:val="00C00824"/>
    <w:rsid w:val="00C00A62"/>
    <w:rsid w:val="00C00BAE"/>
    <w:rsid w:val="00C01AE3"/>
    <w:rsid w:val="00C0271F"/>
    <w:rsid w:val="00C027E6"/>
    <w:rsid w:val="00C029A8"/>
    <w:rsid w:val="00C02E4C"/>
    <w:rsid w:val="00C03178"/>
    <w:rsid w:val="00C03584"/>
    <w:rsid w:val="00C0374D"/>
    <w:rsid w:val="00C038D0"/>
    <w:rsid w:val="00C04013"/>
    <w:rsid w:val="00C05120"/>
    <w:rsid w:val="00C05221"/>
    <w:rsid w:val="00C05325"/>
    <w:rsid w:val="00C053B0"/>
    <w:rsid w:val="00C054DC"/>
    <w:rsid w:val="00C0559E"/>
    <w:rsid w:val="00C05A26"/>
    <w:rsid w:val="00C05ABE"/>
    <w:rsid w:val="00C05D83"/>
    <w:rsid w:val="00C05D9D"/>
    <w:rsid w:val="00C05FD9"/>
    <w:rsid w:val="00C07274"/>
    <w:rsid w:val="00C074EA"/>
    <w:rsid w:val="00C076B6"/>
    <w:rsid w:val="00C07A41"/>
    <w:rsid w:val="00C07CF7"/>
    <w:rsid w:val="00C07D46"/>
    <w:rsid w:val="00C07FB7"/>
    <w:rsid w:val="00C1015D"/>
    <w:rsid w:val="00C110F2"/>
    <w:rsid w:val="00C111DB"/>
    <w:rsid w:val="00C114D1"/>
    <w:rsid w:val="00C119BB"/>
    <w:rsid w:val="00C120DC"/>
    <w:rsid w:val="00C1242B"/>
    <w:rsid w:val="00C1244D"/>
    <w:rsid w:val="00C12A19"/>
    <w:rsid w:val="00C1302B"/>
    <w:rsid w:val="00C13259"/>
    <w:rsid w:val="00C138CA"/>
    <w:rsid w:val="00C139ED"/>
    <w:rsid w:val="00C141FE"/>
    <w:rsid w:val="00C144A2"/>
    <w:rsid w:val="00C14BBF"/>
    <w:rsid w:val="00C1568C"/>
    <w:rsid w:val="00C156C5"/>
    <w:rsid w:val="00C15E9F"/>
    <w:rsid w:val="00C15F35"/>
    <w:rsid w:val="00C1614A"/>
    <w:rsid w:val="00C16439"/>
    <w:rsid w:val="00C16818"/>
    <w:rsid w:val="00C16A65"/>
    <w:rsid w:val="00C16BC3"/>
    <w:rsid w:val="00C16CB0"/>
    <w:rsid w:val="00C16CF2"/>
    <w:rsid w:val="00C17B37"/>
    <w:rsid w:val="00C17C75"/>
    <w:rsid w:val="00C17DD3"/>
    <w:rsid w:val="00C201B9"/>
    <w:rsid w:val="00C201D5"/>
    <w:rsid w:val="00C208A1"/>
    <w:rsid w:val="00C20930"/>
    <w:rsid w:val="00C20ACD"/>
    <w:rsid w:val="00C20AEC"/>
    <w:rsid w:val="00C216A2"/>
    <w:rsid w:val="00C21808"/>
    <w:rsid w:val="00C21894"/>
    <w:rsid w:val="00C218E3"/>
    <w:rsid w:val="00C2197C"/>
    <w:rsid w:val="00C21B7B"/>
    <w:rsid w:val="00C22525"/>
    <w:rsid w:val="00C227D4"/>
    <w:rsid w:val="00C22B51"/>
    <w:rsid w:val="00C22F67"/>
    <w:rsid w:val="00C22F7B"/>
    <w:rsid w:val="00C23348"/>
    <w:rsid w:val="00C238A8"/>
    <w:rsid w:val="00C23B03"/>
    <w:rsid w:val="00C23CBE"/>
    <w:rsid w:val="00C23ED3"/>
    <w:rsid w:val="00C24141"/>
    <w:rsid w:val="00C24401"/>
    <w:rsid w:val="00C24984"/>
    <w:rsid w:val="00C2566B"/>
    <w:rsid w:val="00C259CF"/>
    <w:rsid w:val="00C2615B"/>
    <w:rsid w:val="00C26B2E"/>
    <w:rsid w:val="00C27AF4"/>
    <w:rsid w:val="00C27FD0"/>
    <w:rsid w:val="00C30A5B"/>
    <w:rsid w:val="00C30CD2"/>
    <w:rsid w:val="00C3111B"/>
    <w:rsid w:val="00C316A8"/>
    <w:rsid w:val="00C318FF"/>
    <w:rsid w:val="00C31BC3"/>
    <w:rsid w:val="00C31EA2"/>
    <w:rsid w:val="00C32386"/>
    <w:rsid w:val="00C32750"/>
    <w:rsid w:val="00C327AE"/>
    <w:rsid w:val="00C3284E"/>
    <w:rsid w:val="00C32DBA"/>
    <w:rsid w:val="00C335A7"/>
    <w:rsid w:val="00C33702"/>
    <w:rsid w:val="00C34404"/>
    <w:rsid w:val="00C345A4"/>
    <w:rsid w:val="00C34D98"/>
    <w:rsid w:val="00C34FA9"/>
    <w:rsid w:val="00C35368"/>
    <w:rsid w:val="00C3600F"/>
    <w:rsid w:val="00C369AA"/>
    <w:rsid w:val="00C36F29"/>
    <w:rsid w:val="00C3734C"/>
    <w:rsid w:val="00C373E6"/>
    <w:rsid w:val="00C375C7"/>
    <w:rsid w:val="00C37741"/>
    <w:rsid w:val="00C3791F"/>
    <w:rsid w:val="00C37BC7"/>
    <w:rsid w:val="00C4069C"/>
    <w:rsid w:val="00C40C85"/>
    <w:rsid w:val="00C4167E"/>
    <w:rsid w:val="00C41ACF"/>
    <w:rsid w:val="00C41C9E"/>
    <w:rsid w:val="00C42529"/>
    <w:rsid w:val="00C425D7"/>
    <w:rsid w:val="00C429DD"/>
    <w:rsid w:val="00C435E3"/>
    <w:rsid w:val="00C43A89"/>
    <w:rsid w:val="00C43D18"/>
    <w:rsid w:val="00C44ACC"/>
    <w:rsid w:val="00C44D0F"/>
    <w:rsid w:val="00C456B9"/>
    <w:rsid w:val="00C465F8"/>
    <w:rsid w:val="00C46982"/>
    <w:rsid w:val="00C469E6"/>
    <w:rsid w:val="00C46A63"/>
    <w:rsid w:val="00C47079"/>
    <w:rsid w:val="00C470FC"/>
    <w:rsid w:val="00C47424"/>
    <w:rsid w:val="00C47793"/>
    <w:rsid w:val="00C479F2"/>
    <w:rsid w:val="00C47AC8"/>
    <w:rsid w:val="00C47D0D"/>
    <w:rsid w:val="00C47DB8"/>
    <w:rsid w:val="00C47F56"/>
    <w:rsid w:val="00C503ED"/>
    <w:rsid w:val="00C50940"/>
    <w:rsid w:val="00C50E34"/>
    <w:rsid w:val="00C50E9E"/>
    <w:rsid w:val="00C50F00"/>
    <w:rsid w:val="00C510E1"/>
    <w:rsid w:val="00C51899"/>
    <w:rsid w:val="00C51914"/>
    <w:rsid w:val="00C51C92"/>
    <w:rsid w:val="00C52368"/>
    <w:rsid w:val="00C531B8"/>
    <w:rsid w:val="00C53625"/>
    <w:rsid w:val="00C53644"/>
    <w:rsid w:val="00C5364A"/>
    <w:rsid w:val="00C53A91"/>
    <w:rsid w:val="00C53B35"/>
    <w:rsid w:val="00C541C1"/>
    <w:rsid w:val="00C5438E"/>
    <w:rsid w:val="00C54666"/>
    <w:rsid w:val="00C54CC1"/>
    <w:rsid w:val="00C5522B"/>
    <w:rsid w:val="00C5523B"/>
    <w:rsid w:val="00C553DB"/>
    <w:rsid w:val="00C5577C"/>
    <w:rsid w:val="00C557FB"/>
    <w:rsid w:val="00C55C88"/>
    <w:rsid w:val="00C55CD4"/>
    <w:rsid w:val="00C55FD8"/>
    <w:rsid w:val="00C5614E"/>
    <w:rsid w:val="00C56198"/>
    <w:rsid w:val="00C56898"/>
    <w:rsid w:val="00C5699B"/>
    <w:rsid w:val="00C56B11"/>
    <w:rsid w:val="00C56BA5"/>
    <w:rsid w:val="00C56D80"/>
    <w:rsid w:val="00C56E1F"/>
    <w:rsid w:val="00C57EFC"/>
    <w:rsid w:val="00C602A1"/>
    <w:rsid w:val="00C60491"/>
    <w:rsid w:val="00C609F3"/>
    <w:rsid w:val="00C60C59"/>
    <w:rsid w:val="00C60D1F"/>
    <w:rsid w:val="00C61A09"/>
    <w:rsid w:val="00C61C9A"/>
    <w:rsid w:val="00C61DD6"/>
    <w:rsid w:val="00C61EF6"/>
    <w:rsid w:val="00C629B3"/>
    <w:rsid w:val="00C62B4C"/>
    <w:rsid w:val="00C635E9"/>
    <w:rsid w:val="00C6376F"/>
    <w:rsid w:val="00C637B6"/>
    <w:rsid w:val="00C63922"/>
    <w:rsid w:val="00C6397D"/>
    <w:rsid w:val="00C63B4F"/>
    <w:rsid w:val="00C63F92"/>
    <w:rsid w:val="00C6400C"/>
    <w:rsid w:val="00C649F9"/>
    <w:rsid w:val="00C652AE"/>
    <w:rsid w:val="00C65944"/>
    <w:rsid w:val="00C659A5"/>
    <w:rsid w:val="00C65A9A"/>
    <w:rsid w:val="00C65CAA"/>
    <w:rsid w:val="00C667B2"/>
    <w:rsid w:val="00C67006"/>
    <w:rsid w:val="00C673D0"/>
    <w:rsid w:val="00C67CF5"/>
    <w:rsid w:val="00C67DE9"/>
    <w:rsid w:val="00C709E2"/>
    <w:rsid w:val="00C70CF4"/>
    <w:rsid w:val="00C70D79"/>
    <w:rsid w:val="00C713F0"/>
    <w:rsid w:val="00C715C0"/>
    <w:rsid w:val="00C71667"/>
    <w:rsid w:val="00C71C9B"/>
    <w:rsid w:val="00C72088"/>
    <w:rsid w:val="00C7212A"/>
    <w:rsid w:val="00C7228D"/>
    <w:rsid w:val="00C722FC"/>
    <w:rsid w:val="00C724E8"/>
    <w:rsid w:val="00C7272A"/>
    <w:rsid w:val="00C72B16"/>
    <w:rsid w:val="00C72F6A"/>
    <w:rsid w:val="00C733CA"/>
    <w:rsid w:val="00C73AEE"/>
    <w:rsid w:val="00C73D8D"/>
    <w:rsid w:val="00C73E65"/>
    <w:rsid w:val="00C740A3"/>
    <w:rsid w:val="00C74128"/>
    <w:rsid w:val="00C74568"/>
    <w:rsid w:val="00C764F7"/>
    <w:rsid w:val="00C7683F"/>
    <w:rsid w:val="00C76F00"/>
    <w:rsid w:val="00C775A5"/>
    <w:rsid w:val="00C77847"/>
    <w:rsid w:val="00C7790A"/>
    <w:rsid w:val="00C779DA"/>
    <w:rsid w:val="00C77DDD"/>
    <w:rsid w:val="00C77E8D"/>
    <w:rsid w:val="00C80636"/>
    <w:rsid w:val="00C80671"/>
    <w:rsid w:val="00C806FF"/>
    <w:rsid w:val="00C80AE6"/>
    <w:rsid w:val="00C80DDB"/>
    <w:rsid w:val="00C80ED5"/>
    <w:rsid w:val="00C8151E"/>
    <w:rsid w:val="00C81B62"/>
    <w:rsid w:val="00C81E18"/>
    <w:rsid w:val="00C81E6D"/>
    <w:rsid w:val="00C82002"/>
    <w:rsid w:val="00C823B2"/>
    <w:rsid w:val="00C829B9"/>
    <w:rsid w:val="00C82BAD"/>
    <w:rsid w:val="00C82F1D"/>
    <w:rsid w:val="00C82FC1"/>
    <w:rsid w:val="00C83466"/>
    <w:rsid w:val="00C83975"/>
    <w:rsid w:val="00C83FF2"/>
    <w:rsid w:val="00C8445D"/>
    <w:rsid w:val="00C845B1"/>
    <w:rsid w:val="00C84A20"/>
    <w:rsid w:val="00C84BDD"/>
    <w:rsid w:val="00C84E5C"/>
    <w:rsid w:val="00C85978"/>
    <w:rsid w:val="00C859F2"/>
    <w:rsid w:val="00C85A93"/>
    <w:rsid w:val="00C85B89"/>
    <w:rsid w:val="00C863C1"/>
    <w:rsid w:val="00C874B5"/>
    <w:rsid w:val="00C87957"/>
    <w:rsid w:val="00C87A2B"/>
    <w:rsid w:val="00C90A1C"/>
    <w:rsid w:val="00C90BC7"/>
    <w:rsid w:val="00C90CDF"/>
    <w:rsid w:val="00C90E46"/>
    <w:rsid w:val="00C910D0"/>
    <w:rsid w:val="00C913B7"/>
    <w:rsid w:val="00C91DE2"/>
    <w:rsid w:val="00C91E80"/>
    <w:rsid w:val="00C91ECF"/>
    <w:rsid w:val="00C91F6A"/>
    <w:rsid w:val="00C92218"/>
    <w:rsid w:val="00C92293"/>
    <w:rsid w:val="00C92F63"/>
    <w:rsid w:val="00C93270"/>
    <w:rsid w:val="00C935E3"/>
    <w:rsid w:val="00C9365A"/>
    <w:rsid w:val="00C937D2"/>
    <w:rsid w:val="00C93A9F"/>
    <w:rsid w:val="00C93D84"/>
    <w:rsid w:val="00C93E12"/>
    <w:rsid w:val="00C93FEA"/>
    <w:rsid w:val="00C94535"/>
    <w:rsid w:val="00C94823"/>
    <w:rsid w:val="00C949B3"/>
    <w:rsid w:val="00C94E0A"/>
    <w:rsid w:val="00C94EF9"/>
    <w:rsid w:val="00C95057"/>
    <w:rsid w:val="00C95177"/>
    <w:rsid w:val="00C95534"/>
    <w:rsid w:val="00C958DA"/>
    <w:rsid w:val="00C95958"/>
    <w:rsid w:val="00C9606D"/>
    <w:rsid w:val="00C968E5"/>
    <w:rsid w:val="00C969C1"/>
    <w:rsid w:val="00C96B3B"/>
    <w:rsid w:val="00C97225"/>
    <w:rsid w:val="00C97269"/>
    <w:rsid w:val="00C9726E"/>
    <w:rsid w:val="00C97754"/>
    <w:rsid w:val="00C97789"/>
    <w:rsid w:val="00CA0085"/>
    <w:rsid w:val="00CA0245"/>
    <w:rsid w:val="00CA07AE"/>
    <w:rsid w:val="00CA0968"/>
    <w:rsid w:val="00CA0CB4"/>
    <w:rsid w:val="00CA0D81"/>
    <w:rsid w:val="00CA14C5"/>
    <w:rsid w:val="00CA14E4"/>
    <w:rsid w:val="00CA1728"/>
    <w:rsid w:val="00CA1791"/>
    <w:rsid w:val="00CA181F"/>
    <w:rsid w:val="00CA1A43"/>
    <w:rsid w:val="00CA1E98"/>
    <w:rsid w:val="00CA2264"/>
    <w:rsid w:val="00CA22F0"/>
    <w:rsid w:val="00CA277A"/>
    <w:rsid w:val="00CA2BF1"/>
    <w:rsid w:val="00CA2C05"/>
    <w:rsid w:val="00CA3055"/>
    <w:rsid w:val="00CA343A"/>
    <w:rsid w:val="00CA34B5"/>
    <w:rsid w:val="00CA36DD"/>
    <w:rsid w:val="00CA44E2"/>
    <w:rsid w:val="00CA46A9"/>
    <w:rsid w:val="00CA4EC3"/>
    <w:rsid w:val="00CA51A5"/>
    <w:rsid w:val="00CA5712"/>
    <w:rsid w:val="00CA5FCA"/>
    <w:rsid w:val="00CA6470"/>
    <w:rsid w:val="00CA743D"/>
    <w:rsid w:val="00CA76A1"/>
    <w:rsid w:val="00CA7AD9"/>
    <w:rsid w:val="00CB02F3"/>
    <w:rsid w:val="00CB0937"/>
    <w:rsid w:val="00CB0EC9"/>
    <w:rsid w:val="00CB0F17"/>
    <w:rsid w:val="00CB0FDC"/>
    <w:rsid w:val="00CB1131"/>
    <w:rsid w:val="00CB1959"/>
    <w:rsid w:val="00CB1D39"/>
    <w:rsid w:val="00CB1D99"/>
    <w:rsid w:val="00CB25D3"/>
    <w:rsid w:val="00CB32D5"/>
    <w:rsid w:val="00CB32D9"/>
    <w:rsid w:val="00CB3D60"/>
    <w:rsid w:val="00CB3FCC"/>
    <w:rsid w:val="00CB426F"/>
    <w:rsid w:val="00CB52F4"/>
    <w:rsid w:val="00CB54C8"/>
    <w:rsid w:val="00CB5612"/>
    <w:rsid w:val="00CB5A25"/>
    <w:rsid w:val="00CB5ACA"/>
    <w:rsid w:val="00CB5B0E"/>
    <w:rsid w:val="00CB6327"/>
    <w:rsid w:val="00CB68E8"/>
    <w:rsid w:val="00CB6DEA"/>
    <w:rsid w:val="00CB7187"/>
    <w:rsid w:val="00CB71FC"/>
    <w:rsid w:val="00CB799B"/>
    <w:rsid w:val="00CC0138"/>
    <w:rsid w:val="00CC0A6B"/>
    <w:rsid w:val="00CC0B7F"/>
    <w:rsid w:val="00CC0C34"/>
    <w:rsid w:val="00CC0CA4"/>
    <w:rsid w:val="00CC0DE6"/>
    <w:rsid w:val="00CC163A"/>
    <w:rsid w:val="00CC16F5"/>
    <w:rsid w:val="00CC219A"/>
    <w:rsid w:val="00CC2572"/>
    <w:rsid w:val="00CC331F"/>
    <w:rsid w:val="00CC3543"/>
    <w:rsid w:val="00CC3D13"/>
    <w:rsid w:val="00CC3D8A"/>
    <w:rsid w:val="00CC3DAC"/>
    <w:rsid w:val="00CC3F77"/>
    <w:rsid w:val="00CC494F"/>
    <w:rsid w:val="00CC496A"/>
    <w:rsid w:val="00CC53DE"/>
    <w:rsid w:val="00CC5E3E"/>
    <w:rsid w:val="00CC6335"/>
    <w:rsid w:val="00CC6ABB"/>
    <w:rsid w:val="00CC7180"/>
    <w:rsid w:val="00CC7781"/>
    <w:rsid w:val="00CC783D"/>
    <w:rsid w:val="00CC7AC7"/>
    <w:rsid w:val="00CC7EB2"/>
    <w:rsid w:val="00CD03DC"/>
    <w:rsid w:val="00CD03F9"/>
    <w:rsid w:val="00CD164A"/>
    <w:rsid w:val="00CD1ADF"/>
    <w:rsid w:val="00CD1BA3"/>
    <w:rsid w:val="00CD2402"/>
    <w:rsid w:val="00CD25C7"/>
    <w:rsid w:val="00CD2679"/>
    <w:rsid w:val="00CD2C32"/>
    <w:rsid w:val="00CD2CE4"/>
    <w:rsid w:val="00CD3336"/>
    <w:rsid w:val="00CD33EF"/>
    <w:rsid w:val="00CD36CD"/>
    <w:rsid w:val="00CD3729"/>
    <w:rsid w:val="00CD4204"/>
    <w:rsid w:val="00CD4C39"/>
    <w:rsid w:val="00CD5271"/>
    <w:rsid w:val="00CD5BA5"/>
    <w:rsid w:val="00CD5BE4"/>
    <w:rsid w:val="00CD5C55"/>
    <w:rsid w:val="00CD62EB"/>
    <w:rsid w:val="00CD669B"/>
    <w:rsid w:val="00CD6FAC"/>
    <w:rsid w:val="00CD7596"/>
    <w:rsid w:val="00CD7658"/>
    <w:rsid w:val="00CD7951"/>
    <w:rsid w:val="00CD7AD0"/>
    <w:rsid w:val="00CD7BC1"/>
    <w:rsid w:val="00CE0136"/>
    <w:rsid w:val="00CE10EE"/>
    <w:rsid w:val="00CE1CDB"/>
    <w:rsid w:val="00CE1FD1"/>
    <w:rsid w:val="00CE36D5"/>
    <w:rsid w:val="00CE3B9E"/>
    <w:rsid w:val="00CE420D"/>
    <w:rsid w:val="00CE4945"/>
    <w:rsid w:val="00CE4C40"/>
    <w:rsid w:val="00CE517B"/>
    <w:rsid w:val="00CE5866"/>
    <w:rsid w:val="00CE59A0"/>
    <w:rsid w:val="00CE5F91"/>
    <w:rsid w:val="00CE671E"/>
    <w:rsid w:val="00CE6BF7"/>
    <w:rsid w:val="00CE72BB"/>
    <w:rsid w:val="00CE7CC9"/>
    <w:rsid w:val="00CF004E"/>
    <w:rsid w:val="00CF0629"/>
    <w:rsid w:val="00CF06A6"/>
    <w:rsid w:val="00CF0909"/>
    <w:rsid w:val="00CF0B39"/>
    <w:rsid w:val="00CF13EF"/>
    <w:rsid w:val="00CF1523"/>
    <w:rsid w:val="00CF1B30"/>
    <w:rsid w:val="00CF1BCD"/>
    <w:rsid w:val="00CF1D9D"/>
    <w:rsid w:val="00CF1DE8"/>
    <w:rsid w:val="00CF228D"/>
    <w:rsid w:val="00CF3332"/>
    <w:rsid w:val="00CF39DE"/>
    <w:rsid w:val="00CF3A02"/>
    <w:rsid w:val="00CF41E4"/>
    <w:rsid w:val="00CF43A1"/>
    <w:rsid w:val="00CF50D4"/>
    <w:rsid w:val="00CF5C49"/>
    <w:rsid w:val="00CF6660"/>
    <w:rsid w:val="00CF67CB"/>
    <w:rsid w:val="00CF7436"/>
    <w:rsid w:val="00CF7864"/>
    <w:rsid w:val="00CF7D52"/>
    <w:rsid w:val="00CF7F4B"/>
    <w:rsid w:val="00CF7FB0"/>
    <w:rsid w:val="00D00007"/>
    <w:rsid w:val="00D00DDE"/>
    <w:rsid w:val="00D0111C"/>
    <w:rsid w:val="00D0155C"/>
    <w:rsid w:val="00D0175A"/>
    <w:rsid w:val="00D0192B"/>
    <w:rsid w:val="00D01941"/>
    <w:rsid w:val="00D01A03"/>
    <w:rsid w:val="00D02103"/>
    <w:rsid w:val="00D02479"/>
    <w:rsid w:val="00D02D24"/>
    <w:rsid w:val="00D03057"/>
    <w:rsid w:val="00D033C2"/>
    <w:rsid w:val="00D0416E"/>
    <w:rsid w:val="00D048B4"/>
    <w:rsid w:val="00D048D7"/>
    <w:rsid w:val="00D049AA"/>
    <w:rsid w:val="00D04E8D"/>
    <w:rsid w:val="00D05438"/>
    <w:rsid w:val="00D055A9"/>
    <w:rsid w:val="00D05722"/>
    <w:rsid w:val="00D05DEA"/>
    <w:rsid w:val="00D05E28"/>
    <w:rsid w:val="00D06092"/>
    <w:rsid w:val="00D06450"/>
    <w:rsid w:val="00D067BA"/>
    <w:rsid w:val="00D067C0"/>
    <w:rsid w:val="00D06B17"/>
    <w:rsid w:val="00D06F4F"/>
    <w:rsid w:val="00D07832"/>
    <w:rsid w:val="00D0784E"/>
    <w:rsid w:val="00D0786C"/>
    <w:rsid w:val="00D078ED"/>
    <w:rsid w:val="00D07DA4"/>
    <w:rsid w:val="00D10932"/>
    <w:rsid w:val="00D10CE6"/>
    <w:rsid w:val="00D10CEA"/>
    <w:rsid w:val="00D10D50"/>
    <w:rsid w:val="00D10DBF"/>
    <w:rsid w:val="00D10E71"/>
    <w:rsid w:val="00D11066"/>
    <w:rsid w:val="00D119CA"/>
    <w:rsid w:val="00D12800"/>
    <w:rsid w:val="00D1280D"/>
    <w:rsid w:val="00D12E00"/>
    <w:rsid w:val="00D1327E"/>
    <w:rsid w:val="00D13CC9"/>
    <w:rsid w:val="00D144E2"/>
    <w:rsid w:val="00D14B6C"/>
    <w:rsid w:val="00D15994"/>
    <w:rsid w:val="00D16147"/>
    <w:rsid w:val="00D166DB"/>
    <w:rsid w:val="00D16A10"/>
    <w:rsid w:val="00D16BCA"/>
    <w:rsid w:val="00D16CA5"/>
    <w:rsid w:val="00D173C5"/>
    <w:rsid w:val="00D1744E"/>
    <w:rsid w:val="00D17522"/>
    <w:rsid w:val="00D1758F"/>
    <w:rsid w:val="00D177F2"/>
    <w:rsid w:val="00D17C70"/>
    <w:rsid w:val="00D17CFC"/>
    <w:rsid w:val="00D2005C"/>
    <w:rsid w:val="00D203BE"/>
    <w:rsid w:val="00D2074C"/>
    <w:rsid w:val="00D212F0"/>
    <w:rsid w:val="00D21353"/>
    <w:rsid w:val="00D220D9"/>
    <w:rsid w:val="00D224BA"/>
    <w:rsid w:val="00D228C0"/>
    <w:rsid w:val="00D22DC6"/>
    <w:rsid w:val="00D23507"/>
    <w:rsid w:val="00D23891"/>
    <w:rsid w:val="00D238D2"/>
    <w:rsid w:val="00D23B00"/>
    <w:rsid w:val="00D23F9F"/>
    <w:rsid w:val="00D241B5"/>
    <w:rsid w:val="00D242C7"/>
    <w:rsid w:val="00D2495B"/>
    <w:rsid w:val="00D24B4F"/>
    <w:rsid w:val="00D24C8A"/>
    <w:rsid w:val="00D2527D"/>
    <w:rsid w:val="00D259C4"/>
    <w:rsid w:val="00D25CE5"/>
    <w:rsid w:val="00D25E2A"/>
    <w:rsid w:val="00D25FA9"/>
    <w:rsid w:val="00D263D1"/>
    <w:rsid w:val="00D2648B"/>
    <w:rsid w:val="00D269BE"/>
    <w:rsid w:val="00D269DD"/>
    <w:rsid w:val="00D273E3"/>
    <w:rsid w:val="00D2786D"/>
    <w:rsid w:val="00D278D5"/>
    <w:rsid w:val="00D279A2"/>
    <w:rsid w:val="00D279E3"/>
    <w:rsid w:val="00D30267"/>
    <w:rsid w:val="00D30523"/>
    <w:rsid w:val="00D30782"/>
    <w:rsid w:val="00D30D13"/>
    <w:rsid w:val="00D30D52"/>
    <w:rsid w:val="00D31483"/>
    <w:rsid w:val="00D318A3"/>
    <w:rsid w:val="00D31AEB"/>
    <w:rsid w:val="00D32D6E"/>
    <w:rsid w:val="00D32F2E"/>
    <w:rsid w:val="00D33246"/>
    <w:rsid w:val="00D33967"/>
    <w:rsid w:val="00D33B20"/>
    <w:rsid w:val="00D33CCE"/>
    <w:rsid w:val="00D3438E"/>
    <w:rsid w:val="00D3475E"/>
    <w:rsid w:val="00D347C1"/>
    <w:rsid w:val="00D34B87"/>
    <w:rsid w:val="00D34C58"/>
    <w:rsid w:val="00D3547A"/>
    <w:rsid w:val="00D3572D"/>
    <w:rsid w:val="00D35BC7"/>
    <w:rsid w:val="00D35D2D"/>
    <w:rsid w:val="00D35F7C"/>
    <w:rsid w:val="00D35FC5"/>
    <w:rsid w:val="00D36168"/>
    <w:rsid w:val="00D361F7"/>
    <w:rsid w:val="00D363A6"/>
    <w:rsid w:val="00D36B0F"/>
    <w:rsid w:val="00D37770"/>
    <w:rsid w:val="00D37AF2"/>
    <w:rsid w:val="00D37CEC"/>
    <w:rsid w:val="00D37DD6"/>
    <w:rsid w:val="00D37F09"/>
    <w:rsid w:val="00D4037F"/>
    <w:rsid w:val="00D406C6"/>
    <w:rsid w:val="00D409B4"/>
    <w:rsid w:val="00D41069"/>
    <w:rsid w:val="00D41245"/>
    <w:rsid w:val="00D41FE1"/>
    <w:rsid w:val="00D4238B"/>
    <w:rsid w:val="00D42403"/>
    <w:rsid w:val="00D42430"/>
    <w:rsid w:val="00D42573"/>
    <w:rsid w:val="00D42649"/>
    <w:rsid w:val="00D42A09"/>
    <w:rsid w:val="00D42B5E"/>
    <w:rsid w:val="00D42B83"/>
    <w:rsid w:val="00D42C21"/>
    <w:rsid w:val="00D433F2"/>
    <w:rsid w:val="00D43759"/>
    <w:rsid w:val="00D43AFF"/>
    <w:rsid w:val="00D43D20"/>
    <w:rsid w:val="00D43EC7"/>
    <w:rsid w:val="00D43F8D"/>
    <w:rsid w:val="00D444DB"/>
    <w:rsid w:val="00D44865"/>
    <w:rsid w:val="00D4513B"/>
    <w:rsid w:val="00D45265"/>
    <w:rsid w:val="00D45810"/>
    <w:rsid w:val="00D45998"/>
    <w:rsid w:val="00D45A33"/>
    <w:rsid w:val="00D4631F"/>
    <w:rsid w:val="00D4667A"/>
    <w:rsid w:val="00D468AF"/>
    <w:rsid w:val="00D46FD5"/>
    <w:rsid w:val="00D46FEE"/>
    <w:rsid w:val="00D474FB"/>
    <w:rsid w:val="00D47871"/>
    <w:rsid w:val="00D47AF9"/>
    <w:rsid w:val="00D47F5B"/>
    <w:rsid w:val="00D50431"/>
    <w:rsid w:val="00D506EE"/>
    <w:rsid w:val="00D51644"/>
    <w:rsid w:val="00D51B6E"/>
    <w:rsid w:val="00D51FE3"/>
    <w:rsid w:val="00D520C0"/>
    <w:rsid w:val="00D521BE"/>
    <w:rsid w:val="00D52BFB"/>
    <w:rsid w:val="00D52D3F"/>
    <w:rsid w:val="00D52F79"/>
    <w:rsid w:val="00D531A2"/>
    <w:rsid w:val="00D53358"/>
    <w:rsid w:val="00D533F5"/>
    <w:rsid w:val="00D5341D"/>
    <w:rsid w:val="00D53723"/>
    <w:rsid w:val="00D53E49"/>
    <w:rsid w:val="00D540C1"/>
    <w:rsid w:val="00D543FE"/>
    <w:rsid w:val="00D55005"/>
    <w:rsid w:val="00D555BC"/>
    <w:rsid w:val="00D5566E"/>
    <w:rsid w:val="00D55913"/>
    <w:rsid w:val="00D561E3"/>
    <w:rsid w:val="00D56294"/>
    <w:rsid w:val="00D564E9"/>
    <w:rsid w:val="00D566F9"/>
    <w:rsid w:val="00D5687A"/>
    <w:rsid w:val="00D568CF"/>
    <w:rsid w:val="00D57341"/>
    <w:rsid w:val="00D57D41"/>
    <w:rsid w:val="00D604A7"/>
    <w:rsid w:val="00D604D0"/>
    <w:rsid w:val="00D6086D"/>
    <w:rsid w:val="00D60AFC"/>
    <w:rsid w:val="00D60D22"/>
    <w:rsid w:val="00D6102C"/>
    <w:rsid w:val="00D6114C"/>
    <w:rsid w:val="00D6198A"/>
    <w:rsid w:val="00D61AFA"/>
    <w:rsid w:val="00D61E86"/>
    <w:rsid w:val="00D62508"/>
    <w:rsid w:val="00D627A6"/>
    <w:rsid w:val="00D630F5"/>
    <w:rsid w:val="00D63344"/>
    <w:rsid w:val="00D6336F"/>
    <w:rsid w:val="00D6363F"/>
    <w:rsid w:val="00D63C9D"/>
    <w:rsid w:val="00D64164"/>
    <w:rsid w:val="00D642E1"/>
    <w:rsid w:val="00D643C9"/>
    <w:rsid w:val="00D64612"/>
    <w:rsid w:val="00D65444"/>
    <w:rsid w:val="00D65763"/>
    <w:rsid w:val="00D65B84"/>
    <w:rsid w:val="00D65DAE"/>
    <w:rsid w:val="00D6603D"/>
    <w:rsid w:val="00D66608"/>
    <w:rsid w:val="00D66B13"/>
    <w:rsid w:val="00D66BAA"/>
    <w:rsid w:val="00D66D20"/>
    <w:rsid w:val="00D67190"/>
    <w:rsid w:val="00D673F5"/>
    <w:rsid w:val="00D6759F"/>
    <w:rsid w:val="00D6776B"/>
    <w:rsid w:val="00D703F0"/>
    <w:rsid w:val="00D70448"/>
    <w:rsid w:val="00D7061F"/>
    <w:rsid w:val="00D70F27"/>
    <w:rsid w:val="00D70F63"/>
    <w:rsid w:val="00D71997"/>
    <w:rsid w:val="00D71A88"/>
    <w:rsid w:val="00D72658"/>
    <w:rsid w:val="00D72747"/>
    <w:rsid w:val="00D72D79"/>
    <w:rsid w:val="00D72FC9"/>
    <w:rsid w:val="00D732EC"/>
    <w:rsid w:val="00D734F5"/>
    <w:rsid w:val="00D73550"/>
    <w:rsid w:val="00D738CD"/>
    <w:rsid w:val="00D742F3"/>
    <w:rsid w:val="00D74771"/>
    <w:rsid w:val="00D748CB"/>
    <w:rsid w:val="00D74BB8"/>
    <w:rsid w:val="00D74D62"/>
    <w:rsid w:val="00D74D96"/>
    <w:rsid w:val="00D74EFF"/>
    <w:rsid w:val="00D75835"/>
    <w:rsid w:val="00D75AB7"/>
    <w:rsid w:val="00D75C70"/>
    <w:rsid w:val="00D75EFA"/>
    <w:rsid w:val="00D7645D"/>
    <w:rsid w:val="00D765D5"/>
    <w:rsid w:val="00D76D0B"/>
    <w:rsid w:val="00D77C4A"/>
    <w:rsid w:val="00D77CCE"/>
    <w:rsid w:val="00D77FF7"/>
    <w:rsid w:val="00D806FC"/>
    <w:rsid w:val="00D80A2D"/>
    <w:rsid w:val="00D80B3A"/>
    <w:rsid w:val="00D80D85"/>
    <w:rsid w:val="00D80EC8"/>
    <w:rsid w:val="00D8168E"/>
    <w:rsid w:val="00D818B3"/>
    <w:rsid w:val="00D824C9"/>
    <w:rsid w:val="00D82F8D"/>
    <w:rsid w:val="00D82FF3"/>
    <w:rsid w:val="00D83563"/>
    <w:rsid w:val="00D83571"/>
    <w:rsid w:val="00D83894"/>
    <w:rsid w:val="00D83AF5"/>
    <w:rsid w:val="00D83C39"/>
    <w:rsid w:val="00D83FD0"/>
    <w:rsid w:val="00D844CA"/>
    <w:rsid w:val="00D84991"/>
    <w:rsid w:val="00D84F9E"/>
    <w:rsid w:val="00D851E2"/>
    <w:rsid w:val="00D8564C"/>
    <w:rsid w:val="00D85990"/>
    <w:rsid w:val="00D859C7"/>
    <w:rsid w:val="00D85D73"/>
    <w:rsid w:val="00D85FDF"/>
    <w:rsid w:val="00D861ED"/>
    <w:rsid w:val="00D86317"/>
    <w:rsid w:val="00D86397"/>
    <w:rsid w:val="00D86643"/>
    <w:rsid w:val="00D869CA"/>
    <w:rsid w:val="00D87A3C"/>
    <w:rsid w:val="00D90074"/>
    <w:rsid w:val="00D90357"/>
    <w:rsid w:val="00D904D5"/>
    <w:rsid w:val="00D90A06"/>
    <w:rsid w:val="00D90A69"/>
    <w:rsid w:val="00D90CEE"/>
    <w:rsid w:val="00D90F8C"/>
    <w:rsid w:val="00D912D2"/>
    <w:rsid w:val="00D91412"/>
    <w:rsid w:val="00D915BF"/>
    <w:rsid w:val="00D9190A"/>
    <w:rsid w:val="00D91B11"/>
    <w:rsid w:val="00D92006"/>
    <w:rsid w:val="00D92030"/>
    <w:rsid w:val="00D925BA"/>
    <w:rsid w:val="00D927E6"/>
    <w:rsid w:val="00D92A63"/>
    <w:rsid w:val="00D933F2"/>
    <w:rsid w:val="00D9375D"/>
    <w:rsid w:val="00D93FC9"/>
    <w:rsid w:val="00D9476D"/>
    <w:rsid w:val="00D94AE5"/>
    <w:rsid w:val="00D94AEA"/>
    <w:rsid w:val="00D94B76"/>
    <w:rsid w:val="00D94D7B"/>
    <w:rsid w:val="00D94F3E"/>
    <w:rsid w:val="00D94F42"/>
    <w:rsid w:val="00D94F72"/>
    <w:rsid w:val="00D95178"/>
    <w:rsid w:val="00D95736"/>
    <w:rsid w:val="00D95809"/>
    <w:rsid w:val="00D96098"/>
    <w:rsid w:val="00D96289"/>
    <w:rsid w:val="00D96626"/>
    <w:rsid w:val="00D96686"/>
    <w:rsid w:val="00D9690A"/>
    <w:rsid w:val="00D96F22"/>
    <w:rsid w:val="00D97192"/>
    <w:rsid w:val="00D97952"/>
    <w:rsid w:val="00D97D62"/>
    <w:rsid w:val="00DA08E3"/>
    <w:rsid w:val="00DA0E31"/>
    <w:rsid w:val="00DA169E"/>
    <w:rsid w:val="00DA1785"/>
    <w:rsid w:val="00DA18A3"/>
    <w:rsid w:val="00DA193E"/>
    <w:rsid w:val="00DA1BC4"/>
    <w:rsid w:val="00DA21BF"/>
    <w:rsid w:val="00DA3105"/>
    <w:rsid w:val="00DA34E7"/>
    <w:rsid w:val="00DA3755"/>
    <w:rsid w:val="00DA3C0D"/>
    <w:rsid w:val="00DA5484"/>
    <w:rsid w:val="00DA5669"/>
    <w:rsid w:val="00DA5C43"/>
    <w:rsid w:val="00DA635F"/>
    <w:rsid w:val="00DA796F"/>
    <w:rsid w:val="00DA7C6B"/>
    <w:rsid w:val="00DA7DAD"/>
    <w:rsid w:val="00DA7E67"/>
    <w:rsid w:val="00DB018B"/>
    <w:rsid w:val="00DB0523"/>
    <w:rsid w:val="00DB0615"/>
    <w:rsid w:val="00DB07AC"/>
    <w:rsid w:val="00DB0860"/>
    <w:rsid w:val="00DB0A2D"/>
    <w:rsid w:val="00DB0E22"/>
    <w:rsid w:val="00DB10B9"/>
    <w:rsid w:val="00DB1486"/>
    <w:rsid w:val="00DB1518"/>
    <w:rsid w:val="00DB1AA9"/>
    <w:rsid w:val="00DB269C"/>
    <w:rsid w:val="00DB3116"/>
    <w:rsid w:val="00DB31E4"/>
    <w:rsid w:val="00DB342E"/>
    <w:rsid w:val="00DB399C"/>
    <w:rsid w:val="00DB3D0E"/>
    <w:rsid w:val="00DB4798"/>
    <w:rsid w:val="00DB5375"/>
    <w:rsid w:val="00DB56A8"/>
    <w:rsid w:val="00DB6CF4"/>
    <w:rsid w:val="00DB6E06"/>
    <w:rsid w:val="00DB70AE"/>
    <w:rsid w:val="00DB79EF"/>
    <w:rsid w:val="00DB7C3C"/>
    <w:rsid w:val="00DC02BF"/>
    <w:rsid w:val="00DC07FE"/>
    <w:rsid w:val="00DC0841"/>
    <w:rsid w:val="00DC1426"/>
    <w:rsid w:val="00DC146E"/>
    <w:rsid w:val="00DC1AF8"/>
    <w:rsid w:val="00DC201C"/>
    <w:rsid w:val="00DC2324"/>
    <w:rsid w:val="00DC238C"/>
    <w:rsid w:val="00DC241C"/>
    <w:rsid w:val="00DC250D"/>
    <w:rsid w:val="00DC26F7"/>
    <w:rsid w:val="00DC2760"/>
    <w:rsid w:val="00DC2B28"/>
    <w:rsid w:val="00DC2F6C"/>
    <w:rsid w:val="00DC38DE"/>
    <w:rsid w:val="00DC404C"/>
    <w:rsid w:val="00DC4608"/>
    <w:rsid w:val="00DC48B5"/>
    <w:rsid w:val="00DC4D3C"/>
    <w:rsid w:val="00DC4E56"/>
    <w:rsid w:val="00DC5693"/>
    <w:rsid w:val="00DC59EC"/>
    <w:rsid w:val="00DC5DB5"/>
    <w:rsid w:val="00DC5F64"/>
    <w:rsid w:val="00DC5F7F"/>
    <w:rsid w:val="00DC612A"/>
    <w:rsid w:val="00DC6A7C"/>
    <w:rsid w:val="00DC701F"/>
    <w:rsid w:val="00DC7803"/>
    <w:rsid w:val="00DD00D3"/>
    <w:rsid w:val="00DD0198"/>
    <w:rsid w:val="00DD025B"/>
    <w:rsid w:val="00DD044E"/>
    <w:rsid w:val="00DD0D3C"/>
    <w:rsid w:val="00DD0E96"/>
    <w:rsid w:val="00DD0F44"/>
    <w:rsid w:val="00DD1503"/>
    <w:rsid w:val="00DD162A"/>
    <w:rsid w:val="00DD1745"/>
    <w:rsid w:val="00DD184B"/>
    <w:rsid w:val="00DD1C75"/>
    <w:rsid w:val="00DD2379"/>
    <w:rsid w:val="00DD3815"/>
    <w:rsid w:val="00DD3D64"/>
    <w:rsid w:val="00DD3D7C"/>
    <w:rsid w:val="00DD4189"/>
    <w:rsid w:val="00DD44C4"/>
    <w:rsid w:val="00DD470C"/>
    <w:rsid w:val="00DD476C"/>
    <w:rsid w:val="00DD4B59"/>
    <w:rsid w:val="00DD4C85"/>
    <w:rsid w:val="00DD519F"/>
    <w:rsid w:val="00DD5204"/>
    <w:rsid w:val="00DD6103"/>
    <w:rsid w:val="00DD64FA"/>
    <w:rsid w:val="00DD68BB"/>
    <w:rsid w:val="00DD690D"/>
    <w:rsid w:val="00DD6DA7"/>
    <w:rsid w:val="00DE059E"/>
    <w:rsid w:val="00DE06C2"/>
    <w:rsid w:val="00DE0E53"/>
    <w:rsid w:val="00DE20D3"/>
    <w:rsid w:val="00DE20EE"/>
    <w:rsid w:val="00DE216D"/>
    <w:rsid w:val="00DE2924"/>
    <w:rsid w:val="00DE32E1"/>
    <w:rsid w:val="00DE3829"/>
    <w:rsid w:val="00DE4059"/>
    <w:rsid w:val="00DE413B"/>
    <w:rsid w:val="00DE4153"/>
    <w:rsid w:val="00DE4272"/>
    <w:rsid w:val="00DE42A0"/>
    <w:rsid w:val="00DE45BE"/>
    <w:rsid w:val="00DE4734"/>
    <w:rsid w:val="00DE4B28"/>
    <w:rsid w:val="00DE4C99"/>
    <w:rsid w:val="00DE51E4"/>
    <w:rsid w:val="00DE5C69"/>
    <w:rsid w:val="00DE5EC6"/>
    <w:rsid w:val="00DE6040"/>
    <w:rsid w:val="00DE66D1"/>
    <w:rsid w:val="00DE6B40"/>
    <w:rsid w:val="00DE6E65"/>
    <w:rsid w:val="00DE7556"/>
    <w:rsid w:val="00DE7B90"/>
    <w:rsid w:val="00DF056D"/>
    <w:rsid w:val="00DF072E"/>
    <w:rsid w:val="00DF0779"/>
    <w:rsid w:val="00DF0ABC"/>
    <w:rsid w:val="00DF1272"/>
    <w:rsid w:val="00DF1305"/>
    <w:rsid w:val="00DF136C"/>
    <w:rsid w:val="00DF1865"/>
    <w:rsid w:val="00DF19FF"/>
    <w:rsid w:val="00DF206C"/>
    <w:rsid w:val="00DF2CBA"/>
    <w:rsid w:val="00DF2EE3"/>
    <w:rsid w:val="00DF365D"/>
    <w:rsid w:val="00DF39EF"/>
    <w:rsid w:val="00DF3CCD"/>
    <w:rsid w:val="00DF3DD2"/>
    <w:rsid w:val="00DF3F36"/>
    <w:rsid w:val="00DF411E"/>
    <w:rsid w:val="00DF4315"/>
    <w:rsid w:val="00DF4A70"/>
    <w:rsid w:val="00DF4ADE"/>
    <w:rsid w:val="00DF558C"/>
    <w:rsid w:val="00DF598F"/>
    <w:rsid w:val="00DF5D1F"/>
    <w:rsid w:val="00DF661D"/>
    <w:rsid w:val="00DF67D1"/>
    <w:rsid w:val="00DF6A60"/>
    <w:rsid w:val="00DF6CDC"/>
    <w:rsid w:val="00DF6D07"/>
    <w:rsid w:val="00DF762E"/>
    <w:rsid w:val="00DF7833"/>
    <w:rsid w:val="00DF7D37"/>
    <w:rsid w:val="00DF7FA6"/>
    <w:rsid w:val="00E00536"/>
    <w:rsid w:val="00E005B3"/>
    <w:rsid w:val="00E00AD1"/>
    <w:rsid w:val="00E00D0E"/>
    <w:rsid w:val="00E010CA"/>
    <w:rsid w:val="00E017DD"/>
    <w:rsid w:val="00E0193E"/>
    <w:rsid w:val="00E01FD3"/>
    <w:rsid w:val="00E0229F"/>
    <w:rsid w:val="00E022B7"/>
    <w:rsid w:val="00E02416"/>
    <w:rsid w:val="00E02C6B"/>
    <w:rsid w:val="00E031E3"/>
    <w:rsid w:val="00E034A0"/>
    <w:rsid w:val="00E03B48"/>
    <w:rsid w:val="00E03C78"/>
    <w:rsid w:val="00E03E4F"/>
    <w:rsid w:val="00E041CA"/>
    <w:rsid w:val="00E0477E"/>
    <w:rsid w:val="00E048D5"/>
    <w:rsid w:val="00E0493E"/>
    <w:rsid w:val="00E049CD"/>
    <w:rsid w:val="00E04C58"/>
    <w:rsid w:val="00E05358"/>
    <w:rsid w:val="00E055F9"/>
    <w:rsid w:val="00E05785"/>
    <w:rsid w:val="00E05A3E"/>
    <w:rsid w:val="00E05D79"/>
    <w:rsid w:val="00E06848"/>
    <w:rsid w:val="00E069CA"/>
    <w:rsid w:val="00E07647"/>
    <w:rsid w:val="00E07C23"/>
    <w:rsid w:val="00E10245"/>
    <w:rsid w:val="00E10663"/>
    <w:rsid w:val="00E11023"/>
    <w:rsid w:val="00E110AC"/>
    <w:rsid w:val="00E11448"/>
    <w:rsid w:val="00E118CF"/>
    <w:rsid w:val="00E11DC1"/>
    <w:rsid w:val="00E12257"/>
    <w:rsid w:val="00E1281E"/>
    <w:rsid w:val="00E12B3A"/>
    <w:rsid w:val="00E13147"/>
    <w:rsid w:val="00E14113"/>
    <w:rsid w:val="00E14490"/>
    <w:rsid w:val="00E1453F"/>
    <w:rsid w:val="00E14A3F"/>
    <w:rsid w:val="00E14B85"/>
    <w:rsid w:val="00E14C8A"/>
    <w:rsid w:val="00E14F07"/>
    <w:rsid w:val="00E14F2D"/>
    <w:rsid w:val="00E153EC"/>
    <w:rsid w:val="00E1541D"/>
    <w:rsid w:val="00E15AEF"/>
    <w:rsid w:val="00E15B23"/>
    <w:rsid w:val="00E163E8"/>
    <w:rsid w:val="00E165A4"/>
    <w:rsid w:val="00E16838"/>
    <w:rsid w:val="00E16A57"/>
    <w:rsid w:val="00E16B54"/>
    <w:rsid w:val="00E16E33"/>
    <w:rsid w:val="00E16E56"/>
    <w:rsid w:val="00E16E75"/>
    <w:rsid w:val="00E17301"/>
    <w:rsid w:val="00E17488"/>
    <w:rsid w:val="00E17D08"/>
    <w:rsid w:val="00E17F75"/>
    <w:rsid w:val="00E20148"/>
    <w:rsid w:val="00E208D9"/>
    <w:rsid w:val="00E20BDD"/>
    <w:rsid w:val="00E2125D"/>
    <w:rsid w:val="00E214F3"/>
    <w:rsid w:val="00E221EE"/>
    <w:rsid w:val="00E22DD2"/>
    <w:rsid w:val="00E233A6"/>
    <w:rsid w:val="00E235D5"/>
    <w:rsid w:val="00E23683"/>
    <w:rsid w:val="00E238DD"/>
    <w:rsid w:val="00E23903"/>
    <w:rsid w:val="00E23ABB"/>
    <w:rsid w:val="00E23B86"/>
    <w:rsid w:val="00E24203"/>
    <w:rsid w:val="00E245A2"/>
    <w:rsid w:val="00E24867"/>
    <w:rsid w:val="00E25421"/>
    <w:rsid w:val="00E259AE"/>
    <w:rsid w:val="00E25FBE"/>
    <w:rsid w:val="00E26712"/>
    <w:rsid w:val="00E26AF0"/>
    <w:rsid w:val="00E26B45"/>
    <w:rsid w:val="00E26BAF"/>
    <w:rsid w:val="00E27554"/>
    <w:rsid w:val="00E27B28"/>
    <w:rsid w:val="00E302F8"/>
    <w:rsid w:val="00E30E7E"/>
    <w:rsid w:val="00E31565"/>
    <w:rsid w:val="00E31952"/>
    <w:rsid w:val="00E31B1E"/>
    <w:rsid w:val="00E31C8E"/>
    <w:rsid w:val="00E31DA0"/>
    <w:rsid w:val="00E323B9"/>
    <w:rsid w:val="00E326B7"/>
    <w:rsid w:val="00E32DD1"/>
    <w:rsid w:val="00E33295"/>
    <w:rsid w:val="00E33AC2"/>
    <w:rsid w:val="00E34287"/>
    <w:rsid w:val="00E34440"/>
    <w:rsid w:val="00E3472A"/>
    <w:rsid w:val="00E34A60"/>
    <w:rsid w:val="00E34E2E"/>
    <w:rsid w:val="00E34E37"/>
    <w:rsid w:val="00E34EE0"/>
    <w:rsid w:val="00E35747"/>
    <w:rsid w:val="00E3577F"/>
    <w:rsid w:val="00E35982"/>
    <w:rsid w:val="00E35D3B"/>
    <w:rsid w:val="00E35FB1"/>
    <w:rsid w:val="00E3655B"/>
    <w:rsid w:val="00E367D6"/>
    <w:rsid w:val="00E3697F"/>
    <w:rsid w:val="00E36AE8"/>
    <w:rsid w:val="00E36BB8"/>
    <w:rsid w:val="00E36C29"/>
    <w:rsid w:val="00E37191"/>
    <w:rsid w:val="00E37254"/>
    <w:rsid w:val="00E372BE"/>
    <w:rsid w:val="00E405B1"/>
    <w:rsid w:val="00E409C6"/>
    <w:rsid w:val="00E40AC5"/>
    <w:rsid w:val="00E40E5A"/>
    <w:rsid w:val="00E40EC0"/>
    <w:rsid w:val="00E40F5F"/>
    <w:rsid w:val="00E41193"/>
    <w:rsid w:val="00E41641"/>
    <w:rsid w:val="00E41676"/>
    <w:rsid w:val="00E41A49"/>
    <w:rsid w:val="00E41CB3"/>
    <w:rsid w:val="00E41D49"/>
    <w:rsid w:val="00E41FF2"/>
    <w:rsid w:val="00E42CBB"/>
    <w:rsid w:val="00E43BB2"/>
    <w:rsid w:val="00E44483"/>
    <w:rsid w:val="00E44C69"/>
    <w:rsid w:val="00E450EE"/>
    <w:rsid w:val="00E4542D"/>
    <w:rsid w:val="00E455FC"/>
    <w:rsid w:val="00E45A6B"/>
    <w:rsid w:val="00E45F51"/>
    <w:rsid w:val="00E463F6"/>
    <w:rsid w:val="00E46E46"/>
    <w:rsid w:val="00E46F2A"/>
    <w:rsid w:val="00E47C80"/>
    <w:rsid w:val="00E47E9B"/>
    <w:rsid w:val="00E5096A"/>
    <w:rsid w:val="00E50D43"/>
    <w:rsid w:val="00E50DEA"/>
    <w:rsid w:val="00E50E7D"/>
    <w:rsid w:val="00E516C4"/>
    <w:rsid w:val="00E519E3"/>
    <w:rsid w:val="00E51AEF"/>
    <w:rsid w:val="00E5204A"/>
    <w:rsid w:val="00E520B0"/>
    <w:rsid w:val="00E52149"/>
    <w:rsid w:val="00E52AF5"/>
    <w:rsid w:val="00E52D10"/>
    <w:rsid w:val="00E52D7A"/>
    <w:rsid w:val="00E53356"/>
    <w:rsid w:val="00E53A66"/>
    <w:rsid w:val="00E53AA0"/>
    <w:rsid w:val="00E540F8"/>
    <w:rsid w:val="00E5430F"/>
    <w:rsid w:val="00E54993"/>
    <w:rsid w:val="00E54DB0"/>
    <w:rsid w:val="00E55CE9"/>
    <w:rsid w:val="00E55F6A"/>
    <w:rsid w:val="00E5678B"/>
    <w:rsid w:val="00E56AA6"/>
    <w:rsid w:val="00E56D3E"/>
    <w:rsid w:val="00E57638"/>
    <w:rsid w:val="00E57B62"/>
    <w:rsid w:val="00E57C25"/>
    <w:rsid w:val="00E60156"/>
    <w:rsid w:val="00E606D4"/>
    <w:rsid w:val="00E60BEF"/>
    <w:rsid w:val="00E60EA1"/>
    <w:rsid w:val="00E619B9"/>
    <w:rsid w:val="00E61C29"/>
    <w:rsid w:val="00E622A6"/>
    <w:rsid w:val="00E62300"/>
    <w:rsid w:val="00E62745"/>
    <w:rsid w:val="00E637AF"/>
    <w:rsid w:val="00E63EAC"/>
    <w:rsid w:val="00E640AA"/>
    <w:rsid w:val="00E6449A"/>
    <w:rsid w:val="00E64A6B"/>
    <w:rsid w:val="00E64D0B"/>
    <w:rsid w:val="00E64EDC"/>
    <w:rsid w:val="00E65143"/>
    <w:rsid w:val="00E654E0"/>
    <w:rsid w:val="00E65C40"/>
    <w:rsid w:val="00E66AC7"/>
    <w:rsid w:val="00E66C19"/>
    <w:rsid w:val="00E66C63"/>
    <w:rsid w:val="00E66E8C"/>
    <w:rsid w:val="00E67164"/>
    <w:rsid w:val="00E67922"/>
    <w:rsid w:val="00E67AEB"/>
    <w:rsid w:val="00E67C86"/>
    <w:rsid w:val="00E7024D"/>
    <w:rsid w:val="00E70413"/>
    <w:rsid w:val="00E70745"/>
    <w:rsid w:val="00E70A09"/>
    <w:rsid w:val="00E70A67"/>
    <w:rsid w:val="00E70CCC"/>
    <w:rsid w:val="00E70CD2"/>
    <w:rsid w:val="00E712CC"/>
    <w:rsid w:val="00E724AB"/>
    <w:rsid w:val="00E72995"/>
    <w:rsid w:val="00E72AD8"/>
    <w:rsid w:val="00E72C02"/>
    <w:rsid w:val="00E72C19"/>
    <w:rsid w:val="00E732F5"/>
    <w:rsid w:val="00E734C3"/>
    <w:rsid w:val="00E73576"/>
    <w:rsid w:val="00E746C5"/>
    <w:rsid w:val="00E748D8"/>
    <w:rsid w:val="00E74D94"/>
    <w:rsid w:val="00E74E78"/>
    <w:rsid w:val="00E75015"/>
    <w:rsid w:val="00E750BD"/>
    <w:rsid w:val="00E7517B"/>
    <w:rsid w:val="00E75359"/>
    <w:rsid w:val="00E7563A"/>
    <w:rsid w:val="00E756E0"/>
    <w:rsid w:val="00E762AF"/>
    <w:rsid w:val="00E767FF"/>
    <w:rsid w:val="00E76A63"/>
    <w:rsid w:val="00E775C6"/>
    <w:rsid w:val="00E7772C"/>
    <w:rsid w:val="00E77911"/>
    <w:rsid w:val="00E77C86"/>
    <w:rsid w:val="00E77DB2"/>
    <w:rsid w:val="00E80198"/>
    <w:rsid w:val="00E80558"/>
    <w:rsid w:val="00E80647"/>
    <w:rsid w:val="00E80AC2"/>
    <w:rsid w:val="00E80D0F"/>
    <w:rsid w:val="00E80DC4"/>
    <w:rsid w:val="00E815C9"/>
    <w:rsid w:val="00E816B4"/>
    <w:rsid w:val="00E81C33"/>
    <w:rsid w:val="00E81E4F"/>
    <w:rsid w:val="00E8238A"/>
    <w:rsid w:val="00E827E5"/>
    <w:rsid w:val="00E8292D"/>
    <w:rsid w:val="00E82AE2"/>
    <w:rsid w:val="00E82BBA"/>
    <w:rsid w:val="00E832C9"/>
    <w:rsid w:val="00E83307"/>
    <w:rsid w:val="00E83687"/>
    <w:rsid w:val="00E83A46"/>
    <w:rsid w:val="00E83B66"/>
    <w:rsid w:val="00E83BFD"/>
    <w:rsid w:val="00E83E04"/>
    <w:rsid w:val="00E83E37"/>
    <w:rsid w:val="00E842B0"/>
    <w:rsid w:val="00E843E5"/>
    <w:rsid w:val="00E84C93"/>
    <w:rsid w:val="00E84F2F"/>
    <w:rsid w:val="00E85649"/>
    <w:rsid w:val="00E85EA2"/>
    <w:rsid w:val="00E8616A"/>
    <w:rsid w:val="00E862C4"/>
    <w:rsid w:val="00E865B1"/>
    <w:rsid w:val="00E86E9A"/>
    <w:rsid w:val="00E87248"/>
    <w:rsid w:val="00E90119"/>
    <w:rsid w:val="00E90267"/>
    <w:rsid w:val="00E90760"/>
    <w:rsid w:val="00E9165D"/>
    <w:rsid w:val="00E9201B"/>
    <w:rsid w:val="00E9217F"/>
    <w:rsid w:val="00E927EF"/>
    <w:rsid w:val="00E92B10"/>
    <w:rsid w:val="00E92B6C"/>
    <w:rsid w:val="00E92DDD"/>
    <w:rsid w:val="00E92E53"/>
    <w:rsid w:val="00E93346"/>
    <w:rsid w:val="00E93354"/>
    <w:rsid w:val="00E93417"/>
    <w:rsid w:val="00E938C5"/>
    <w:rsid w:val="00E93B6E"/>
    <w:rsid w:val="00E9454B"/>
    <w:rsid w:val="00E95000"/>
    <w:rsid w:val="00E95065"/>
    <w:rsid w:val="00E9528F"/>
    <w:rsid w:val="00E95A49"/>
    <w:rsid w:val="00E968CB"/>
    <w:rsid w:val="00E968FC"/>
    <w:rsid w:val="00E96A98"/>
    <w:rsid w:val="00E96F00"/>
    <w:rsid w:val="00E97719"/>
    <w:rsid w:val="00E97897"/>
    <w:rsid w:val="00E978B0"/>
    <w:rsid w:val="00EA05B6"/>
    <w:rsid w:val="00EA05B8"/>
    <w:rsid w:val="00EA0911"/>
    <w:rsid w:val="00EA0A1A"/>
    <w:rsid w:val="00EA0EE1"/>
    <w:rsid w:val="00EA1B11"/>
    <w:rsid w:val="00EA213A"/>
    <w:rsid w:val="00EA25AB"/>
    <w:rsid w:val="00EA26E7"/>
    <w:rsid w:val="00EA2776"/>
    <w:rsid w:val="00EA2E75"/>
    <w:rsid w:val="00EA2F6B"/>
    <w:rsid w:val="00EA306A"/>
    <w:rsid w:val="00EA35E3"/>
    <w:rsid w:val="00EA368B"/>
    <w:rsid w:val="00EA3781"/>
    <w:rsid w:val="00EA3B4F"/>
    <w:rsid w:val="00EA3BF2"/>
    <w:rsid w:val="00EA3C6E"/>
    <w:rsid w:val="00EA3F79"/>
    <w:rsid w:val="00EA413F"/>
    <w:rsid w:val="00EA42BE"/>
    <w:rsid w:val="00EA42D4"/>
    <w:rsid w:val="00EA42F2"/>
    <w:rsid w:val="00EA4744"/>
    <w:rsid w:val="00EA49FB"/>
    <w:rsid w:val="00EA504B"/>
    <w:rsid w:val="00EA69D2"/>
    <w:rsid w:val="00EA6E4C"/>
    <w:rsid w:val="00EA6E8F"/>
    <w:rsid w:val="00EA7102"/>
    <w:rsid w:val="00EA7E30"/>
    <w:rsid w:val="00EB0C0F"/>
    <w:rsid w:val="00EB14EC"/>
    <w:rsid w:val="00EB15ED"/>
    <w:rsid w:val="00EB1923"/>
    <w:rsid w:val="00EB19A2"/>
    <w:rsid w:val="00EB24B1"/>
    <w:rsid w:val="00EB28CD"/>
    <w:rsid w:val="00EB32B7"/>
    <w:rsid w:val="00EB39FA"/>
    <w:rsid w:val="00EB3AFC"/>
    <w:rsid w:val="00EB3BF5"/>
    <w:rsid w:val="00EB42B7"/>
    <w:rsid w:val="00EB4EC8"/>
    <w:rsid w:val="00EB4F88"/>
    <w:rsid w:val="00EB523A"/>
    <w:rsid w:val="00EB5450"/>
    <w:rsid w:val="00EB585E"/>
    <w:rsid w:val="00EB5EBA"/>
    <w:rsid w:val="00EB5F6C"/>
    <w:rsid w:val="00EB6439"/>
    <w:rsid w:val="00EB6615"/>
    <w:rsid w:val="00EB670B"/>
    <w:rsid w:val="00EB67FC"/>
    <w:rsid w:val="00EB68B5"/>
    <w:rsid w:val="00EB6DF2"/>
    <w:rsid w:val="00EB7670"/>
    <w:rsid w:val="00EB7D37"/>
    <w:rsid w:val="00EC021E"/>
    <w:rsid w:val="00EC0262"/>
    <w:rsid w:val="00EC049B"/>
    <w:rsid w:val="00EC0F3B"/>
    <w:rsid w:val="00EC1D8E"/>
    <w:rsid w:val="00EC1ECC"/>
    <w:rsid w:val="00EC1F96"/>
    <w:rsid w:val="00EC24AD"/>
    <w:rsid w:val="00EC256A"/>
    <w:rsid w:val="00EC25D0"/>
    <w:rsid w:val="00EC264F"/>
    <w:rsid w:val="00EC27DC"/>
    <w:rsid w:val="00EC28E8"/>
    <w:rsid w:val="00EC2A80"/>
    <w:rsid w:val="00EC2F69"/>
    <w:rsid w:val="00EC4223"/>
    <w:rsid w:val="00EC496D"/>
    <w:rsid w:val="00EC4A1D"/>
    <w:rsid w:val="00EC4E04"/>
    <w:rsid w:val="00EC5859"/>
    <w:rsid w:val="00EC5AC4"/>
    <w:rsid w:val="00EC659F"/>
    <w:rsid w:val="00EC6F82"/>
    <w:rsid w:val="00EC722A"/>
    <w:rsid w:val="00EC7358"/>
    <w:rsid w:val="00EC7AFA"/>
    <w:rsid w:val="00ED0179"/>
    <w:rsid w:val="00ED01AF"/>
    <w:rsid w:val="00ED098D"/>
    <w:rsid w:val="00ED0C0B"/>
    <w:rsid w:val="00ED0FD9"/>
    <w:rsid w:val="00ED1205"/>
    <w:rsid w:val="00ED1776"/>
    <w:rsid w:val="00ED198B"/>
    <w:rsid w:val="00ED1A08"/>
    <w:rsid w:val="00ED1EF5"/>
    <w:rsid w:val="00ED230B"/>
    <w:rsid w:val="00ED2378"/>
    <w:rsid w:val="00ED28EE"/>
    <w:rsid w:val="00ED306F"/>
    <w:rsid w:val="00ED31F4"/>
    <w:rsid w:val="00ED345F"/>
    <w:rsid w:val="00ED3621"/>
    <w:rsid w:val="00ED3A3E"/>
    <w:rsid w:val="00ED3C6E"/>
    <w:rsid w:val="00ED3E1F"/>
    <w:rsid w:val="00ED423D"/>
    <w:rsid w:val="00ED4891"/>
    <w:rsid w:val="00ED4D08"/>
    <w:rsid w:val="00ED4E8E"/>
    <w:rsid w:val="00ED6F41"/>
    <w:rsid w:val="00ED70F3"/>
    <w:rsid w:val="00ED713F"/>
    <w:rsid w:val="00ED750B"/>
    <w:rsid w:val="00ED79E3"/>
    <w:rsid w:val="00ED7AB0"/>
    <w:rsid w:val="00EE0009"/>
    <w:rsid w:val="00EE01EF"/>
    <w:rsid w:val="00EE033C"/>
    <w:rsid w:val="00EE08B3"/>
    <w:rsid w:val="00EE0A89"/>
    <w:rsid w:val="00EE10F8"/>
    <w:rsid w:val="00EE1BA7"/>
    <w:rsid w:val="00EE1F83"/>
    <w:rsid w:val="00EE248F"/>
    <w:rsid w:val="00EE2AE6"/>
    <w:rsid w:val="00EE2D7F"/>
    <w:rsid w:val="00EE3B3A"/>
    <w:rsid w:val="00EE3BDF"/>
    <w:rsid w:val="00EE3C52"/>
    <w:rsid w:val="00EE3F49"/>
    <w:rsid w:val="00EE4535"/>
    <w:rsid w:val="00EE4813"/>
    <w:rsid w:val="00EE4AA1"/>
    <w:rsid w:val="00EE5433"/>
    <w:rsid w:val="00EE5885"/>
    <w:rsid w:val="00EE596D"/>
    <w:rsid w:val="00EE5A34"/>
    <w:rsid w:val="00EE6037"/>
    <w:rsid w:val="00EE604A"/>
    <w:rsid w:val="00EE6701"/>
    <w:rsid w:val="00EE674E"/>
    <w:rsid w:val="00EE6897"/>
    <w:rsid w:val="00EE6976"/>
    <w:rsid w:val="00EE699A"/>
    <w:rsid w:val="00EE745F"/>
    <w:rsid w:val="00EE7742"/>
    <w:rsid w:val="00EE7B3A"/>
    <w:rsid w:val="00EF04F2"/>
    <w:rsid w:val="00EF074D"/>
    <w:rsid w:val="00EF0A3F"/>
    <w:rsid w:val="00EF0B57"/>
    <w:rsid w:val="00EF14D9"/>
    <w:rsid w:val="00EF16CC"/>
    <w:rsid w:val="00EF16E1"/>
    <w:rsid w:val="00EF1770"/>
    <w:rsid w:val="00EF18BE"/>
    <w:rsid w:val="00EF18CC"/>
    <w:rsid w:val="00EF1F7A"/>
    <w:rsid w:val="00EF281B"/>
    <w:rsid w:val="00EF2AF4"/>
    <w:rsid w:val="00EF2C12"/>
    <w:rsid w:val="00EF2C66"/>
    <w:rsid w:val="00EF3128"/>
    <w:rsid w:val="00EF3478"/>
    <w:rsid w:val="00EF3B82"/>
    <w:rsid w:val="00EF3F93"/>
    <w:rsid w:val="00EF4A55"/>
    <w:rsid w:val="00EF4AC4"/>
    <w:rsid w:val="00EF4F95"/>
    <w:rsid w:val="00EF55B8"/>
    <w:rsid w:val="00EF56D2"/>
    <w:rsid w:val="00EF58F1"/>
    <w:rsid w:val="00EF5B95"/>
    <w:rsid w:val="00EF5D05"/>
    <w:rsid w:val="00EF5E20"/>
    <w:rsid w:val="00EF6373"/>
    <w:rsid w:val="00EF6935"/>
    <w:rsid w:val="00EF6BD4"/>
    <w:rsid w:val="00EF6E14"/>
    <w:rsid w:val="00EF7150"/>
    <w:rsid w:val="00EF7BAA"/>
    <w:rsid w:val="00F0042B"/>
    <w:rsid w:val="00F00C76"/>
    <w:rsid w:val="00F01036"/>
    <w:rsid w:val="00F010D2"/>
    <w:rsid w:val="00F011AF"/>
    <w:rsid w:val="00F013C7"/>
    <w:rsid w:val="00F0162C"/>
    <w:rsid w:val="00F016A3"/>
    <w:rsid w:val="00F01857"/>
    <w:rsid w:val="00F01CF8"/>
    <w:rsid w:val="00F021BF"/>
    <w:rsid w:val="00F022F7"/>
    <w:rsid w:val="00F02999"/>
    <w:rsid w:val="00F02E07"/>
    <w:rsid w:val="00F02EB5"/>
    <w:rsid w:val="00F02ECC"/>
    <w:rsid w:val="00F0309B"/>
    <w:rsid w:val="00F030D2"/>
    <w:rsid w:val="00F03153"/>
    <w:rsid w:val="00F032CA"/>
    <w:rsid w:val="00F03593"/>
    <w:rsid w:val="00F03766"/>
    <w:rsid w:val="00F037BC"/>
    <w:rsid w:val="00F04244"/>
    <w:rsid w:val="00F05A14"/>
    <w:rsid w:val="00F05F7E"/>
    <w:rsid w:val="00F0604D"/>
    <w:rsid w:val="00F0614F"/>
    <w:rsid w:val="00F0672E"/>
    <w:rsid w:val="00F06BD2"/>
    <w:rsid w:val="00F06D74"/>
    <w:rsid w:val="00F06F4B"/>
    <w:rsid w:val="00F074C4"/>
    <w:rsid w:val="00F0771E"/>
    <w:rsid w:val="00F1046D"/>
    <w:rsid w:val="00F1058D"/>
    <w:rsid w:val="00F106A0"/>
    <w:rsid w:val="00F10DFC"/>
    <w:rsid w:val="00F116FC"/>
    <w:rsid w:val="00F11BB1"/>
    <w:rsid w:val="00F12334"/>
    <w:rsid w:val="00F124BE"/>
    <w:rsid w:val="00F1258F"/>
    <w:rsid w:val="00F1282F"/>
    <w:rsid w:val="00F12947"/>
    <w:rsid w:val="00F129CB"/>
    <w:rsid w:val="00F12B27"/>
    <w:rsid w:val="00F12F90"/>
    <w:rsid w:val="00F13025"/>
    <w:rsid w:val="00F13106"/>
    <w:rsid w:val="00F138F0"/>
    <w:rsid w:val="00F13B68"/>
    <w:rsid w:val="00F142B9"/>
    <w:rsid w:val="00F14422"/>
    <w:rsid w:val="00F14A82"/>
    <w:rsid w:val="00F14C1B"/>
    <w:rsid w:val="00F14E7D"/>
    <w:rsid w:val="00F15142"/>
    <w:rsid w:val="00F15A08"/>
    <w:rsid w:val="00F15A77"/>
    <w:rsid w:val="00F15C19"/>
    <w:rsid w:val="00F1620B"/>
    <w:rsid w:val="00F166CD"/>
    <w:rsid w:val="00F167A5"/>
    <w:rsid w:val="00F169C5"/>
    <w:rsid w:val="00F16C27"/>
    <w:rsid w:val="00F16F0A"/>
    <w:rsid w:val="00F16F2A"/>
    <w:rsid w:val="00F17183"/>
    <w:rsid w:val="00F173BA"/>
    <w:rsid w:val="00F17C86"/>
    <w:rsid w:val="00F20D94"/>
    <w:rsid w:val="00F2100B"/>
    <w:rsid w:val="00F21233"/>
    <w:rsid w:val="00F21885"/>
    <w:rsid w:val="00F21C0C"/>
    <w:rsid w:val="00F21F2A"/>
    <w:rsid w:val="00F2269E"/>
    <w:rsid w:val="00F22818"/>
    <w:rsid w:val="00F233D2"/>
    <w:rsid w:val="00F23BC2"/>
    <w:rsid w:val="00F23EE4"/>
    <w:rsid w:val="00F241E7"/>
    <w:rsid w:val="00F2440D"/>
    <w:rsid w:val="00F248BC"/>
    <w:rsid w:val="00F24CCE"/>
    <w:rsid w:val="00F24EFA"/>
    <w:rsid w:val="00F250AF"/>
    <w:rsid w:val="00F25219"/>
    <w:rsid w:val="00F254A3"/>
    <w:rsid w:val="00F259B6"/>
    <w:rsid w:val="00F25A87"/>
    <w:rsid w:val="00F262D9"/>
    <w:rsid w:val="00F26906"/>
    <w:rsid w:val="00F27161"/>
    <w:rsid w:val="00F27185"/>
    <w:rsid w:val="00F2738A"/>
    <w:rsid w:val="00F277C9"/>
    <w:rsid w:val="00F27957"/>
    <w:rsid w:val="00F27C35"/>
    <w:rsid w:val="00F30726"/>
    <w:rsid w:val="00F30D3F"/>
    <w:rsid w:val="00F31095"/>
    <w:rsid w:val="00F31362"/>
    <w:rsid w:val="00F31BCC"/>
    <w:rsid w:val="00F31D2B"/>
    <w:rsid w:val="00F31F13"/>
    <w:rsid w:val="00F32640"/>
    <w:rsid w:val="00F32757"/>
    <w:rsid w:val="00F32A5A"/>
    <w:rsid w:val="00F32EB7"/>
    <w:rsid w:val="00F32EEE"/>
    <w:rsid w:val="00F334D7"/>
    <w:rsid w:val="00F33560"/>
    <w:rsid w:val="00F339C4"/>
    <w:rsid w:val="00F33F19"/>
    <w:rsid w:val="00F340FD"/>
    <w:rsid w:val="00F342E2"/>
    <w:rsid w:val="00F34BD8"/>
    <w:rsid w:val="00F34DBA"/>
    <w:rsid w:val="00F34E3A"/>
    <w:rsid w:val="00F34F18"/>
    <w:rsid w:val="00F354BC"/>
    <w:rsid w:val="00F3573E"/>
    <w:rsid w:val="00F35AEE"/>
    <w:rsid w:val="00F360F4"/>
    <w:rsid w:val="00F36230"/>
    <w:rsid w:val="00F36236"/>
    <w:rsid w:val="00F36307"/>
    <w:rsid w:val="00F36499"/>
    <w:rsid w:val="00F365F5"/>
    <w:rsid w:val="00F36696"/>
    <w:rsid w:val="00F36ACA"/>
    <w:rsid w:val="00F36B1E"/>
    <w:rsid w:val="00F36ED9"/>
    <w:rsid w:val="00F3731C"/>
    <w:rsid w:val="00F37432"/>
    <w:rsid w:val="00F379A3"/>
    <w:rsid w:val="00F37AB5"/>
    <w:rsid w:val="00F37C03"/>
    <w:rsid w:val="00F37C9A"/>
    <w:rsid w:val="00F4028C"/>
    <w:rsid w:val="00F40655"/>
    <w:rsid w:val="00F40719"/>
    <w:rsid w:val="00F40C91"/>
    <w:rsid w:val="00F41A1F"/>
    <w:rsid w:val="00F41A77"/>
    <w:rsid w:val="00F41ABC"/>
    <w:rsid w:val="00F41AD2"/>
    <w:rsid w:val="00F41EFA"/>
    <w:rsid w:val="00F41F9A"/>
    <w:rsid w:val="00F4292A"/>
    <w:rsid w:val="00F430E2"/>
    <w:rsid w:val="00F430F5"/>
    <w:rsid w:val="00F434B8"/>
    <w:rsid w:val="00F43A99"/>
    <w:rsid w:val="00F442B2"/>
    <w:rsid w:val="00F448AD"/>
    <w:rsid w:val="00F44DE5"/>
    <w:rsid w:val="00F44FFB"/>
    <w:rsid w:val="00F45229"/>
    <w:rsid w:val="00F452E1"/>
    <w:rsid w:val="00F45795"/>
    <w:rsid w:val="00F4605C"/>
    <w:rsid w:val="00F46365"/>
    <w:rsid w:val="00F46380"/>
    <w:rsid w:val="00F467BB"/>
    <w:rsid w:val="00F46D28"/>
    <w:rsid w:val="00F471F2"/>
    <w:rsid w:val="00F47201"/>
    <w:rsid w:val="00F47303"/>
    <w:rsid w:val="00F47C18"/>
    <w:rsid w:val="00F47EAF"/>
    <w:rsid w:val="00F500DC"/>
    <w:rsid w:val="00F50230"/>
    <w:rsid w:val="00F50546"/>
    <w:rsid w:val="00F50560"/>
    <w:rsid w:val="00F5073E"/>
    <w:rsid w:val="00F50993"/>
    <w:rsid w:val="00F509D5"/>
    <w:rsid w:val="00F50E71"/>
    <w:rsid w:val="00F50EFE"/>
    <w:rsid w:val="00F51110"/>
    <w:rsid w:val="00F51AED"/>
    <w:rsid w:val="00F51B6F"/>
    <w:rsid w:val="00F51BE0"/>
    <w:rsid w:val="00F51F43"/>
    <w:rsid w:val="00F52076"/>
    <w:rsid w:val="00F52186"/>
    <w:rsid w:val="00F524B2"/>
    <w:rsid w:val="00F527A8"/>
    <w:rsid w:val="00F527F5"/>
    <w:rsid w:val="00F52881"/>
    <w:rsid w:val="00F528B2"/>
    <w:rsid w:val="00F52AAA"/>
    <w:rsid w:val="00F532A1"/>
    <w:rsid w:val="00F5381B"/>
    <w:rsid w:val="00F53906"/>
    <w:rsid w:val="00F53946"/>
    <w:rsid w:val="00F53B93"/>
    <w:rsid w:val="00F541A8"/>
    <w:rsid w:val="00F544A9"/>
    <w:rsid w:val="00F54FAE"/>
    <w:rsid w:val="00F554C3"/>
    <w:rsid w:val="00F556BA"/>
    <w:rsid w:val="00F557DD"/>
    <w:rsid w:val="00F5584D"/>
    <w:rsid w:val="00F55EE4"/>
    <w:rsid w:val="00F562D7"/>
    <w:rsid w:val="00F568B1"/>
    <w:rsid w:val="00F56CA7"/>
    <w:rsid w:val="00F5735B"/>
    <w:rsid w:val="00F601FD"/>
    <w:rsid w:val="00F60294"/>
    <w:rsid w:val="00F607A9"/>
    <w:rsid w:val="00F608BB"/>
    <w:rsid w:val="00F608E2"/>
    <w:rsid w:val="00F614A1"/>
    <w:rsid w:val="00F6192A"/>
    <w:rsid w:val="00F6199B"/>
    <w:rsid w:val="00F624A6"/>
    <w:rsid w:val="00F6366E"/>
    <w:rsid w:val="00F63F86"/>
    <w:rsid w:val="00F646EC"/>
    <w:rsid w:val="00F658F9"/>
    <w:rsid w:val="00F65BAE"/>
    <w:rsid w:val="00F65BFE"/>
    <w:rsid w:val="00F65D6F"/>
    <w:rsid w:val="00F65D90"/>
    <w:rsid w:val="00F67187"/>
    <w:rsid w:val="00F673D3"/>
    <w:rsid w:val="00F674D6"/>
    <w:rsid w:val="00F676C0"/>
    <w:rsid w:val="00F67970"/>
    <w:rsid w:val="00F70063"/>
    <w:rsid w:val="00F701E1"/>
    <w:rsid w:val="00F70728"/>
    <w:rsid w:val="00F70D6D"/>
    <w:rsid w:val="00F70F4C"/>
    <w:rsid w:val="00F71148"/>
    <w:rsid w:val="00F7145D"/>
    <w:rsid w:val="00F71993"/>
    <w:rsid w:val="00F728C6"/>
    <w:rsid w:val="00F72A85"/>
    <w:rsid w:val="00F72B6A"/>
    <w:rsid w:val="00F73248"/>
    <w:rsid w:val="00F7393A"/>
    <w:rsid w:val="00F73AFF"/>
    <w:rsid w:val="00F73FED"/>
    <w:rsid w:val="00F74395"/>
    <w:rsid w:val="00F74676"/>
    <w:rsid w:val="00F74FA4"/>
    <w:rsid w:val="00F7531C"/>
    <w:rsid w:val="00F75730"/>
    <w:rsid w:val="00F75A39"/>
    <w:rsid w:val="00F75A6D"/>
    <w:rsid w:val="00F75AC2"/>
    <w:rsid w:val="00F75B30"/>
    <w:rsid w:val="00F7669E"/>
    <w:rsid w:val="00F766ED"/>
    <w:rsid w:val="00F76A27"/>
    <w:rsid w:val="00F774A0"/>
    <w:rsid w:val="00F777FE"/>
    <w:rsid w:val="00F7787E"/>
    <w:rsid w:val="00F77B0D"/>
    <w:rsid w:val="00F8093E"/>
    <w:rsid w:val="00F80ACB"/>
    <w:rsid w:val="00F8131F"/>
    <w:rsid w:val="00F81327"/>
    <w:rsid w:val="00F817BC"/>
    <w:rsid w:val="00F81ACE"/>
    <w:rsid w:val="00F81C29"/>
    <w:rsid w:val="00F81CDF"/>
    <w:rsid w:val="00F81DCD"/>
    <w:rsid w:val="00F81E24"/>
    <w:rsid w:val="00F82130"/>
    <w:rsid w:val="00F82288"/>
    <w:rsid w:val="00F822E2"/>
    <w:rsid w:val="00F82554"/>
    <w:rsid w:val="00F8278F"/>
    <w:rsid w:val="00F82AFE"/>
    <w:rsid w:val="00F82B67"/>
    <w:rsid w:val="00F82ED3"/>
    <w:rsid w:val="00F838AF"/>
    <w:rsid w:val="00F843EF"/>
    <w:rsid w:val="00F84F63"/>
    <w:rsid w:val="00F84F9C"/>
    <w:rsid w:val="00F851D3"/>
    <w:rsid w:val="00F855F7"/>
    <w:rsid w:val="00F859C8"/>
    <w:rsid w:val="00F85B99"/>
    <w:rsid w:val="00F85F2F"/>
    <w:rsid w:val="00F869E9"/>
    <w:rsid w:val="00F86D44"/>
    <w:rsid w:val="00F87195"/>
    <w:rsid w:val="00F87539"/>
    <w:rsid w:val="00F87C86"/>
    <w:rsid w:val="00F90292"/>
    <w:rsid w:val="00F906CB"/>
    <w:rsid w:val="00F90805"/>
    <w:rsid w:val="00F914FF"/>
    <w:rsid w:val="00F91849"/>
    <w:rsid w:val="00F91F89"/>
    <w:rsid w:val="00F92A22"/>
    <w:rsid w:val="00F939DC"/>
    <w:rsid w:val="00F93D87"/>
    <w:rsid w:val="00F93DA3"/>
    <w:rsid w:val="00F93E42"/>
    <w:rsid w:val="00F945DC"/>
    <w:rsid w:val="00F946ED"/>
    <w:rsid w:val="00F9487E"/>
    <w:rsid w:val="00F949E1"/>
    <w:rsid w:val="00F95494"/>
    <w:rsid w:val="00F956B7"/>
    <w:rsid w:val="00F95A87"/>
    <w:rsid w:val="00F95D1D"/>
    <w:rsid w:val="00F95F17"/>
    <w:rsid w:val="00F96166"/>
    <w:rsid w:val="00F9619C"/>
    <w:rsid w:val="00F96D06"/>
    <w:rsid w:val="00F97239"/>
    <w:rsid w:val="00F9757C"/>
    <w:rsid w:val="00F976A0"/>
    <w:rsid w:val="00F97B03"/>
    <w:rsid w:val="00F97DEB"/>
    <w:rsid w:val="00F97EF2"/>
    <w:rsid w:val="00FA08E1"/>
    <w:rsid w:val="00FA0E93"/>
    <w:rsid w:val="00FA1240"/>
    <w:rsid w:val="00FA1373"/>
    <w:rsid w:val="00FA13E8"/>
    <w:rsid w:val="00FA1B66"/>
    <w:rsid w:val="00FA1DE9"/>
    <w:rsid w:val="00FA1EEC"/>
    <w:rsid w:val="00FA236A"/>
    <w:rsid w:val="00FA2BC3"/>
    <w:rsid w:val="00FA313E"/>
    <w:rsid w:val="00FA3C05"/>
    <w:rsid w:val="00FA3E79"/>
    <w:rsid w:val="00FA4045"/>
    <w:rsid w:val="00FA482F"/>
    <w:rsid w:val="00FA4C4D"/>
    <w:rsid w:val="00FA4E9C"/>
    <w:rsid w:val="00FA59B5"/>
    <w:rsid w:val="00FA5AB4"/>
    <w:rsid w:val="00FA5C39"/>
    <w:rsid w:val="00FA60AF"/>
    <w:rsid w:val="00FA679E"/>
    <w:rsid w:val="00FA7412"/>
    <w:rsid w:val="00FA790D"/>
    <w:rsid w:val="00FA7CCA"/>
    <w:rsid w:val="00FA7DF4"/>
    <w:rsid w:val="00FA7FDF"/>
    <w:rsid w:val="00FB06F2"/>
    <w:rsid w:val="00FB0E73"/>
    <w:rsid w:val="00FB1084"/>
    <w:rsid w:val="00FB12FE"/>
    <w:rsid w:val="00FB1356"/>
    <w:rsid w:val="00FB1579"/>
    <w:rsid w:val="00FB17B8"/>
    <w:rsid w:val="00FB1A1D"/>
    <w:rsid w:val="00FB1B9D"/>
    <w:rsid w:val="00FB1CA0"/>
    <w:rsid w:val="00FB2414"/>
    <w:rsid w:val="00FB29F2"/>
    <w:rsid w:val="00FB2D1C"/>
    <w:rsid w:val="00FB39FA"/>
    <w:rsid w:val="00FB4181"/>
    <w:rsid w:val="00FB4263"/>
    <w:rsid w:val="00FB44B7"/>
    <w:rsid w:val="00FB4798"/>
    <w:rsid w:val="00FB5068"/>
    <w:rsid w:val="00FB51A8"/>
    <w:rsid w:val="00FB59DA"/>
    <w:rsid w:val="00FB5ED0"/>
    <w:rsid w:val="00FB66CA"/>
    <w:rsid w:val="00FB6811"/>
    <w:rsid w:val="00FB7481"/>
    <w:rsid w:val="00FB7667"/>
    <w:rsid w:val="00FC0267"/>
    <w:rsid w:val="00FC0948"/>
    <w:rsid w:val="00FC0A4C"/>
    <w:rsid w:val="00FC0F33"/>
    <w:rsid w:val="00FC124D"/>
    <w:rsid w:val="00FC1533"/>
    <w:rsid w:val="00FC1D45"/>
    <w:rsid w:val="00FC1E73"/>
    <w:rsid w:val="00FC1EE8"/>
    <w:rsid w:val="00FC238E"/>
    <w:rsid w:val="00FC2666"/>
    <w:rsid w:val="00FC2B6D"/>
    <w:rsid w:val="00FC2E41"/>
    <w:rsid w:val="00FC35B9"/>
    <w:rsid w:val="00FC393E"/>
    <w:rsid w:val="00FC42CE"/>
    <w:rsid w:val="00FC4B84"/>
    <w:rsid w:val="00FC56BF"/>
    <w:rsid w:val="00FC5998"/>
    <w:rsid w:val="00FC59BB"/>
    <w:rsid w:val="00FC5B14"/>
    <w:rsid w:val="00FC6580"/>
    <w:rsid w:val="00FC6EFE"/>
    <w:rsid w:val="00FC7277"/>
    <w:rsid w:val="00FC7431"/>
    <w:rsid w:val="00FC7BBB"/>
    <w:rsid w:val="00FC7EA2"/>
    <w:rsid w:val="00FD07DA"/>
    <w:rsid w:val="00FD0AA7"/>
    <w:rsid w:val="00FD0C22"/>
    <w:rsid w:val="00FD14ED"/>
    <w:rsid w:val="00FD1530"/>
    <w:rsid w:val="00FD17D8"/>
    <w:rsid w:val="00FD1974"/>
    <w:rsid w:val="00FD1C38"/>
    <w:rsid w:val="00FD21A7"/>
    <w:rsid w:val="00FD27FF"/>
    <w:rsid w:val="00FD2990"/>
    <w:rsid w:val="00FD29A5"/>
    <w:rsid w:val="00FD368D"/>
    <w:rsid w:val="00FD3817"/>
    <w:rsid w:val="00FD3BE2"/>
    <w:rsid w:val="00FD44A7"/>
    <w:rsid w:val="00FD45D6"/>
    <w:rsid w:val="00FD4C93"/>
    <w:rsid w:val="00FD4E96"/>
    <w:rsid w:val="00FD5595"/>
    <w:rsid w:val="00FD5834"/>
    <w:rsid w:val="00FD595F"/>
    <w:rsid w:val="00FD5C19"/>
    <w:rsid w:val="00FD5C4A"/>
    <w:rsid w:val="00FD5F88"/>
    <w:rsid w:val="00FD6371"/>
    <w:rsid w:val="00FD63F6"/>
    <w:rsid w:val="00FD649C"/>
    <w:rsid w:val="00FD66D6"/>
    <w:rsid w:val="00FD6A56"/>
    <w:rsid w:val="00FD6DB8"/>
    <w:rsid w:val="00FD6E1E"/>
    <w:rsid w:val="00FD7424"/>
    <w:rsid w:val="00FD75D4"/>
    <w:rsid w:val="00FD7BAE"/>
    <w:rsid w:val="00FD7BD9"/>
    <w:rsid w:val="00FD7E62"/>
    <w:rsid w:val="00FE0006"/>
    <w:rsid w:val="00FE018B"/>
    <w:rsid w:val="00FE0E84"/>
    <w:rsid w:val="00FE1121"/>
    <w:rsid w:val="00FE1433"/>
    <w:rsid w:val="00FE1473"/>
    <w:rsid w:val="00FE152D"/>
    <w:rsid w:val="00FE19B3"/>
    <w:rsid w:val="00FE1B1A"/>
    <w:rsid w:val="00FE20A9"/>
    <w:rsid w:val="00FE2278"/>
    <w:rsid w:val="00FE24B4"/>
    <w:rsid w:val="00FE2D80"/>
    <w:rsid w:val="00FE3CC0"/>
    <w:rsid w:val="00FE40F4"/>
    <w:rsid w:val="00FE42A2"/>
    <w:rsid w:val="00FE467F"/>
    <w:rsid w:val="00FE484B"/>
    <w:rsid w:val="00FE489B"/>
    <w:rsid w:val="00FE49E3"/>
    <w:rsid w:val="00FE54FA"/>
    <w:rsid w:val="00FE5665"/>
    <w:rsid w:val="00FE56BD"/>
    <w:rsid w:val="00FE5880"/>
    <w:rsid w:val="00FE5BF5"/>
    <w:rsid w:val="00FE5E8B"/>
    <w:rsid w:val="00FE61AA"/>
    <w:rsid w:val="00FE6934"/>
    <w:rsid w:val="00FE7023"/>
    <w:rsid w:val="00FE73A4"/>
    <w:rsid w:val="00FE77B8"/>
    <w:rsid w:val="00FE77EF"/>
    <w:rsid w:val="00FE7CAA"/>
    <w:rsid w:val="00FF01BB"/>
    <w:rsid w:val="00FF01E0"/>
    <w:rsid w:val="00FF04D7"/>
    <w:rsid w:val="00FF0EA3"/>
    <w:rsid w:val="00FF1E64"/>
    <w:rsid w:val="00FF27CF"/>
    <w:rsid w:val="00FF2B4E"/>
    <w:rsid w:val="00FF3087"/>
    <w:rsid w:val="00FF33D9"/>
    <w:rsid w:val="00FF3A3D"/>
    <w:rsid w:val="00FF3E03"/>
    <w:rsid w:val="00FF4598"/>
    <w:rsid w:val="00FF45B1"/>
    <w:rsid w:val="00FF4622"/>
    <w:rsid w:val="00FF492E"/>
    <w:rsid w:val="00FF4D75"/>
    <w:rsid w:val="00FF5747"/>
    <w:rsid w:val="00FF5BCA"/>
    <w:rsid w:val="00FF5C41"/>
    <w:rsid w:val="00FF6535"/>
    <w:rsid w:val="00FF67A2"/>
    <w:rsid w:val="00FF6A01"/>
    <w:rsid w:val="00FF6B07"/>
    <w:rsid w:val="00FF6CED"/>
    <w:rsid w:val="00FF6D05"/>
    <w:rsid w:val="00FF7252"/>
    <w:rsid w:val="00FF768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sto MT" w:eastAsia="MS Mincho" w:hAnsi="Calisto MT"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9"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1" w:unhideWhenUsed="0" w:qFormat="1"/>
    <w:lsdException w:name="footnote reference" w:uiPriority="0"/>
    <w:lsdException w:name="List Bullet" w:uiPriority="1" w:qFormat="1"/>
    <w:lsdException w:name="List Number" w:uiPriority="1" w:qFormat="1"/>
    <w:lsdException w:name="Title" w:semiHidden="0" w:uiPriority="1" w:unhideWhenUsed="0" w:qFormat="1"/>
    <w:lsdException w:name="Default Paragraph Font" w:uiPriority="1"/>
    <w:lsdException w:name="Subtitle" w:semiHidden="0" w:uiPriority="1" w:unhideWhenUsed="0" w:qFormat="1"/>
    <w:lsdException w:name="Body Text 2"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1"/>
    <w:lsdException w:name="TOC Heading" w:uiPriority="39" w:qFormat="1"/>
  </w:latentStyles>
  <w:style w:type="paragraph" w:default="1" w:styleId="Normal">
    <w:name w:val="Normal"/>
    <w:qFormat/>
    <w:pPr>
      <w:spacing w:after="240" w:line="276" w:lineRule="auto"/>
    </w:pPr>
    <w:rPr>
      <w:sz w:val="24"/>
      <w:szCs w:val="24"/>
      <w:lang w:val="fr-FR" w:eastAsia="fr-FR"/>
    </w:rPr>
  </w:style>
  <w:style w:type="paragraph" w:styleId="Heading1">
    <w:name w:val="heading 1"/>
    <w:basedOn w:val="Normal"/>
    <w:next w:val="Normal"/>
    <w:link w:val="Heading1Char"/>
    <w:uiPriority w:val="9"/>
    <w:qFormat/>
    <w:pPr>
      <w:keepNext/>
      <w:keepLines/>
      <w:spacing w:before="720" w:after="120"/>
      <w:jc w:val="center"/>
      <w:outlineLvl w:val="0"/>
    </w:pPr>
    <w:rPr>
      <w:bCs/>
      <w:color w:val="983620"/>
      <w:sz w:val="48"/>
      <w:szCs w:val="28"/>
    </w:rPr>
  </w:style>
  <w:style w:type="paragraph" w:styleId="Heading2">
    <w:name w:val="heading 2"/>
    <w:basedOn w:val="Normal"/>
    <w:next w:val="Normal"/>
    <w:link w:val="Heading2Char"/>
    <w:uiPriority w:val="1"/>
    <w:qFormat/>
    <w:pPr>
      <w:keepNext/>
      <w:keepLines/>
      <w:pBdr>
        <w:bottom w:val="single" w:sz="2" w:space="14" w:color="BFBFBF"/>
      </w:pBdr>
      <w:spacing w:before="120"/>
      <w:jc w:val="center"/>
      <w:outlineLvl w:val="1"/>
    </w:pPr>
    <w:rPr>
      <w:bCs/>
      <w:color w:val="000000"/>
      <w:sz w:val="28"/>
      <w:szCs w:val="26"/>
    </w:rPr>
  </w:style>
  <w:style w:type="paragraph" w:styleId="Heading3">
    <w:name w:val="heading 3"/>
    <w:basedOn w:val="Normal"/>
    <w:next w:val="Normal"/>
    <w:link w:val="Heading3Char"/>
    <w:uiPriority w:val="9"/>
    <w:qFormat/>
    <w:pPr>
      <w:keepNext/>
      <w:keepLines/>
      <w:spacing w:before="280" w:after="0"/>
      <w:outlineLvl w:val="2"/>
    </w:pPr>
    <w:rPr>
      <w:bCs/>
      <w:color w:val="983620"/>
    </w:rPr>
  </w:style>
  <w:style w:type="paragraph" w:styleId="Heading4">
    <w:name w:val="heading 4"/>
    <w:basedOn w:val="Normal"/>
    <w:next w:val="Normal"/>
    <w:link w:val="Heading4Char"/>
    <w:uiPriority w:val="1"/>
    <w:unhideWhenUsed/>
    <w:qFormat/>
    <w:pPr>
      <w:keepNext/>
      <w:keepLines/>
      <w:spacing w:before="200" w:after="0"/>
      <w:outlineLvl w:val="3"/>
    </w:pPr>
    <w:rPr>
      <w:bCs/>
      <w:iCs/>
      <w:color w:val="4B5A60"/>
    </w:rPr>
  </w:style>
  <w:style w:type="paragraph" w:styleId="Heading6">
    <w:name w:val="heading 6"/>
    <w:basedOn w:val="Normal"/>
    <w:next w:val="Normal"/>
    <w:link w:val="Heading6Char"/>
    <w:uiPriority w:val="1"/>
    <w:semiHidden/>
    <w:unhideWhenUsed/>
    <w:qFormat/>
    <w:pPr>
      <w:keepNext/>
      <w:keepLines/>
      <w:spacing w:before="200" w:after="0"/>
      <w:outlineLvl w:val="5"/>
    </w:pPr>
    <w:rPr>
      <w:i/>
      <w:iCs/>
      <w:color w:val="252C2F"/>
    </w:rPr>
  </w:style>
  <w:style w:type="paragraph" w:styleId="Heading7">
    <w:name w:val="heading 7"/>
    <w:basedOn w:val="Normal"/>
    <w:next w:val="Normal"/>
    <w:link w:val="Heading7Char"/>
    <w:uiPriority w:val="1"/>
    <w:semiHidden/>
    <w:unhideWhenUsed/>
    <w:qFormat/>
    <w:pPr>
      <w:keepNext/>
      <w:keepLines/>
      <w:spacing w:before="200" w:after="0"/>
      <w:outlineLvl w:val="6"/>
    </w:pPr>
    <w:rPr>
      <w:iCs/>
      <w:color w:val="595959"/>
    </w:rPr>
  </w:style>
  <w:style w:type="paragraph" w:styleId="Heading8">
    <w:name w:val="heading 8"/>
    <w:basedOn w:val="Normal"/>
    <w:next w:val="Normal"/>
    <w:link w:val="Heading8Char"/>
    <w:uiPriority w:val="1"/>
    <w:semiHidden/>
    <w:unhideWhenUsed/>
    <w:qFormat/>
    <w:pPr>
      <w:keepNext/>
      <w:keepLines/>
      <w:spacing w:before="200" w:after="0"/>
      <w:outlineLvl w:val="7"/>
    </w:pPr>
    <w:rPr>
      <w:color w:val="983620"/>
      <w:sz w:val="20"/>
      <w:szCs w:val="20"/>
    </w:rPr>
  </w:style>
  <w:style w:type="paragraph" w:styleId="Heading9">
    <w:name w:val="heading 9"/>
    <w:basedOn w:val="Normal"/>
    <w:next w:val="Normal"/>
    <w:link w:val="Heading9Char"/>
    <w:uiPriority w:val="1"/>
    <w:semiHidden/>
    <w:unhideWhenUsed/>
    <w:qFormat/>
    <w:pPr>
      <w:keepNext/>
      <w:keepLines/>
      <w:spacing w:before="200" w:after="0"/>
      <w:outlineLvl w:val="8"/>
    </w:pPr>
    <w:rPr>
      <w:iCs/>
      <w:color w:val="5959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sz w:val="12"/>
      <w:szCs w:val="24"/>
      <w:lang w:val="fr-FR" w:eastAsia="fr-F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itle">
    <w:name w:val="Title"/>
    <w:basedOn w:val="Normal"/>
    <w:next w:val="Normal"/>
    <w:link w:val="TitleChar"/>
    <w:uiPriority w:val="1"/>
    <w:qFormat/>
    <w:pPr>
      <w:spacing w:before="480" w:after="60" w:line="240" w:lineRule="auto"/>
      <w:contextualSpacing/>
    </w:pPr>
    <w:rPr>
      <w:color w:val="983620"/>
      <w:kern w:val="28"/>
      <w:sz w:val="72"/>
      <w:szCs w:val="52"/>
    </w:rPr>
  </w:style>
  <w:style w:type="character" w:customStyle="1" w:styleId="TitleChar">
    <w:name w:val="Title Char"/>
    <w:link w:val="Title"/>
    <w:uiPriority w:val="1"/>
    <w:rPr>
      <w:rFonts w:ascii="Calisto MT" w:eastAsia="MS Mincho" w:hAnsi="Calisto MT" w:cs="Times New Roman"/>
      <w:color w:val="983620"/>
      <w:kern w:val="28"/>
      <w:sz w:val="72"/>
      <w:szCs w:val="52"/>
    </w:rPr>
  </w:style>
  <w:style w:type="character" w:styleId="PlaceholderText">
    <w:name w:val="Placeholder Text"/>
    <w:uiPriority w:val="99"/>
    <w:semiHidden/>
    <w:rPr>
      <w:color w:val="808080"/>
    </w:rPr>
  </w:style>
  <w:style w:type="paragraph" w:styleId="Subtitle">
    <w:name w:val="Subtitle"/>
    <w:basedOn w:val="Normal"/>
    <w:next w:val="Normal"/>
    <w:link w:val="SubtitleChar"/>
    <w:uiPriority w:val="1"/>
    <w:qFormat/>
    <w:pPr>
      <w:numPr>
        <w:ilvl w:val="1"/>
      </w:numPr>
    </w:pPr>
    <w:rPr>
      <w:iCs/>
      <w:color w:val="000000"/>
      <w:sz w:val="28"/>
    </w:rPr>
  </w:style>
  <w:style w:type="character" w:customStyle="1" w:styleId="SubtitleChar">
    <w:name w:val="Subtitle Char"/>
    <w:link w:val="Subtitle"/>
    <w:uiPriority w:val="1"/>
    <w:rPr>
      <w:rFonts w:ascii="Calisto MT" w:eastAsia="MS Mincho" w:hAnsi="Calisto MT" w:cs="Times New Roman"/>
      <w:iCs/>
      <w:color w:val="000000"/>
      <w:sz w:val="28"/>
    </w:rPr>
  </w:style>
  <w:style w:type="paragraph" w:customStyle="1" w:styleId="Appendix">
    <w:name w:val="Appendix"/>
    <w:basedOn w:val="Normal"/>
    <w:uiPriority w:val="1"/>
    <w:qFormat/>
    <w:pPr>
      <w:pageBreakBefore/>
      <w:pBdr>
        <w:bottom w:val="single" w:sz="2" w:space="12" w:color="BFBFBF"/>
      </w:pBdr>
      <w:spacing w:before="480"/>
      <w:jc w:val="center"/>
    </w:pPr>
    <w:rPr>
      <w:color w:val="983620"/>
      <w:sz w:val="48"/>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before="240" w:after="0" w:line="264" w:lineRule="auto"/>
    </w:pPr>
    <w:rPr>
      <w:color w:val="595959"/>
      <w:sz w:val="20"/>
    </w:rPr>
  </w:style>
  <w:style w:type="character" w:customStyle="1" w:styleId="FooterChar">
    <w:name w:val="Footer Char"/>
    <w:link w:val="Footer"/>
    <w:uiPriority w:val="99"/>
    <w:rPr>
      <w:color w:val="595959"/>
      <w:sz w:val="20"/>
    </w:rPr>
  </w:style>
  <w:style w:type="paragraph" w:customStyle="1" w:styleId="Header-FooterRight">
    <w:name w:val="Header-Footer Right"/>
    <w:basedOn w:val="Normal"/>
    <w:uiPriority w:val="99"/>
    <w:pPr>
      <w:spacing w:before="240" w:after="0" w:line="264" w:lineRule="auto"/>
      <w:jc w:val="right"/>
    </w:pPr>
    <w:rPr>
      <w:color w:val="595959"/>
      <w:sz w:val="20"/>
    </w:rPr>
  </w:style>
  <w:style w:type="character" w:customStyle="1" w:styleId="Heading1Char">
    <w:name w:val="Heading 1 Char"/>
    <w:link w:val="Heading1"/>
    <w:uiPriority w:val="9"/>
    <w:rPr>
      <w:rFonts w:ascii="Calisto MT" w:eastAsia="MS Mincho" w:hAnsi="Calisto MT" w:cs="Times New Roman"/>
      <w:bCs/>
      <w:color w:val="983620"/>
      <w:sz w:val="48"/>
      <w:szCs w:val="28"/>
    </w:rPr>
  </w:style>
  <w:style w:type="character" w:customStyle="1" w:styleId="Heading2Char">
    <w:name w:val="Heading 2 Char"/>
    <w:link w:val="Heading2"/>
    <w:uiPriority w:val="1"/>
    <w:rPr>
      <w:rFonts w:ascii="Calisto MT" w:eastAsia="MS Mincho" w:hAnsi="Calisto MT" w:cs="Times New Roman"/>
      <w:bCs/>
      <w:color w:val="000000"/>
      <w:sz w:val="28"/>
      <w:szCs w:val="26"/>
    </w:rPr>
  </w:style>
  <w:style w:type="character" w:customStyle="1" w:styleId="Heading3Char">
    <w:name w:val="Heading 3 Char"/>
    <w:link w:val="Heading3"/>
    <w:uiPriority w:val="9"/>
    <w:rPr>
      <w:rFonts w:ascii="Calisto MT" w:eastAsia="MS Mincho" w:hAnsi="Calisto MT" w:cs="Times New Roman"/>
      <w:bCs/>
      <w:color w:val="983620"/>
    </w:rPr>
  </w:style>
  <w:style w:type="paragraph" w:styleId="Caption">
    <w:name w:val="caption"/>
    <w:basedOn w:val="Normal"/>
    <w:next w:val="Normal"/>
    <w:uiPriority w:val="1"/>
    <w:qFormat/>
    <w:pPr>
      <w:spacing w:after="200" w:line="240" w:lineRule="auto"/>
      <w:jc w:val="center"/>
    </w:pPr>
    <w:rPr>
      <w:bCs/>
      <w:i/>
      <w:color w:val="404040"/>
      <w:sz w:val="18"/>
      <w:szCs w:val="18"/>
    </w:rPr>
  </w:style>
  <w:style w:type="paragraph" w:styleId="Bibliography">
    <w:name w:val="Bibliography"/>
    <w:basedOn w:val="Normal"/>
    <w:next w:val="Normal"/>
    <w:uiPriority w:val="1"/>
    <w:unhideWhenUsed/>
  </w:style>
  <w:style w:type="paragraph" w:styleId="TOCHeading">
    <w:name w:val="TOC Heading"/>
    <w:basedOn w:val="Appendix"/>
    <w:next w:val="Normal"/>
    <w:uiPriority w:val="39"/>
    <w:qFormat/>
  </w:style>
  <w:style w:type="paragraph" w:styleId="TOC1">
    <w:name w:val="toc 1"/>
    <w:basedOn w:val="Normal"/>
    <w:next w:val="Normal"/>
    <w:autoRedefine/>
    <w:uiPriority w:val="39"/>
    <w:unhideWhenUsed/>
    <w:pPr>
      <w:spacing w:after="100"/>
    </w:pPr>
    <w:rPr>
      <w:color w:val="983620"/>
    </w:r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rPr>
      <w:sz w:val="20"/>
    </w:rPr>
  </w:style>
  <w:style w:type="character" w:styleId="Hyperlink">
    <w:name w:val="Hyperlink"/>
    <w:uiPriority w:val="99"/>
    <w:unhideWhenUsed/>
    <w:rPr>
      <w:color w:val="524A82"/>
      <w:u w:val="single"/>
    </w:rPr>
  </w:style>
  <w:style w:type="paragraph" w:styleId="ListBullet">
    <w:name w:val="List Bullet"/>
    <w:basedOn w:val="Normal"/>
    <w:uiPriority w:val="1"/>
    <w:qFormat/>
    <w:pPr>
      <w:numPr>
        <w:numId w:val="1"/>
      </w:numPr>
    </w:pPr>
  </w:style>
  <w:style w:type="paragraph" w:styleId="ListNumber">
    <w:name w:val="List Number"/>
    <w:basedOn w:val="Normal"/>
    <w:uiPriority w:val="1"/>
    <w:qFormat/>
    <w:pPr>
      <w:numPr>
        <w:numId w:val="2"/>
      </w:numPr>
    </w:pPr>
  </w:style>
  <w:style w:type="character" w:customStyle="1" w:styleId="Heading4Char">
    <w:name w:val="Heading 4 Char"/>
    <w:link w:val="Heading4"/>
    <w:uiPriority w:val="1"/>
    <w:rPr>
      <w:rFonts w:ascii="Calisto MT" w:eastAsia="MS Mincho" w:hAnsi="Calisto MT" w:cs="Times New Roman"/>
      <w:bCs/>
      <w:iCs/>
      <w:color w:val="4B5A60"/>
    </w:rPr>
  </w:style>
  <w:style w:type="character" w:customStyle="1" w:styleId="Heading6Char">
    <w:name w:val="Heading 6 Char"/>
    <w:link w:val="Heading6"/>
    <w:uiPriority w:val="1"/>
    <w:semiHidden/>
    <w:rPr>
      <w:rFonts w:ascii="Calisto MT" w:eastAsia="MS Mincho" w:hAnsi="Calisto MT" w:cs="Times New Roman"/>
      <w:i/>
      <w:iCs/>
      <w:color w:val="252C2F"/>
    </w:rPr>
  </w:style>
  <w:style w:type="character" w:customStyle="1" w:styleId="Heading7Char">
    <w:name w:val="Heading 7 Char"/>
    <w:link w:val="Heading7"/>
    <w:uiPriority w:val="1"/>
    <w:semiHidden/>
    <w:rPr>
      <w:rFonts w:ascii="Calisto MT" w:eastAsia="MS Mincho" w:hAnsi="Calisto MT" w:cs="Times New Roman"/>
      <w:iCs/>
      <w:color w:val="595959"/>
    </w:rPr>
  </w:style>
  <w:style w:type="character" w:customStyle="1" w:styleId="Heading8Char">
    <w:name w:val="Heading 8 Char"/>
    <w:link w:val="Heading8"/>
    <w:uiPriority w:val="1"/>
    <w:semiHidden/>
    <w:rPr>
      <w:rFonts w:ascii="Calisto MT" w:eastAsia="MS Mincho" w:hAnsi="Calisto MT" w:cs="Times New Roman"/>
      <w:color w:val="983620"/>
      <w:sz w:val="20"/>
      <w:szCs w:val="20"/>
    </w:rPr>
  </w:style>
  <w:style w:type="character" w:customStyle="1" w:styleId="Heading9Char">
    <w:name w:val="Heading 9 Char"/>
    <w:link w:val="Heading9"/>
    <w:uiPriority w:val="1"/>
    <w:semiHidden/>
    <w:rPr>
      <w:rFonts w:ascii="Calisto MT" w:eastAsia="MS Mincho" w:hAnsi="Calisto MT" w:cs="Times New Roman"/>
      <w:iCs/>
      <w:color w:val="595959"/>
      <w:sz w:val="20"/>
      <w:szCs w:val="20"/>
    </w:rPr>
  </w:style>
  <w:style w:type="paragraph" w:styleId="Quote">
    <w:name w:val="Quote"/>
    <w:basedOn w:val="Normal"/>
    <w:next w:val="Normal"/>
    <w:link w:val="QuoteChar"/>
    <w:uiPriority w:val="9"/>
    <w:unhideWhenUsed/>
    <w:qFormat/>
    <w:pPr>
      <w:ind w:left="720" w:right="720"/>
    </w:pPr>
    <w:rPr>
      <w:i/>
      <w:iCs/>
      <w:color w:val="595959"/>
    </w:rPr>
  </w:style>
  <w:style w:type="character" w:customStyle="1" w:styleId="QuoteChar">
    <w:name w:val="Quote Char"/>
    <w:link w:val="Quote"/>
    <w:uiPriority w:val="9"/>
    <w:rPr>
      <w:i/>
      <w:iCs/>
      <w:color w:val="595959"/>
    </w:rPr>
  </w:style>
  <w:style w:type="paragraph" w:styleId="NormalWeb">
    <w:name w:val="Normal (Web)"/>
    <w:basedOn w:val="Normal"/>
    <w:uiPriority w:val="99"/>
    <w:unhideWhenUsed/>
    <w:rsid w:val="001864A4"/>
    <w:pPr>
      <w:spacing w:before="100" w:beforeAutospacing="1" w:after="100" w:afterAutospacing="1" w:line="240" w:lineRule="auto"/>
    </w:pPr>
    <w:rPr>
      <w:rFonts w:ascii="Times" w:hAnsi="Times"/>
      <w:sz w:val="20"/>
      <w:szCs w:val="20"/>
    </w:rPr>
  </w:style>
  <w:style w:type="character" w:customStyle="1" w:styleId="A5">
    <w:name w:val="A5"/>
    <w:uiPriority w:val="99"/>
    <w:rsid w:val="0034573F"/>
    <w:rPr>
      <w:rFonts w:cs="Utopia Std"/>
      <w:color w:val="000000"/>
      <w:sz w:val="20"/>
      <w:szCs w:val="20"/>
    </w:rPr>
  </w:style>
  <w:style w:type="character" w:customStyle="1" w:styleId="A14">
    <w:name w:val="A14"/>
    <w:uiPriority w:val="99"/>
    <w:rsid w:val="00F35AEE"/>
    <w:rPr>
      <w:rFonts w:cs="Utopia Std"/>
      <w:color w:val="000000"/>
      <w:sz w:val="19"/>
      <w:szCs w:val="19"/>
    </w:rPr>
  </w:style>
  <w:style w:type="paragraph" w:customStyle="1" w:styleId="Default">
    <w:name w:val="Default"/>
    <w:rsid w:val="00F35AEE"/>
    <w:pPr>
      <w:widowControl w:val="0"/>
      <w:autoSpaceDE w:val="0"/>
      <w:autoSpaceDN w:val="0"/>
      <w:adjustRightInd w:val="0"/>
    </w:pPr>
    <w:rPr>
      <w:rFonts w:ascii="Utopia Std" w:hAnsi="Utopia Std" w:cs="Utopia Std"/>
      <w:color w:val="000000"/>
      <w:sz w:val="24"/>
      <w:szCs w:val="24"/>
      <w:lang w:val="fr-FR" w:eastAsia="fr-FR"/>
    </w:rPr>
  </w:style>
  <w:style w:type="paragraph" w:customStyle="1" w:styleId="Pa2">
    <w:name w:val="Pa2"/>
    <w:basedOn w:val="Default"/>
    <w:next w:val="Default"/>
    <w:uiPriority w:val="99"/>
    <w:rsid w:val="00F35AEE"/>
    <w:pPr>
      <w:spacing w:line="241" w:lineRule="atLeast"/>
    </w:pPr>
    <w:rPr>
      <w:rFonts w:cs="Times New Roman"/>
      <w:color w:val="auto"/>
    </w:rPr>
  </w:style>
  <w:style w:type="character" w:customStyle="1" w:styleId="A8">
    <w:name w:val="A8"/>
    <w:uiPriority w:val="99"/>
    <w:rsid w:val="00F35AEE"/>
    <w:rPr>
      <w:rFonts w:cs="Utopia Std"/>
      <w:color w:val="000000"/>
      <w:sz w:val="11"/>
      <w:szCs w:val="11"/>
    </w:rPr>
  </w:style>
  <w:style w:type="paragraph" w:customStyle="1" w:styleId="Pa0">
    <w:name w:val="Pa0"/>
    <w:basedOn w:val="Default"/>
    <w:next w:val="Default"/>
    <w:uiPriority w:val="99"/>
    <w:rsid w:val="00F35AEE"/>
    <w:pPr>
      <w:spacing w:line="241" w:lineRule="atLeast"/>
    </w:pPr>
    <w:rPr>
      <w:rFonts w:cs="Times New Roman"/>
      <w:color w:val="auto"/>
    </w:rPr>
  </w:style>
  <w:style w:type="character" w:customStyle="1" w:styleId="A4">
    <w:name w:val="A4"/>
    <w:uiPriority w:val="99"/>
    <w:rsid w:val="00F35AEE"/>
    <w:rPr>
      <w:rFonts w:ascii="Helvetica 65 Medium" w:hAnsi="Helvetica 65 Medium" w:cs="Helvetica 65 Medium"/>
      <w:b/>
      <w:bCs/>
      <w:color w:val="000000"/>
      <w:sz w:val="26"/>
      <w:szCs w:val="26"/>
    </w:rPr>
  </w:style>
  <w:style w:type="paragraph" w:styleId="FootnoteText">
    <w:name w:val="footnote text"/>
    <w:aliases w:val="Fußnote,Footnote Text Char Char,Footnote Text Char,single space,footnote text,FOOTNOTES,fn,Footnote, Char1 Char,Footnote Char1,stile 1,Footnote1,Footnote2,Footnote3,Footnote4,Footnote5,Footnote6,Footnote7,Footnote8,Footnote9"/>
    <w:basedOn w:val="Normal"/>
    <w:link w:val="FootnoteTextChar1"/>
    <w:unhideWhenUsed/>
    <w:rsid w:val="003F244D"/>
    <w:pPr>
      <w:spacing w:after="0" w:line="240" w:lineRule="auto"/>
    </w:pPr>
  </w:style>
  <w:style w:type="character" w:customStyle="1" w:styleId="FootnoteTextChar1">
    <w:name w:val="Footnote Text Char1"/>
    <w:aliases w:val="Fußnote Char,Footnote Text Char Char Char,Footnote Text Char Char1,single space Char,footnote text Char,FOOTNOTES Char,fn Char,Footnote Char, Char1 Char Char,Footnote Char1 Char,stile 1 Char,Footnote1 Char,Footnote2 Char"/>
    <w:basedOn w:val="DefaultParagraphFont"/>
    <w:link w:val="FootnoteText"/>
    <w:rsid w:val="003F244D"/>
  </w:style>
  <w:style w:type="character" w:styleId="FootnoteReference">
    <w:name w:val="footnote reference"/>
    <w:unhideWhenUsed/>
    <w:rsid w:val="003F244D"/>
    <w:rPr>
      <w:vertAlign w:val="superscript"/>
    </w:rPr>
  </w:style>
  <w:style w:type="paragraph" w:styleId="EndnoteText">
    <w:name w:val="endnote text"/>
    <w:basedOn w:val="Normal"/>
    <w:link w:val="EndnoteTextChar"/>
    <w:uiPriority w:val="99"/>
    <w:unhideWhenUsed/>
    <w:rsid w:val="00BD46C7"/>
    <w:pPr>
      <w:spacing w:after="0" w:line="240" w:lineRule="auto"/>
    </w:pPr>
  </w:style>
  <w:style w:type="character" w:customStyle="1" w:styleId="EndnoteTextChar">
    <w:name w:val="Endnote Text Char"/>
    <w:basedOn w:val="DefaultParagraphFont"/>
    <w:link w:val="EndnoteText"/>
    <w:uiPriority w:val="99"/>
    <w:rsid w:val="00BD46C7"/>
  </w:style>
  <w:style w:type="character" w:styleId="EndnoteReference">
    <w:name w:val="endnote reference"/>
    <w:uiPriority w:val="99"/>
    <w:unhideWhenUsed/>
    <w:rsid w:val="00BD46C7"/>
    <w:rPr>
      <w:vertAlign w:val="superscript"/>
    </w:rPr>
  </w:style>
  <w:style w:type="character" w:customStyle="1" w:styleId="a">
    <w:name w:val="a"/>
    <w:basedOn w:val="DefaultParagraphFont"/>
    <w:rsid w:val="00FC7431"/>
  </w:style>
  <w:style w:type="character" w:styleId="CommentReference">
    <w:name w:val="annotation reference"/>
    <w:uiPriority w:val="99"/>
    <w:semiHidden/>
    <w:unhideWhenUsed/>
    <w:rsid w:val="007F3034"/>
    <w:rPr>
      <w:sz w:val="18"/>
      <w:szCs w:val="18"/>
    </w:rPr>
  </w:style>
  <w:style w:type="paragraph" w:styleId="CommentText">
    <w:name w:val="annotation text"/>
    <w:basedOn w:val="Normal"/>
    <w:link w:val="CommentTextChar"/>
    <w:uiPriority w:val="99"/>
    <w:semiHidden/>
    <w:unhideWhenUsed/>
    <w:rsid w:val="007F3034"/>
    <w:pPr>
      <w:spacing w:line="240" w:lineRule="auto"/>
    </w:pPr>
  </w:style>
  <w:style w:type="character" w:customStyle="1" w:styleId="CommentTextChar">
    <w:name w:val="Comment Text Char"/>
    <w:basedOn w:val="DefaultParagraphFont"/>
    <w:link w:val="CommentText"/>
    <w:uiPriority w:val="99"/>
    <w:semiHidden/>
    <w:rsid w:val="007F3034"/>
  </w:style>
  <w:style w:type="paragraph" w:styleId="CommentSubject">
    <w:name w:val="annotation subject"/>
    <w:basedOn w:val="CommentText"/>
    <w:next w:val="CommentText"/>
    <w:link w:val="CommentSubjectChar"/>
    <w:uiPriority w:val="99"/>
    <w:semiHidden/>
    <w:unhideWhenUsed/>
    <w:rsid w:val="007F3034"/>
    <w:rPr>
      <w:b/>
      <w:bCs/>
      <w:sz w:val="20"/>
      <w:szCs w:val="20"/>
    </w:rPr>
  </w:style>
  <w:style w:type="character" w:customStyle="1" w:styleId="CommentSubjectChar">
    <w:name w:val="Comment Subject Char"/>
    <w:link w:val="CommentSubject"/>
    <w:uiPriority w:val="99"/>
    <w:semiHidden/>
    <w:rsid w:val="007F3034"/>
    <w:rPr>
      <w:b/>
      <w:bCs/>
      <w:sz w:val="20"/>
      <w:szCs w:val="20"/>
    </w:rPr>
  </w:style>
  <w:style w:type="character" w:styleId="Strong">
    <w:name w:val="Strong"/>
    <w:uiPriority w:val="22"/>
    <w:qFormat/>
    <w:rsid w:val="00B57215"/>
    <w:rPr>
      <w:b/>
      <w:bCs/>
    </w:rPr>
  </w:style>
  <w:style w:type="paragraph" w:styleId="ListParagraph">
    <w:name w:val="List Paragraph"/>
    <w:basedOn w:val="Normal"/>
    <w:link w:val="ListParagraphChar"/>
    <w:uiPriority w:val="34"/>
    <w:unhideWhenUsed/>
    <w:qFormat/>
    <w:rsid w:val="008B507A"/>
    <w:pPr>
      <w:ind w:left="720"/>
      <w:contextualSpacing/>
    </w:pPr>
  </w:style>
  <w:style w:type="character" w:customStyle="1" w:styleId="field-content">
    <w:name w:val="field-content"/>
    <w:basedOn w:val="DefaultParagraphFont"/>
    <w:rsid w:val="00A50560"/>
  </w:style>
  <w:style w:type="table" w:customStyle="1" w:styleId="LightGrid-Accent1">
    <w:name w:val="Light Grid Accent 1"/>
    <w:basedOn w:val="TableNormal"/>
    <w:uiPriority w:val="62"/>
    <w:rsid w:val="006823C5"/>
    <w:tblPr>
      <w:tblStyleRowBandSize w:val="1"/>
      <w:tblStyleColBandSize w:val="1"/>
      <w:tblInd w:w="0" w:type="dxa"/>
      <w:tblBorders>
        <w:top w:val="single" w:sz="8" w:space="0" w:color="4B5A60"/>
        <w:left w:val="single" w:sz="8" w:space="0" w:color="4B5A60"/>
        <w:bottom w:val="single" w:sz="8" w:space="0" w:color="4B5A60"/>
        <w:right w:val="single" w:sz="8" w:space="0" w:color="4B5A60"/>
        <w:insideH w:val="single" w:sz="8" w:space="0" w:color="4B5A60"/>
        <w:insideV w:val="single" w:sz="8" w:space="0" w:color="4B5A60"/>
      </w:tblBorders>
      <w:tblCellMar>
        <w:top w:w="0" w:type="dxa"/>
        <w:left w:w="108" w:type="dxa"/>
        <w:bottom w:w="0" w:type="dxa"/>
        <w:right w:w="108" w:type="dxa"/>
      </w:tblCellMar>
    </w:tblPr>
    <w:tblStylePr w:type="firstRow">
      <w:pPr>
        <w:spacing w:before="0" w:after="0" w:line="240" w:lineRule="auto"/>
      </w:pPr>
      <w:rPr>
        <w:rFonts w:ascii="Utopia Std" w:eastAsia="MS Mincho" w:hAnsi="Utopia Std" w:cs="Times New Roman"/>
        <w:b/>
        <w:bCs/>
      </w:rPr>
      <w:tblPr/>
      <w:tcPr>
        <w:tcBorders>
          <w:top w:val="single" w:sz="8" w:space="0" w:color="4B5A60"/>
          <w:left w:val="single" w:sz="8" w:space="0" w:color="4B5A60"/>
          <w:bottom w:val="single" w:sz="18" w:space="0" w:color="4B5A60"/>
          <w:right w:val="single" w:sz="8" w:space="0" w:color="4B5A60"/>
          <w:insideH w:val="nil"/>
          <w:insideV w:val="single" w:sz="8" w:space="0" w:color="4B5A60"/>
        </w:tcBorders>
      </w:tcPr>
    </w:tblStylePr>
    <w:tblStylePr w:type="lastRow">
      <w:pPr>
        <w:spacing w:before="0" w:after="0" w:line="240" w:lineRule="auto"/>
      </w:pPr>
      <w:rPr>
        <w:rFonts w:ascii="Utopia Std" w:eastAsia="MS Mincho" w:hAnsi="Utopia Std" w:cs="Times New Roman"/>
        <w:b/>
        <w:bCs/>
      </w:rPr>
      <w:tblPr/>
      <w:tcPr>
        <w:tcBorders>
          <w:top w:val="double" w:sz="6" w:space="0" w:color="4B5A60"/>
          <w:left w:val="single" w:sz="8" w:space="0" w:color="4B5A60"/>
          <w:bottom w:val="single" w:sz="8" w:space="0" w:color="4B5A60"/>
          <w:right w:val="single" w:sz="8" w:space="0" w:color="4B5A60"/>
          <w:insideH w:val="nil"/>
          <w:insideV w:val="single" w:sz="8" w:space="0" w:color="4B5A60"/>
        </w:tcBorders>
      </w:tcPr>
    </w:tblStylePr>
    <w:tblStylePr w:type="firstCol">
      <w:rPr>
        <w:rFonts w:ascii="Utopia Std" w:eastAsia="MS Mincho" w:hAnsi="Utopia Std" w:cs="Times New Roman"/>
        <w:b/>
        <w:bCs/>
      </w:rPr>
    </w:tblStylePr>
    <w:tblStylePr w:type="lastCol">
      <w:rPr>
        <w:rFonts w:ascii="Utopia Std" w:eastAsia="MS Mincho" w:hAnsi="Utopia Std" w:cs="Times New Roman"/>
        <w:b/>
        <w:bCs/>
      </w:rPr>
      <w:tblPr/>
      <w:tcPr>
        <w:tcBorders>
          <w:top w:val="single" w:sz="8" w:space="0" w:color="4B5A60"/>
          <w:left w:val="single" w:sz="8" w:space="0" w:color="4B5A60"/>
          <w:bottom w:val="single" w:sz="8" w:space="0" w:color="4B5A60"/>
          <w:right w:val="single" w:sz="8" w:space="0" w:color="4B5A60"/>
        </w:tcBorders>
      </w:tcPr>
    </w:tblStylePr>
    <w:tblStylePr w:type="band1Vert">
      <w:tblPr/>
      <w:tcPr>
        <w:tcBorders>
          <w:top w:val="single" w:sz="8" w:space="0" w:color="4B5A60"/>
          <w:left w:val="single" w:sz="8" w:space="0" w:color="4B5A60"/>
          <w:bottom w:val="single" w:sz="8" w:space="0" w:color="4B5A60"/>
          <w:right w:val="single" w:sz="8" w:space="0" w:color="4B5A60"/>
        </w:tcBorders>
        <w:shd w:val="clear" w:color="auto" w:fill="CFD7DA"/>
      </w:tcPr>
    </w:tblStylePr>
    <w:tblStylePr w:type="band1Horz">
      <w:tblPr/>
      <w:tcPr>
        <w:tcBorders>
          <w:top w:val="single" w:sz="8" w:space="0" w:color="4B5A60"/>
          <w:left w:val="single" w:sz="8" w:space="0" w:color="4B5A60"/>
          <w:bottom w:val="single" w:sz="8" w:space="0" w:color="4B5A60"/>
          <w:right w:val="single" w:sz="8" w:space="0" w:color="4B5A60"/>
          <w:insideV w:val="single" w:sz="8" w:space="0" w:color="4B5A60"/>
        </w:tcBorders>
        <w:shd w:val="clear" w:color="auto" w:fill="CFD7DA"/>
      </w:tcPr>
    </w:tblStylePr>
    <w:tblStylePr w:type="band2Horz">
      <w:tblPr/>
      <w:tcPr>
        <w:tcBorders>
          <w:top w:val="single" w:sz="8" w:space="0" w:color="4B5A60"/>
          <w:left w:val="single" w:sz="8" w:space="0" w:color="4B5A60"/>
          <w:bottom w:val="single" w:sz="8" w:space="0" w:color="4B5A60"/>
          <w:right w:val="single" w:sz="8" w:space="0" w:color="4B5A60"/>
          <w:insideV w:val="single" w:sz="8" w:space="0" w:color="4B5A60"/>
        </w:tcBorders>
      </w:tcPr>
    </w:tblStylePr>
  </w:style>
  <w:style w:type="table" w:styleId="LightGrid-Accent2">
    <w:name w:val="Light Grid Accent 2"/>
    <w:basedOn w:val="TableNormal"/>
    <w:uiPriority w:val="62"/>
    <w:rsid w:val="00BC768C"/>
    <w:tblPr>
      <w:tblStyleRowBandSize w:val="1"/>
      <w:tblStyleColBandSize w:val="1"/>
      <w:tblInd w:w="0" w:type="dxa"/>
      <w:tblBorders>
        <w:top w:val="single" w:sz="8" w:space="0" w:color="983620"/>
        <w:left w:val="single" w:sz="8" w:space="0" w:color="983620"/>
        <w:bottom w:val="single" w:sz="8" w:space="0" w:color="983620"/>
        <w:right w:val="single" w:sz="8" w:space="0" w:color="983620"/>
        <w:insideH w:val="single" w:sz="8" w:space="0" w:color="983620"/>
        <w:insideV w:val="single" w:sz="8" w:space="0" w:color="983620"/>
      </w:tblBorders>
      <w:tblCellMar>
        <w:top w:w="0" w:type="dxa"/>
        <w:left w:w="108" w:type="dxa"/>
        <w:bottom w:w="0" w:type="dxa"/>
        <w:right w:w="108" w:type="dxa"/>
      </w:tblCellMar>
    </w:tblPr>
    <w:tblStylePr w:type="firstRow">
      <w:pPr>
        <w:spacing w:before="0" w:after="0" w:line="240" w:lineRule="auto"/>
      </w:pPr>
      <w:rPr>
        <w:rFonts w:ascii="Utopia Std" w:eastAsia="MS Mincho" w:hAnsi="Utopia Std" w:cs="Times New Roman"/>
        <w:b/>
        <w:bCs/>
      </w:rPr>
      <w:tblPr/>
      <w:tcPr>
        <w:tcBorders>
          <w:top w:val="single" w:sz="8" w:space="0" w:color="983620"/>
          <w:left w:val="single" w:sz="8" w:space="0" w:color="983620"/>
          <w:bottom w:val="single" w:sz="18" w:space="0" w:color="983620"/>
          <w:right w:val="single" w:sz="8" w:space="0" w:color="983620"/>
          <w:insideH w:val="nil"/>
          <w:insideV w:val="single" w:sz="8" w:space="0" w:color="983620"/>
        </w:tcBorders>
      </w:tcPr>
    </w:tblStylePr>
    <w:tblStylePr w:type="lastRow">
      <w:pPr>
        <w:spacing w:before="0" w:after="0" w:line="240" w:lineRule="auto"/>
      </w:pPr>
      <w:rPr>
        <w:rFonts w:ascii="Utopia Std" w:eastAsia="MS Mincho" w:hAnsi="Utopia Std" w:cs="Times New Roman"/>
        <w:b/>
        <w:bCs/>
      </w:rPr>
      <w:tblPr/>
      <w:tcPr>
        <w:tcBorders>
          <w:top w:val="double" w:sz="6" w:space="0" w:color="983620"/>
          <w:left w:val="single" w:sz="8" w:space="0" w:color="983620"/>
          <w:bottom w:val="single" w:sz="8" w:space="0" w:color="983620"/>
          <w:right w:val="single" w:sz="8" w:space="0" w:color="983620"/>
          <w:insideH w:val="nil"/>
          <w:insideV w:val="single" w:sz="8" w:space="0" w:color="983620"/>
        </w:tcBorders>
      </w:tcPr>
    </w:tblStylePr>
    <w:tblStylePr w:type="firstCol">
      <w:rPr>
        <w:rFonts w:ascii="Utopia Std" w:eastAsia="MS Mincho" w:hAnsi="Utopia Std" w:cs="Times New Roman"/>
        <w:b/>
        <w:bCs/>
      </w:rPr>
    </w:tblStylePr>
    <w:tblStylePr w:type="lastCol">
      <w:rPr>
        <w:rFonts w:ascii="Utopia Std" w:eastAsia="MS Mincho" w:hAnsi="Utopia Std" w:cs="Times New Roman"/>
        <w:b/>
        <w:bCs/>
      </w:rPr>
      <w:tblPr/>
      <w:tcPr>
        <w:tcBorders>
          <w:top w:val="single" w:sz="8" w:space="0" w:color="983620"/>
          <w:left w:val="single" w:sz="8" w:space="0" w:color="983620"/>
          <w:bottom w:val="single" w:sz="8" w:space="0" w:color="983620"/>
          <w:right w:val="single" w:sz="8" w:space="0" w:color="983620"/>
        </w:tcBorders>
      </w:tcPr>
    </w:tblStylePr>
    <w:tblStylePr w:type="band1Vert">
      <w:tblPr/>
      <w:tcPr>
        <w:tcBorders>
          <w:top w:val="single" w:sz="8" w:space="0" w:color="983620"/>
          <w:left w:val="single" w:sz="8" w:space="0" w:color="983620"/>
          <w:bottom w:val="single" w:sz="8" w:space="0" w:color="983620"/>
          <w:right w:val="single" w:sz="8" w:space="0" w:color="983620"/>
        </w:tcBorders>
        <w:shd w:val="clear" w:color="auto" w:fill="F1C5BC"/>
      </w:tcPr>
    </w:tblStylePr>
    <w:tblStylePr w:type="band1Horz">
      <w:tblPr/>
      <w:tcPr>
        <w:tcBorders>
          <w:top w:val="single" w:sz="8" w:space="0" w:color="983620"/>
          <w:left w:val="single" w:sz="8" w:space="0" w:color="983620"/>
          <w:bottom w:val="single" w:sz="8" w:space="0" w:color="983620"/>
          <w:right w:val="single" w:sz="8" w:space="0" w:color="983620"/>
          <w:insideV w:val="single" w:sz="8" w:space="0" w:color="983620"/>
        </w:tcBorders>
        <w:shd w:val="clear" w:color="auto" w:fill="F1C5BC"/>
      </w:tcPr>
    </w:tblStylePr>
    <w:tblStylePr w:type="band2Horz">
      <w:tblPr/>
      <w:tcPr>
        <w:tcBorders>
          <w:top w:val="single" w:sz="8" w:space="0" w:color="983620"/>
          <w:left w:val="single" w:sz="8" w:space="0" w:color="983620"/>
          <w:bottom w:val="single" w:sz="8" w:space="0" w:color="983620"/>
          <w:right w:val="single" w:sz="8" w:space="0" w:color="983620"/>
          <w:insideV w:val="single" w:sz="8" w:space="0" w:color="983620"/>
        </w:tcBorders>
      </w:tcPr>
    </w:tblStylePr>
  </w:style>
  <w:style w:type="table" w:styleId="LightGrid-Accent3">
    <w:name w:val="Light Grid Accent 3"/>
    <w:basedOn w:val="TableNormal"/>
    <w:uiPriority w:val="62"/>
    <w:rsid w:val="00BC768C"/>
    <w:tblPr>
      <w:tblStyleRowBandSize w:val="1"/>
      <w:tblStyleColBandSize w:val="1"/>
      <w:tblInd w:w="0" w:type="dxa"/>
      <w:tblBorders>
        <w:top w:val="single" w:sz="8" w:space="0" w:color="504539"/>
        <w:left w:val="single" w:sz="8" w:space="0" w:color="504539"/>
        <w:bottom w:val="single" w:sz="8" w:space="0" w:color="504539"/>
        <w:right w:val="single" w:sz="8" w:space="0" w:color="504539"/>
        <w:insideH w:val="single" w:sz="8" w:space="0" w:color="504539"/>
        <w:insideV w:val="single" w:sz="8" w:space="0" w:color="504539"/>
      </w:tblBorders>
      <w:tblCellMar>
        <w:top w:w="0" w:type="dxa"/>
        <w:left w:w="108" w:type="dxa"/>
        <w:bottom w:w="0" w:type="dxa"/>
        <w:right w:w="108" w:type="dxa"/>
      </w:tblCellMar>
    </w:tblPr>
    <w:tblStylePr w:type="firstRow">
      <w:pPr>
        <w:spacing w:before="0" w:after="0" w:line="240" w:lineRule="auto"/>
      </w:pPr>
      <w:rPr>
        <w:rFonts w:ascii="Utopia Std" w:eastAsia="MS Mincho" w:hAnsi="Utopia Std" w:cs="Times New Roman"/>
        <w:b/>
        <w:bCs/>
      </w:rPr>
      <w:tblPr/>
      <w:tcPr>
        <w:tcBorders>
          <w:top w:val="single" w:sz="8" w:space="0" w:color="504539"/>
          <w:left w:val="single" w:sz="8" w:space="0" w:color="504539"/>
          <w:bottom w:val="single" w:sz="18" w:space="0" w:color="504539"/>
          <w:right w:val="single" w:sz="8" w:space="0" w:color="504539"/>
          <w:insideH w:val="nil"/>
          <w:insideV w:val="single" w:sz="8" w:space="0" w:color="504539"/>
        </w:tcBorders>
      </w:tcPr>
    </w:tblStylePr>
    <w:tblStylePr w:type="lastRow">
      <w:pPr>
        <w:spacing w:before="0" w:after="0" w:line="240" w:lineRule="auto"/>
      </w:pPr>
      <w:rPr>
        <w:rFonts w:ascii="Utopia Std" w:eastAsia="MS Mincho" w:hAnsi="Utopia Std" w:cs="Times New Roman"/>
        <w:b/>
        <w:bCs/>
      </w:rPr>
      <w:tblPr/>
      <w:tcPr>
        <w:tcBorders>
          <w:top w:val="double" w:sz="6" w:space="0" w:color="504539"/>
          <w:left w:val="single" w:sz="8" w:space="0" w:color="504539"/>
          <w:bottom w:val="single" w:sz="8" w:space="0" w:color="504539"/>
          <w:right w:val="single" w:sz="8" w:space="0" w:color="504539"/>
          <w:insideH w:val="nil"/>
          <w:insideV w:val="single" w:sz="8" w:space="0" w:color="504539"/>
        </w:tcBorders>
      </w:tcPr>
    </w:tblStylePr>
    <w:tblStylePr w:type="firstCol">
      <w:rPr>
        <w:rFonts w:ascii="Utopia Std" w:eastAsia="MS Mincho" w:hAnsi="Utopia Std" w:cs="Times New Roman"/>
        <w:b/>
        <w:bCs/>
      </w:rPr>
    </w:tblStylePr>
    <w:tblStylePr w:type="lastCol">
      <w:rPr>
        <w:rFonts w:ascii="Utopia Std" w:eastAsia="MS Mincho" w:hAnsi="Utopia Std" w:cs="Times New Roman"/>
        <w:b/>
        <w:bCs/>
      </w:rPr>
      <w:tblPr/>
      <w:tcPr>
        <w:tcBorders>
          <w:top w:val="single" w:sz="8" w:space="0" w:color="504539"/>
          <w:left w:val="single" w:sz="8" w:space="0" w:color="504539"/>
          <w:bottom w:val="single" w:sz="8" w:space="0" w:color="504539"/>
          <w:right w:val="single" w:sz="8" w:space="0" w:color="504539"/>
        </w:tcBorders>
      </w:tcPr>
    </w:tblStylePr>
    <w:tblStylePr w:type="band1Vert">
      <w:tblPr/>
      <w:tcPr>
        <w:tcBorders>
          <w:top w:val="single" w:sz="8" w:space="0" w:color="504539"/>
          <w:left w:val="single" w:sz="8" w:space="0" w:color="504539"/>
          <w:bottom w:val="single" w:sz="8" w:space="0" w:color="504539"/>
          <w:right w:val="single" w:sz="8" w:space="0" w:color="504539"/>
        </w:tcBorders>
        <w:shd w:val="clear" w:color="auto" w:fill="D8D1C9"/>
      </w:tcPr>
    </w:tblStylePr>
    <w:tblStylePr w:type="band1Horz">
      <w:tblPr/>
      <w:tcPr>
        <w:tcBorders>
          <w:top w:val="single" w:sz="8" w:space="0" w:color="504539"/>
          <w:left w:val="single" w:sz="8" w:space="0" w:color="504539"/>
          <w:bottom w:val="single" w:sz="8" w:space="0" w:color="504539"/>
          <w:right w:val="single" w:sz="8" w:space="0" w:color="504539"/>
          <w:insideV w:val="single" w:sz="8" w:space="0" w:color="504539"/>
        </w:tcBorders>
        <w:shd w:val="clear" w:color="auto" w:fill="D8D1C9"/>
      </w:tcPr>
    </w:tblStylePr>
    <w:tblStylePr w:type="band2Horz">
      <w:tblPr/>
      <w:tcPr>
        <w:tcBorders>
          <w:top w:val="single" w:sz="8" w:space="0" w:color="504539"/>
          <w:left w:val="single" w:sz="8" w:space="0" w:color="504539"/>
          <w:bottom w:val="single" w:sz="8" w:space="0" w:color="504539"/>
          <w:right w:val="single" w:sz="8" w:space="0" w:color="504539"/>
          <w:insideV w:val="single" w:sz="8" w:space="0" w:color="504539"/>
        </w:tcBorders>
      </w:tcPr>
    </w:tblStylePr>
  </w:style>
  <w:style w:type="table" w:styleId="LightGrid-Accent4">
    <w:name w:val="Light Grid Accent 4"/>
    <w:basedOn w:val="TableNormal"/>
    <w:uiPriority w:val="62"/>
    <w:rsid w:val="00BC768C"/>
    <w:tblPr>
      <w:tblStyleRowBandSize w:val="1"/>
      <w:tblStyleColBandSize w:val="1"/>
      <w:tblInd w:w="0" w:type="dxa"/>
      <w:tblBorders>
        <w:top w:val="single" w:sz="8" w:space="0" w:color="C1AD79"/>
        <w:left w:val="single" w:sz="8" w:space="0" w:color="C1AD79"/>
        <w:bottom w:val="single" w:sz="8" w:space="0" w:color="C1AD79"/>
        <w:right w:val="single" w:sz="8" w:space="0" w:color="C1AD79"/>
        <w:insideH w:val="single" w:sz="8" w:space="0" w:color="C1AD79"/>
        <w:insideV w:val="single" w:sz="8" w:space="0" w:color="C1AD79"/>
      </w:tblBorders>
      <w:tblCellMar>
        <w:top w:w="0" w:type="dxa"/>
        <w:left w:w="108" w:type="dxa"/>
        <w:bottom w:w="0" w:type="dxa"/>
        <w:right w:w="108" w:type="dxa"/>
      </w:tblCellMar>
    </w:tblPr>
    <w:tblStylePr w:type="firstRow">
      <w:pPr>
        <w:spacing w:before="0" w:after="0" w:line="240" w:lineRule="auto"/>
      </w:pPr>
      <w:rPr>
        <w:rFonts w:ascii="Utopia Std" w:eastAsia="MS Mincho" w:hAnsi="Utopia Std" w:cs="Times New Roman"/>
        <w:b/>
        <w:bCs/>
      </w:rPr>
      <w:tblPr/>
      <w:tcPr>
        <w:tcBorders>
          <w:top w:val="single" w:sz="8" w:space="0" w:color="C1AD79"/>
          <w:left w:val="single" w:sz="8" w:space="0" w:color="C1AD79"/>
          <w:bottom w:val="single" w:sz="18" w:space="0" w:color="C1AD79"/>
          <w:right w:val="single" w:sz="8" w:space="0" w:color="C1AD79"/>
          <w:insideH w:val="nil"/>
          <w:insideV w:val="single" w:sz="8" w:space="0" w:color="C1AD79"/>
        </w:tcBorders>
      </w:tcPr>
    </w:tblStylePr>
    <w:tblStylePr w:type="lastRow">
      <w:pPr>
        <w:spacing w:before="0" w:after="0" w:line="240" w:lineRule="auto"/>
      </w:pPr>
      <w:rPr>
        <w:rFonts w:ascii="Utopia Std" w:eastAsia="MS Mincho" w:hAnsi="Utopia Std" w:cs="Times New Roman"/>
        <w:b/>
        <w:bCs/>
      </w:rPr>
      <w:tblPr/>
      <w:tcPr>
        <w:tcBorders>
          <w:top w:val="double" w:sz="6" w:space="0" w:color="C1AD79"/>
          <w:left w:val="single" w:sz="8" w:space="0" w:color="C1AD79"/>
          <w:bottom w:val="single" w:sz="8" w:space="0" w:color="C1AD79"/>
          <w:right w:val="single" w:sz="8" w:space="0" w:color="C1AD79"/>
          <w:insideH w:val="nil"/>
          <w:insideV w:val="single" w:sz="8" w:space="0" w:color="C1AD79"/>
        </w:tcBorders>
      </w:tcPr>
    </w:tblStylePr>
    <w:tblStylePr w:type="firstCol">
      <w:rPr>
        <w:rFonts w:ascii="Utopia Std" w:eastAsia="MS Mincho" w:hAnsi="Utopia Std" w:cs="Times New Roman"/>
        <w:b/>
        <w:bCs/>
      </w:rPr>
    </w:tblStylePr>
    <w:tblStylePr w:type="lastCol">
      <w:rPr>
        <w:rFonts w:ascii="Utopia Std" w:eastAsia="MS Mincho" w:hAnsi="Utopia Std" w:cs="Times New Roman"/>
        <w:b/>
        <w:bCs/>
      </w:rPr>
      <w:tblPr/>
      <w:tcPr>
        <w:tcBorders>
          <w:top w:val="single" w:sz="8" w:space="0" w:color="C1AD79"/>
          <w:left w:val="single" w:sz="8" w:space="0" w:color="C1AD79"/>
          <w:bottom w:val="single" w:sz="8" w:space="0" w:color="C1AD79"/>
          <w:right w:val="single" w:sz="8" w:space="0" w:color="C1AD79"/>
        </w:tcBorders>
      </w:tcPr>
    </w:tblStylePr>
    <w:tblStylePr w:type="band1Vert">
      <w:tblPr/>
      <w:tcPr>
        <w:tcBorders>
          <w:top w:val="single" w:sz="8" w:space="0" w:color="C1AD79"/>
          <w:left w:val="single" w:sz="8" w:space="0" w:color="C1AD79"/>
          <w:bottom w:val="single" w:sz="8" w:space="0" w:color="C1AD79"/>
          <w:right w:val="single" w:sz="8" w:space="0" w:color="C1AD79"/>
        </w:tcBorders>
        <w:shd w:val="clear" w:color="auto" w:fill="EFEADD"/>
      </w:tcPr>
    </w:tblStylePr>
    <w:tblStylePr w:type="band1Horz">
      <w:tblPr/>
      <w:tcPr>
        <w:tcBorders>
          <w:top w:val="single" w:sz="8" w:space="0" w:color="C1AD79"/>
          <w:left w:val="single" w:sz="8" w:space="0" w:color="C1AD79"/>
          <w:bottom w:val="single" w:sz="8" w:space="0" w:color="C1AD79"/>
          <w:right w:val="single" w:sz="8" w:space="0" w:color="C1AD79"/>
          <w:insideV w:val="single" w:sz="8" w:space="0" w:color="C1AD79"/>
        </w:tcBorders>
        <w:shd w:val="clear" w:color="auto" w:fill="EFEADD"/>
      </w:tcPr>
    </w:tblStylePr>
    <w:tblStylePr w:type="band2Horz">
      <w:tblPr/>
      <w:tcPr>
        <w:tcBorders>
          <w:top w:val="single" w:sz="8" w:space="0" w:color="C1AD79"/>
          <w:left w:val="single" w:sz="8" w:space="0" w:color="C1AD79"/>
          <w:bottom w:val="single" w:sz="8" w:space="0" w:color="C1AD79"/>
          <w:right w:val="single" w:sz="8" w:space="0" w:color="C1AD79"/>
          <w:insideV w:val="single" w:sz="8" w:space="0" w:color="C1AD79"/>
        </w:tcBorders>
      </w:tcPr>
    </w:tblStylePr>
  </w:style>
  <w:style w:type="paragraph" w:styleId="Revision">
    <w:name w:val="Revision"/>
    <w:hidden/>
    <w:uiPriority w:val="99"/>
    <w:semiHidden/>
    <w:rsid w:val="007A6B83"/>
    <w:rPr>
      <w:sz w:val="24"/>
      <w:szCs w:val="24"/>
      <w:lang w:val="fr-FR" w:eastAsia="fr-FR"/>
    </w:rPr>
  </w:style>
  <w:style w:type="table" w:styleId="LightShading-Accent4">
    <w:name w:val="Light Shading Accent 4"/>
    <w:basedOn w:val="TableNormal"/>
    <w:uiPriority w:val="60"/>
    <w:rsid w:val="00977B35"/>
    <w:rPr>
      <w:color w:val="A0884A"/>
    </w:rPr>
    <w:tblPr>
      <w:tblStyleRowBandSize w:val="1"/>
      <w:tblStyleColBandSize w:val="1"/>
      <w:tblInd w:w="0" w:type="dxa"/>
      <w:tblBorders>
        <w:top w:val="single" w:sz="8" w:space="0" w:color="C1AD79"/>
        <w:bottom w:val="single" w:sz="8" w:space="0" w:color="C1AD7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AD79"/>
          <w:left w:val="nil"/>
          <w:bottom w:val="single" w:sz="8" w:space="0" w:color="C1AD79"/>
          <w:right w:val="nil"/>
          <w:insideH w:val="nil"/>
          <w:insideV w:val="nil"/>
        </w:tcBorders>
      </w:tcPr>
    </w:tblStylePr>
    <w:tblStylePr w:type="lastRow">
      <w:pPr>
        <w:spacing w:before="0" w:after="0" w:line="240" w:lineRule="auto"/>
      </w:pPr>
      <w:rPr>
        <w:b/>
        <w:bCs/>
      </w:rPr>
      <w:tblPr/>
      <w:tcPr>
        <w:tcBorders>
          <w:top w:val="single" w:sz="8" w:space="0" w:color="C1AD79"/>
          <w:left w:val="nil"/>
          <w:bottom w:val="single" w:sz="8" w:space="0" w:color="C1AD7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ADD"/>
      </w:tcPr>
    </w:tblStylePr>
    <w:tblStylePr w:type="band1Horz">
      <w:tblPr/>
      <w:tcPr>
        <w:tcBorders>
          <w:left w:val="nil"/>
          <w:right w:val="nil"/>
          <w:insideH w:val="nil"/>
          <w:insideV w:val="nil"/>
        </w:tcBorders>
        <w:shd w:val="clear" w:color="auto" w:fill="EFEADD"/>
      </w:tcPr>
    </w:tblStylePr>
  </w:style>
  <w:style w:type="table" w:styleId="LightList-Accent4">
    <w:name w:val="Light List Accent 4"/>
    <w:basedOn w:val="TableNormal"/>
    <w:uiPriority w:val="61"/>
    <w:rsid w:val="00977B35"/>
    <w:tblPr>
      <w:tblStyleRowBandSize w:val="1"/>
      <w:tblStyleColBandSize w:val="1"/>
      <w:tblInd w:w="0" w:type="dxa"/>
      <w:tblBorders>
        <w:top w:val="single" w:sz="8" w:space="0" w:color="C1AD79"/>
        <w:left w:val="single" w:sz="8" w:space="0" w:color="C1AD79"/>
        <w:bottom w:val="single" w:sz="8" w:space="0" w:color="C1AD79"/>
        <w:right w:val="single" w:sz="8" w:space="0" w:color="C1AD7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1AD79"/>
      </w:tcPr>
    </w:tblStylePr>
    <w:tblStylePr w:type="lastRow">
      <w:pPr>
        <w:spacing w:before="0" w:after="0" w:line="240" w:lineRule="auto"/>
      </w:pPr>
      <w:rPr>
        <w:b/>
        <w:bCs/>
      </w:rPr>
      <w:tblPr/>
      <w:tcPr>
        <w:tcBorders>
          <w:top w:val="double" w:sz="6" w:space="0" w:color="C1AD79"/>
          <w:left w:val="single" w:sz="8" w:space="0" w:color="C1AD79"/>
          <w:bottom w:val="single" w:sz="8" w:space="0" w:color="C1AD79"/>
          <w:right w:val="single" w:sz="8" w:space="0" w:color="C1AD79"/>
        </w:tcBorders>
      </w:tcPr>
    </w:tblStylePr>
    <w:tblStylePr w:type="firstCol">
      <w:rPr>
        <w:b/>
        <w:bCs/>
      </w:rPr>
    </w:tblStylePr>
    <w:tblStylePr w:type="lastCol">
      <w:rPr>
        <w:b/>
        <w:bCs/>
      </w:rPr>
    </w:tblStylePr>
    <w:tblStylePr w:type="band1Vert">
      <w:tblPr/>
      <w:tcPr>
        <w:tcBorders>
          <w:top w:val="single" w:sz="8" w:space="0" w:color="C1AD79"/>
          <w:left w:val="single" w:sz="8" w:space="0" w:color="C1AD79"/>
          <w:bottom w:val="single" w:sz="8" w:space="0" w:color="C1AD79"/>
          <w:right w:val="single" w:sz="8" w:space="0" w:color="C1AD79"/>
        </w:tcBorders>
      </w:tcPr>
    </w:tblStylePr>
    <w:tblStylePr w:type="band1Horz">
      <w:tblPr/>
      <w:tcPr>
        <w:tcBorders>
          <w:top w:val="single" w:sz="8" w:space="0" w:color="C1AD79"/>
          <w:left w:val="single" w:sz="8" w:space="0" w:color="C1AD79"/>
          <w:bottom w:val="single" w:sz="8" w:space="0" w:color="C1AD79"/>
          <w:right w:val="single" w:sz="8" w:space="0" w:color="C1AD79"/>
        </w:tcBorders>
      </w:tcPr>
    </w:tblStylePr>
  </w:style>
  <w:style w:type="table" w:styleId="MediumShading1-Accent4">
    <w:name w:val="Medium Shading 1 Accent 4"/>
    <w:basedOn w:val="TableNormal"/>
    <w:uiPriority w:val="63"/>
    <w:rsid w:val="00977B35"/>
    <w:tblPr>
      <w:tblStyleRowBandSize w:val="1"/>
      <w:tblStyleColBandSize w:val="1"/>
      <w:tblInd w:w="0" w:type="dxa"/>
      <w:tblBorders>
        <w:top w:val="single" w:sz="8" w:space="0" w:color="D0C19A"/>
        <w:left w:val="single" w:sz="8" w:space="0" w:color="D0C19A"/>
        <w:bottom w:val="single" w:sz="8" w:space="0" w:color="D0C19A"/>
        <w:right w:val="single" w:sz="8" w:space="0" w:color="D0C19A"/>
        <w:insideH w:val="single" w:sz="8" w:space="0" w:color="D0C19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0C19A"/>
          <w:left w:val="single" w:sz="8" w:space="0" w:color="D0C19A"/>
          <w:bottom w:val="single" w:sz="8" w:space="0" w:color="D0C19A"/>
          <w:right w:val="single" w:sz="8" w:space="0" w:color="D0C19A"/>
          <w:insideH w:val="nil"/>
          <w:insideV w:val="nil"/>
        </w:tcBorders>
        <w:shd w:val="clear" w:color="auto" w:fill="C1AD79"/>
      </w:tcPr>
    </w:tblStylePr>
    <w:tblStylePr w:type="lastRow">
      <w:pPr>
        <w:spacing w:before="0" w:after="0" w:line="240" w:lineRule="auto"/>
      </w:pPr>
      <w:rPr>
        <w:b/>
        <w:bCs/>
      </w:rPr>
      <w:tblPr/>
      <w:tcPr>
        <w:tcBorders>
          <w:top w:val="double" w:sz="6" w:space="0" w:color="D0C19A"/>
          <w:left w:val="single" w:sz="8" w:space="0" w:color="D0C19A"/>
          <w:bottom w:val="single" w:sz="8" w:space="0" w:color="D0C19A"/>
          <w:right w:val="single" w:sz="8" w:space="0" w:color="D0C19A"/>
          <w:insideH w:val="nil"/>
          <w:insideV w:val="nil"/>
        </w:tcBorders>
      </w:tcPr>
    </w:tblStylePr>
    <w:tblStylePr w:type="firstCol">
      <w:rPr>
        <w:b/>
        <w:bCs/>
      </w:rPr>
    </w:tblStylePr>
    <w:tblStylePr w:type="lastCol">
      <w:rPr>
        <w:b/>
        <w:bCs/>
      </w:rPr>
    </w:tblStylePr>
    <w:tblStylePr w:type="band1Vert">
      <w:tblPr/>
      <w:tcPr>
        <w:shd w:val="clear" w:color="auto" w:fill="EFEADD"/>
      </w:tcPr>
    </w:tblStylePr>
    <w:tblStylePr w:type="band1Horz">
      <w:tblPr/>
      <w:tcPr>
        <w:tcBorders>
          <w:insideH w:val="nil"/>
          <w:insideV w:val="nil"/>
        </w:tcBorders>
        <w:shd w:val="clear" w:color="auto" w:fill="EFEADD"/>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977B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1AD7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1AD79"/>
      </w:tcPr>
    </w:tblStylePr>
    <w:tblStylePr w:type="lastCol">
      <w:rPr>
        <w:b/>
        <w:bCs/>
        <w:color w:val="FFFFFF"/>
      </w:rPr>
      <w:tblPr/>
      <w:tcPr>
        <w:tcBorders>
          <w:left w:val="nil"/>
          <w:right w:val="nil"/>
          <w:insideH w:val="nil"/>
          <w:insideV w:val="nil"/>
        </w:tcBorders>
        <w:shd w:val="clear" w:color="auto" w:fill="C1AD7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sid w:val="00977B35"/>
    <w:rPr>
      <w:color w:val="000000"/>
    </w:rPr>
    <w:tblPr>
      <w:tblStyleRowBandSize w:val="1"/>
      <w:tblStyleColBandSize w:val="1"/>
      <w:tblInd w:w="0" w:type="dxa"/>
      <w:tblBorders>
        <w:top w:val="single" w:sz="8" w:space="0" w:color="C1AD79"/>
        <w:bottom w:val="single" w:sz="8" w:space="0" w:color="C1AD79"/>
      </w:tblBorders>
      <w:tblCellMar>
        <w:top w:w="0" w:type="dxa"/>
        <w:left w:w="108" w:type="dxa"/>
        <w:bottom w:w="0" w:type="dxa"/>
        <w:right w:w="108" w:type="dxa"/>
      </w:tblCellMar>
    </w:tblPr>
    <w:tblStylePr w:type="firstRow">
      <w:rPr>
        <w:rFonts w:ascii="Utopia Std" w:eastAsia="MS Mincho" w:hAnsi="Utopia Std" w:cs="Times New Roman"/>
      </w:rPr>
      <w:tblPr/>
      <w:tcPr>
        <w:tcBorders>
          <w:top w:val="nil"/>
          <w:bottom w:val="single" w:sz="8" w:space="0" w:color="C1AD79"/>
        </w:tcBorders>
      </w:tcPr>
    </w:tblStylePr>
    <w:tblStylePr w:type="lastRow">
      <w:rPr>
        <w:b/>
        <w:bCs/>
        <w:color w:val="6F6D5D"/>
      </w:rPr>
      <w:tblPr/>
      <w:tcPr>
        <w:tcBorders>
          <w:top w:val="single" w:sz="8" w:space="0" w:color="C1AD79"/>
          <w:bottom w:val="single" w:sz="8" w:space="0" w:color="C1AD79"/>
        </w:tcBorders>
      </w:tcPr>
    </w:tblStylePr>
    <w:tblStylePr w:type="firstCol">
      <w:rPr>
        <w:b/>
        <w:bCs/>
      </w:rPr>
    </w:tblStylePr>
    <w:tblStylePr w:type="lastCol">
      <w:rPr>
        <w:b/>
        <w:bCs/>
      </w:rPr>
      <w:tblPr/>
      <w:tcPr>
        <w:tcBorders>
          <w:top w:val="single" w:sz="8" w:space="0" w:color="C1AD79"/>
          <w:bottom w:val="single" w:sz="8" w:space="0" w:color="C1AD79"/>
        </w:tcBorders>
      </w:tcPr>
    </w:tblStylePr>
    <w:tblStylePr w:type="band1Vert">
      <w:tblPr/>
      <w:tcPr>
        <w:shd w:val="clear" w:color="auto" w:fill="EFEADD"/>
      </w:tcPr>
    </w:tblStylePr>
    <w:tblStylePr w:type="band1Horz">
      <w:tblPr/>
      <w:tcPr>
        <w:shd w:val="clear" w:color="auto" w:fill="EFEADD"/>
      </w:tcPr>
    </w:tblStylePr>
  </w:style>
  <w:style w:type="table" w:styleId="MediumList2-Accent4">
    <w:name w:val="Medium List 2 Accent 4"/>
    <w:basedOn w:val="TableNormal"/>
    <w:uiPriority w:val="66"/>
    <w:rsid w:val="00977B35"/>
    <w:rPr>
      <w:color w:val="000000"/>
    </w:rPr>
    <w:tblPr>
      <w:tblStyleRowBandSize w:val="1"/>
      <w:tblStyleColBandSize w:val="1"/>
      <w:tblInd w:w="0" w:type="dxa"/>
      <w:tblBorders>
        <w:top w:val="single" w:sz="8" w:space="0" w:color="C1AD79"/>
        <w:left w:val="single" w:sz="8" w:space="0" w:color="C1AD79"/>
        <w:bottom w:val="single" w:sz="8" w:space="0" w:color="C1AD79"/>
        <w:right w:val="single" w:sz="8" w:space="0" w:color="C1AD79"/>
      </w:tblBorders>
      <w:tblCellMar>
        <w:top w:w="0" w:type="dxa"/>
        <w:left w:w="108" w:type="dxa"/>
        <w:bottom w:w="0" w:type="dxa"/>
        <w:right w:w="108" w:type="dxa"/>
      </w:tblCellMar>
    </w:tblPr>
    <w:tblStylePr w:type="firstRow">
      <w:rPr>
        <w:sz w:val="24"/>
        <w:szCs w:val="24"/>
      </w:rPr>
      <w:tblPr/>
      <w:tcPr>
        <w:tcBorders>
          <w:top w:val="nil"/>
          <w:left w:val="nil"/>
          <w:bottom w:val="single" w:sz="24" w:space="0" w:color="C1AD79"/>
          <w:right w:val="nil"/>
          <w:insideH w:val="nil"/>
          <w:insideV w:val="nil"/>
        </w:tcBorders>
        <w:shd w:val="clear" w:color="auto" w:fill="FFFFFF"/>
      </w:tcPr>
    </w:tblStylePr>
    <w:tblStylePr w:type="lastRow">
      <w:tblPr/>
      <w:tcPr>
        <w:tcBorders>
          <w:top w:val="single" w:sz="8" w:space="0" w:color="C1AD79"/>
          <w:left w:val="nil"/>
          <w:bottom w:val="nil"/>
          <w:right w:val="nil"/>
          <w:insideH w:val="nil"/>
          <w:insideV w:val="nil"/>
        </w:tcBorders>
        <w:shd w:val="clear" w:color="auto" w:fill="FFFFFF"/>
      </w:tcPr>
    </w:tblStylePr>
    <w:tblStylePr w:type="firstCol">
      <w:tblPr/>
      <w:tcPr>
        <w:tcBorders>
          <w:top w:val="nil"/>
          <w:left w:val="nil"/>
          <w:bottom w:val="nil"/>
          <w:right w:val="single" w:sz="8" w:space="0" w:color="C1AD79"/>
          <w:insideH w:val="nil"/>
          <w:insideV w:val="nil"/>
        </w:tcBorders>
        <w:shd w:val="clear" w:color="auto" w:fill="FFFFFF"/>
      </w:tcPr>
    </w:tblStylePr>
    <w:tblStylePr w:type="lastCol">
      <w:tblPr/>
      <w:tcPr>
        <w:tcBorders>
          <w:top w:val="nil"/>
          <w:left w:val="single" w:sz="8" w:space="0" w:color="C1AD7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EADD"/>
      </w:tcPr>
    </w:tblStylePr>
    <w:tblStylePr w:type="band1Horz">
      <w:tblPr/>
      <w:tcPr>
        <w:tcBorders>
          <w:top w:val="nil"/>
          <w:bottom w:val="nil"/>
          <w:insideH w:val="nil"/>
          <w:insideV w:val="nil"/>
        </w:tcBorders>
        <w:shd w:val="clear" w:color="auto" w:fill="EFEADD"/>
      </w:tcPr>
    </w:tblStylePr>
    <w:tblStylePr w:type="nwCell">
      <w:tblPr/>
      <w:tcPr>
        <w:shd w:val="clear" w:color="auto" w:fill="FFFFFF"/>
      </w:tcPr>
    </w:tblStylePr>
    <w:tblStylePr w:type="swCell">
      <w:tblPr/>
      <w:tcPr>
        <w:tcBorders>
          <w:top w:val="nil"/>
        </w:tcBorders>
      </w:tcPr>
    </w:tblStylePr>
  </w:style>
  <w:style w:type="table" w:styleId="MediumGrid1-Accent4">
    <w:name w:val="Medium Grid 1 Accent 4"/>
    <w:basedOn w:val="TableNormal"/>
    <w:uiPriority w:val="67"/>
    <w:rsid w:val="00977B35"/>
    <w:tblPr>
      <w:tblStyleRowBandSize w:val="1"/>
      <w:tblStyleColBandSize w:val="1"/>
      <w:tblInd w:w="0" w:type="dxa"/>
      <w:tblBorders>
        <w:top w:val="single" w:sz="8" w:space="0" w:color="D0C19A"/>
        <w:left w:val="single" w:sz="8" w:space="0" w:color="D0C19A"/>
        <w:bottom w:val="single" w:sz="8" w:space="0" w:color="D0C19A"/>
        <w:right w:val="single" w:sz="8" w:space="0" w:color="D0C19A"/>
        <w:insideH w:val="single" w:sz="8" w:space="0" w:color="D0C19A"/>
        <w:insideV w:val="single" w:sz="8" w:space="0" w:color="D0C19A"/>
      </w:tblBorders>
      <w:tblCellMar>
        <w:top w:w="0" w:type="dxa"/>
        <w:left w:w="108" w:type="dxa"/>
        <w:bottom w:w="0" w:type="dxa"/>
        <w:right w:w="108" w:type="dxa"/>
      </w:tblCellMar>
    </w:tblPr>
    <w:tcPr>
      <w:shd w:val="clear" w:color="auto" w:fill="EFEADD"/>
    </w:tcPr>
    <w:tblStylePr w:type="firstRow">
      <w:rPr>
        <w:b/>
        <w:bCs/>
      </w:rPr>
    </w:tblStylePr>
    <w:tblStylePr w:type="lastRow">
      <w:rPr>
        <w:b/>
        <w:bCs/>
      </w:rPr>
      <w:tblPr/>
      <w:tcPr>
        <w:tcBorders>
          <w:top w:val="single" w:sz="18" w:space="0" w:color="D0C19A"/>
        </w:tcBorders>
      </w:tcPr>
    </w:tblStylePr>
    <w:tblStylePr w:type="firstCol">
      <w:rPr>
        <w:b/>
        <w:bCs/>
      </w:rPr>
    </w:tblStylePr>
    <w:tblStylePr w:type="lastCol">
      <w:rPr>
        <w:b/>
        <w:bCs/>
      </w:rPr>
    </w:tblStylePr>
    <w:tblStylePr w:type="band1Vert">
      <w:tblPr/>
      <w:tcPr>
        <w:shd w:val="clear" w:color="auto" w:fill="E0D6BC"/>
      </w:tcPr>
    </w:tblStylePr>
    <w:tblStylePr w:type="band1Horz">
      <w:tblPr/>
      <w:tcPr>
        <w:shd w:val="clear" w:color="auto" w:fill="E0D6BC"/>
      </w:tcPr>
    </w:tblStylePr>
  </w:style>
  <w:style w:type="table" w:styleId="MediumGrid2-Accent4">
    <w:name w:val="Medium Grid 2 Accent 4"/>
    <w:basedOn w:val="TableNormal"/>
    <w:uiPriority w:val="68"/>
    <w:rsid w:val="00977B35"/>
    <w:rPr>
      <w:color w:val="000000"/>
    </w:rPr>
    <w:tblPr>
      <w:tblStyleRowBandSize w:val="1"/>
      <w:tblStyleColBandSize w:val="1"/>
      <w:tblInd w:w="0" w:type="dxa"/>
      <w:tblBorders>
        <w:top w:val="single" w:sz="8" w:space="0" w:color="C1AD79"/>
        <w:left w:val="single" w:sz="8" w:space="0" w:color="C1AD79"/>
        <w:bottom w:val="single" w:sz="8" w:space="0" w:color="C1AD79"/>
        <w:right w:val="single" w:sz="8" w:space="0" w:color="C1AD79"/>
        <w:insideH w:val="single" w:sz="8" w:space="0" w:color="C1AD79"/>
        <w:insideV w:val="single" w:sz="8" w:space="0" w:color="C1AD79"/>
      </w:tblBorders>
      <w:tblCellMar>
        <w:top w:w="0" w:type="dxa"/>
        <w:left w:w="108" w:type="dxa"/>
        <w:bottom w:w="0" w:type="dxa"/>
        <w:right w:w="108" w:type="dxa"/>
      </w:tblCellMar>
    </w:tblPr>
    <w:tcPr>
      <w:shd w:val="clear" w:color="auto" w:fill="EFEADD"/>
    </w:tcPr>
    <w:tblStylePr w:type="firstRow">
      <w:rPr>
        <w:b/>
        <w:bCs/>
        <w:color w:val="000000"/>
      </w:rPr>
      <w:tblPr/>
      <w:tcPr>
        <w:shd w:val="clear" w:color="auto" w:fill="F9F6F1"/>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EEE4"/>
      </w:tcPr>
    </w:tblStylePr>
    <w:tblStylePr w:type="band1Vert">
      <w:tblPr/>
      <w:tcPr>
        <w:shd w:val="clear" w:color="auto" w:fill="E0D6BC"/>
      </w:tcPr>
    </w:tblStylePr>
    <w:tblStylePr w:type="band1Horz">
      <w:tblPr/>
      <w:tcPr>
        <w:tcBorders>
          <w:insideH w:val="single" w:sz="6" w:space="0" w:color="C1AD79"/>
          <w:insideV w:val="single" w:sz="6" w:space="0" w:color="C1AD79"/>
        </w:tcBorders>
        <w:shd w:val="clear" w:color="auto" w:fill="E0D6BC"/>
      </w:tcPr>
    </w:tblStylePr>
    <w:tblStylePr w:type="nwCell">
      <w:tblPr/>
      <w:tcPr>
        <w:shd w:val="clear" w:color="auto" w:fill="FFFFFF"/>
      </w:tcPr>
    </w:tblStylePr>
  </w:style>
  <w:style w:type="table" w:styleId="MediumGrid3-Accent4">
    <w:name w:val="Medium Grid 3 Accent 4"/>
    <w:basedOn w:val="TableNormal"/>
    <w:uiPriority w:val="69"/>
    <w:rsid w:val="00977B3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AD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AD7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AD7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AD7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AD7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D6B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D6BC"/>
      </w:tcPr>
    </w:tblStylePr>
  </w:style>
  <w:style w:type="table" w:styleId="MediumGrid3-Accent6">
    <w:name w:val="Medium Grid 3 Accent 6"/>
    <w:basedOn w:val="TableNormal"/>
    <w:uiPriority w:val="69"/>
    <w:rsid w:val="00977B3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DF4E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AD6A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AD6A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AD6A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AD6A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CEAD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CEAD6"/>
      </w:tcPr>
    </w:tblStylePr>
  </w:style>
  <w:style w:type="table" w:styleId="MediumGrid3-Accent2">
    <w:name w:val="Medium Grid 3 Accent 2"/>
    <w:basedOn w:val="TableNormal"/>
    <w:uiPriority w:val="69"/>
    <w:rsid w:val="00977B3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1C5B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8362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8362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8362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8362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28B7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28B78"/>
      </w:tcPr>
    </w:tblStylePr>
  </w:style>
  <w:style w:type="table" w:styleId="ColorfulShading-Accent4">
    <w:name w:val="Colorful Shading Accent 4"/>
    <w:basedOn w:val="TableNormal"/>
    <w:uiPriority w:val="71"/>
    <w:rsid w:val="00977B35"/>
    <w:rPr>
      <w:color w:val="000000"/>
    </w:rPr>
    <w:tblPr>
      <w:tblStyleRowBandSize w:val="1"/>
      <w:tblStyleColBandSize w:val="1"/>
      <w:tblInd w:w="0" w:type="dxa"/>
      <w:tblBorders>
        <w:top w:val="single" w:sz="24" w:space="0" w:color="504539"/>
        <w:left w:val="single" w:sz="4" w:space="0" w:color="C1AD79"/>
        <w:bottom w:val="single" w:sz="4" w:space="0" w:color="C1AD79"/>
        <w:right w:val="single" w:sz="4" w:space="0" w:color="C1AD79"/>
        <w:insideH w:val="single" w:sz="4" w:space="0" w:color="FFFFFF"/>
        <w:insideV w:val="single" w:sz="4" w:space="0" w:color="FFFFFF"/>
      </w:tblBorders>
      <w:tblCellMar>
        <w:top w:w="0" w:type="dxa"/>
        <w:left w:w="108" w:type="dxa"/>
        <w:bottom w:w="0" w:type="dxa"/>
        <w:right w:w="108" w:type="dxa"/>
      </w:tblCellMar>
    </w:tblPr>
    <w:tcPr>
      <w:shd w:val="clear" w:color="auto" w:fill="F9F6F1"/>
    </w:tcPr>
    <w:tblStylePr w:type="firstRow">
      <w:rPr>
        <w:b/>
        <w:bCs/>
      </w:rPr>
      <w:tblPr/>
      <w:tcPr>
        <w:tcBorders>
          <w:top w:val="nil"/>
          <w:left w:val="nil"/>
          <w:bottom w:val="single" w:sz="24" w:space="0" w:color="50453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06D3B"/>
      </w:tcPr>
    </w:tblStylePr>
    <w:tblStylePr w:type="firstCol">
      <w:rPr>
        <w:color w:val="FFFFFF"/>
      </w:rPr>
      <w:tblPr/>
      <w:tcPr>
        <w:tcBorders>
          <w:top w:val="nil"/>
          <w:left w:val="nil"/>
          <w:bottom w:val="nil"/>
          <w:right w:val="nil"/>
          <w:insideH w:val="single" w:sz="4" w:space="0" w:color="806D3B"/>
          <w:insideV w:val="nil"/>
        </w:tcBorders>
        <w:shd w:val="clear" w:color="auto" w:fill="806D3B"/>
      </w:tcPr>
    </w:tblStylePr>
    <w:tblStylePr w:type="lastCol">
      <w:rPr>
        <w:color w:val="FFFFFF"/>
      </w:rPr>
      <w:tblPr/>
      <w:tcPr>
        <w:tcBorders>
          <w:top w:val="nil"/>
          <w:left w:val="nil"/>
          <w:bottom w:val="nil"/>
          <w:right w:val="nil"/>
          <w:insideH w:val="nil"/>
          <w:insideV w:val="nil"/>
        </w:tcBorders>
        <w:shd w:val="clear" w:color="auto" w:fill="806D3B"/>
      </w:tcPr>
    </w:tblStylePr>
    <w:tblStylePr w:type="band1Vert">
      <w:tblPr/>
      <w:tcPr>
        <w:shd w:val="clear" w:color="auto" w:fill="E6DEC9"/>
      </w:tcPr>
    </w:tblStylePr>
    <w:tblStylePr w:type="band1Horz">
      <w:tblPr/>
      <w:tcPr>
        <w:shd w:val="clear" w:color="auto" w:fill="E0D6BC"/>
      </w:tcPr>
    </w:tblStylePr>
    <w:tblStylePr w:type="neCell">
      <w:rPr>
        <w:color w:val="000000"/>
      </w:rPr>
    </w:tblStylePr>
    <w:tblStylePr w:type="nwCell">
      <w:rPr>
        <w:color w:val="000000"/>
      </w:rPr>
    </w:tblStylePr>
  </w:style>
  <w:style w:type="table" w:styleId="ColorfulList-Accent3">
    <w:name w:val="Colorful List Accent 3"/>
    <w:basedOn w:val="TableNormal"/>
    <w:uiPriority w:val="72"/>
    <w:rsid w:val="00977B35"/>
    <w:rPr>
      <w:color w:val="000000"/>
    </w:rPr>
    <w:tblPr>
      <w:tblStyleRowBandSize w:val="1"/>
      <w:tblStyleColBandSize w:val="1"/>
      <w:tblInd w:w="0" w:type="dxa"/>
      <w:tblCellMar>
        <w:top w:w="0" w:type="dxa"/>
        <w:left w:w="108" w:type="dxa"/>
        <w:bottom w:w="0" w:type="dxa"/>
        <w:right w:w="108" w:type="dxa"/>
      </w:tblCellMar>
    </w:tblPr>
    <w:tcPr>
      <w:shd w:val="clear" w:color="auto" w:fill="EFECE9"/>
    </w:tcPr>
    <w:tblStylePr w:type="firstRow">
      <w:rPr>
        <w:b/>
        <w:bCs/>
        <w:color w:val="FFFFFF"/>
      </w:rPr>
      <w:tblPr/>
      <w:tcPr>
        <w:tcBorders>
          <w:bottom w:val="single" w:sz="12" w:space="0" w:color="FFFFFF"/>
        </w:tcBorders>
        <w:shd w:val="clear" w:color="auto" w:fill="AB914F"/>
      </w:tcPr>
    </w:tblStylePr>
    <w:tblStylePr w:type="lastRow">
      <w:rPr>
        <w:b/>
        <w:bCs/>
        <w:color w:val="AB914F"/>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1C9"/>
      </w:tcPr>
    </w:tblStylePr>
    <w:tblStylePr w:type="band1Horz">
      <w:tblPr/>
      <w:tcPr>
        <w:shd w:val="clear" w:color="auto" w:fill="E0D9D3"/>
      </w:tcPr>
    </w:tblStylePr>
  </w:style>
  <w:style w:type="table" w:styleId="ColorfulGrid-Accent4">
    <w:name w:val="Colorful Grid Accent 4"/>
    <w:basedOn w:val="TableNormal"/>
    <w:uiPriority w:val="73"/>
    <w:rsid w:val="00977B3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EEE4"/>
    </w:tcPr>
    <w:tblStylePr w:type="firstRow">
      <w:rPr>
        <w:b/>
        <w:bCs/>
      </w:rPr>
      <w:tblPr/>
      <w:tcPr>
        <w:shd w:val="clear" w:color="auto" w:fill="E6DEC9"/>
      </w:tcPr>
    </w:tblStylePr>
    <w:tblStylePr w:type="lastRow">
      <w:rPr>
        <w:b/>
        <w:bCs/>
        <w:color w:val="000000"/>
      </w:rPr>
      <w:tblPr/>
      <w:tcPr>
        <w:shd w:val="clear" w:color="auto" w:fill="E6DEC9"/>
      </w:tcPr>
    </w:tblStylePr>
    <w:tblStylePr w:type="firstCol">
      <w:rPr>
        <w:color w:val="FFFFFF"/>
      </w:rPr>
      <w:tblPr/>
      <w:tcPr>
        <w:shd w:val="clear" w:color="auto" w:fill="A0884A"/>
      </w:tcPr>
    </w:tblStylePr>
    <w:tblStylePr w:type="lastCol">
      <w:rPr>
        <w:color w:val="FFFFFF"/>
      </w:rPr>
      <w:tblPr/>
      <w:tcPr>
        <w:shd w:val="clear" w:color="auto" w:fill="A0884A"/>
      </w:tcPr>
    </w:tblStylePr>
    <w:tblStylePr w:type="band1Vert">
      <w:tblPr/>
      <w:tcPr>
        <w:shd w:val="clear" w:color="auto" w:fill="E0D6BC"/>
      </w:tcPr>
    </w:tblStylePr>
    <w:tblStylePr w:type="band1Horz">
      <w:tblPr/>
      <w:tcPr>
        <w:shd w:val="clear" w:color="auto" w:fill="E0D6BC"/>
      </w:tcPr>
    </w:tblStylePr>
  </w:style>
  <w:style w:type="table" w:styleId="MediumGrid3-Accent5">
    <w:name w:val="Medium Grid 3 Accent 5"/>
    <w:basedOn w:val="TableNormal"/>
    <w:uiPriority w:val="69"/>
    <w:rsid w:val="008A75E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DED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675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675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675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675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2BDA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2BDA8"/>
      </w:tcPr>
    </w:tblStylePr>
  </w:style>
  <w:style w:type="table" w:styleId="MediumGrid3-Accent3">
    <w:name w:val="Medium Grid 3 Accent 3"/>
    <w:basedOn w:val="TableNormal"/>
    <w:uiPriority w:val="69"/>
    <w:rsid w:val="008A75E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D1C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0453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0453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0453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0453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1A29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1A292"/>
      </w:tcPr>
    </w:tblStylePr>
  </w:style>
  <w:style w:type="table" w:styleId="MediumGrid3-Accent1">
    <w:name w:val="Medium Grid 3 Accent 1"/>
    <w:basedOn w:val="TableNormal"/>
    <w:uiPriority w:val="69"/>
    <w:rsid w:val="008A75E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FD7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5A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5A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5A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5A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AEB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AEB4"/>
      </w:tcPr>
    </w:tblStylePr>
  </w:style>
  <w:style w:type="table" w:styleId="MediumGrid2-Accent3">
    <w:name w:val="Medium Grid 2 Accent 3"/>
    <w:basedOn w:val="TableNormal"/>
    <w:uiPriority w:val="68"/>
    <w:rsid w:val="008A75EF"/>
    <w:rPr>
      <w:color w:val="000000"/>
    </w:rPr>
    <w:tblPr>
      <w:tblStyleRowBandSize w:val="1"/>
      <w:tblStyleColBandSize w:val="1"/>
      <w:tblInd w:w="0" w:type="dxa"/>
      <w:tblBorders>
        <w:top w:val="single" w:sz="8" w:space="0" w:color="504539"/>
        <w:left w:val="single" w:sz="8" w:space="0" w:color="504539"/>
        <w:bottom w:val="single" w:sz="8" w:space="0" w:color="504539"/>
        <w:right w:val="single" w:sz="8" w:space="0" w:color="504539"/>
        <w:insideH w:val="single" w:sz="8" w:space="0" w:color="504539"/>
        <w:insideV w:val="single" w:sz="8" w:space="0" w:color="504539"/>
      </w:tblBorders>
      <w:tblCellMar>
        <w:top w:w="0" w:type="dxa"/>
        <w:left w:w="108" w:type="dxa"/>
        <w:bottom w:w="0" w:type="dxa"/>
        <w:right w:w="108" w:type="dxa"/>
      </w:tblCellMar>
    </w:tblPr>
    <w:tcPr>
      <w:shd w:val="clear" w:color="auto" w:fill="D8D1C9"/>
    </w:tcPr>
    <w:tblStylePr w:type="firstRow">
      <w:rPr>
        <w:b/>
        <w:bCs/>
        <w:color w:val="000000"/>
      </w:rPr>
      <w:tblPr/>
      <w:tcPr>
        <w:shd w:val="clear" w:color="auto" w:fill="EFECE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0D9D3"/>
      </w:tcPr>
    </w:tblStylePr>
    <w:tblStylePr w:type="band1Vert">
      <w:tblPr/>
      <w:tcPr>
        <w:shd w:val="clear" w:color="auto" w:fill="B1A292"/>
      </w:tcPr>
    </w:tblStylePr>
    <w:tblStylePr w:type="band1Horz">
      <w:tblPr/>
      <w:tcPr>
        <w:tcBorders>
          <w:insideH w:val="single" w:sz="6" w:space="0" w:color="504539"/>
          <w:insideV w:val="single" w:sz="6" w:space="0" w:color="504539"/>
        </w:tcBorders>
        <w:shd w:val="clear" w:color="auto" w:fill="B1A292"/>
      </w:tcPr>
    </w:tblStylePr>
    <w:tblStylePr w:type="nwCell">
      <w:tblPr/>
      <w:tcPr>
        <w:shd w:val="clear" w:color="auto" w:fill="FFFFFF"/>
      </w:tcPr>
    </w:tblStylePr>
  </w:style>
  <w:style w:type="table" w:styleId="MediumList2-Accent5">
    <w:name w:val="Medium List 2 Accent 5"/>
    <w:basedOn w:val="TableNormal"/>
    <w:uiPriority w:val="66"/>
    <w:rsid w:val="008A75EF"/>
    <w:rPr>
      <w:color w:val="000000"/>
    </w:rPr>
    <w:tblPr>
      <w:tblStyleRowBandSize w:val="1"/>
      <w:tblStyleColBandSize w:val="1"/>
      <w:tblInd w:w="0" w:type="dxa"/>
      <w:tblBorders>
        <w:top w:val="single" w:sz="8" w:space="0" w:color="667559"/>
        <w:left w:val="single" w:sz="8" w:space="0" w:color="667559"/>
        <w:bottom w:val="single" w:sz="8" w:space="0" w:color="667559"/>
        <w:right w:val="single" w:sz="8" w:space="0" w:color="667559"/>
      </w:tblBorders>
      <w:tblCellMar>
        <w:top w:w="0" w:type="dxa"/>
        <w:left w:w="108" w:type="dxa"/>
        <w:bottom w:w="0" w:type="dxa"/>
        <w:right w:w="108" w:type="dxa"/>
      </w:tblCellMar>
    </w:tblPr>
    <w:tblStylePr w:type="firstRow">
      <w:rPr>
        <w:sz w:val="24"/>
        <w:szCs w:val="24"/>
      </w:rPr>
      <w:tblPr/>
      <w:tcPr>
        <w:tcBorders>
          <w:top w:val="nil"/>
          <w:left w:val="nil"/>
          <w:bottom w:val="single" w:sz="24" w:space="0" w:color="667559"/>
          <w:right w:val="nil"/>
          <w:insideH w:val="nil"/>
          <w:insideV w:val="nil"/>
        </w:tcBorders>
        <w:shd w:val="clear" w:color="auto" w:fill="FFFFFF"/>
      </w:tcPr>
    </w:tblStylePr>
    <w:tblStylePr w:type="lastRow">
      <w:tblPr/>
      <w:tcPr>
        <w:tcBorders>
          <w:top w:val="single" w:sz="8" w:space="0" w:color="667559"/>
          <w:left w:val="nil"/>
          <w:bottom w:val="nil"/>
          <w:right w:val="nil"/>
          <w:insideH w:val="nil"/>
          <w:insideV w:val="nil"/>
        </w:tcBorders>
        <w:shd w:val="clear" w:color="auto" w:fill="FFFFFF"/>
      </w:tcPr>
    </w:tblStylePr>
    <w:tblStylePr w:type="firstCol">
      <w:tblPr/>
      <w:tcPr>
        <w:tcBorders>
          <w:top w:val="nil"/>
          <w:left w:val="nil"/>
          <w:bottom w:val="nil"/>
          <w:right w:val="single" w:sz="8" w:space="0" w:color="667559"/>
          <w:insideH w:val="nil"/>
          <w:insideV w:val="nil"/>
        </w:tcBorders>
        <w:shd w:val="clear" w:color="auto" w:fill="FFFFFF"/>
      </w:tcPr>
    </w:tblStylePr>
    <w:tblStylePr w:type="lastCol">
      <w:tblPr/>
      <w:tcPr>
        <w:tcBorders>
          <w:top w:val="nil"/>
          <w:left w:val="single" w:sz="8" w:space="0" w:color="6675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DED4"/>
      </w:tcPr>
    </w:tblStylePr>
    <w:tblStylePr w:type="band1Horz">
      <w:tblPr/>
      <w:tcPr>
        <w:tcBorders>
          <w:top w:val="nil"/>
          <w:bottom w:val="nil"/>
          <w:insideH w:val="nil"/>
          <w:insideV w:val="nil"/>
        </w:tcBorders>
        <w:shd w:val="clear" w:color="auto" w:fill="D8DED4"/>
      </w:tcPr>
    </w:tblStylePr>
    <w:tblStylePr w:type="nwCell">
      <w:tblPr/>
      <w:tcPr>
        <w:shd w:val="clear" w:color="auto" w:fill="FFFFFF"/>
      </w:tcPr>
    </w:tblStylePr>
    <w:tblStylePr w:type="swCell">
      <w:tblPr/>
      <w:tcPr>
        <w:tcBorders>
          <w:top w:val="nil"/>
        </w:tcBorders>
      </w:tcPr>
    </w:tblStylePr>
  </w:style>
  <w:style w:type="table" w:customStyle="1" w:styleId="MediumList1">
    <w:name w:val="Medium List 1"/>
    <w:basedOn w:val="TableNormal"/>
    <w:uiPriority w:val="65"/>
    <w:rsid w:val="008A75E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Utopia Std" w:eastAsia="MS Mincho" w:hAnsi="Utopia Std" w:cs="Times New Roman"/>
      </w:rPr>
      <w:tblPr/>
      <w:tcPr>
        <w:tcBorders>
          <w:top w:val="nil"/>
          <w:bottom w:val="single" w:sz="8" w:space="0" w:color="000000"/>
        </w:tcBorders>
      </w:tcPr>
    </w:tblStylePr>
    <w:tblStylePr w:type="lastRow">
      <w:rPr>
        <w:b/>
        <w:bCs/>
        <w:color w:val="6F6D5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2">
    <w:name w:val="Medium List 1 Accent 2"/>
    <w:basedOn w:val="TableNormal"/>
    <w:uiPriority w:val="65"/>
    <w:rsid w:val="008A75EF"/>
    <w:rPr>
      <w:color w:val="000000"/>
    </w:rPr>
    <w:tblPr>
      <w:tblStyleRowBandSize w:val="1"/>
      <w:tblStyleColBandSize w:val="1"/>
      <w:tblInd w:w="0" w:type="dxa"/>
      <w:tblBorders>
        <w:top w:val="single" w:sz="8" w:space="0" w:color="983620"/>
        <w:bottom w:val="single" w:sz="8" w:space="0" w:color="983620"/>
      </w:tblBorders>
      <w:tblCellMar>
        <w:top w:w="0" w:type="dxa"/>
        <w:left w:w="108" w:type="dxa"/>
        <w:bottom w:w="0" w:type="dxa"/>
        <w:right w:w="108" w:type="dxa"/>
      </w:tblCellMar>
    </w:tblPr>
    <w:tblStylePr w:type="firstRow">
      <w:rPr>
        <w:rFonts w:ascii="Utopia Std" w:eastAsia="MS Mincho" w:hAnsi="Utopia Std" w:cs="Times New Roman"/>
      </w:rPr>
      <w:tblPr/>
      <w:tcPr>
        <w:tcBorders>
          <w:top w:val="nil"/>
          <w:bottom w:val="single" w:sz="8" w:space="0" w:color="983620"/>
        </w:tcBorders>
      </w:tcPr>
    </w:tblStylePr>
    <w:tblStylePr w:type="lastRow">
      <w:rPr>
        <w:b/>
        <w:bCs/>
        <w:color w:val="6F6D5D"/>
      </w:rPr>
      <w:tblPr/>
      <w:tcPr>
        <w:tcBorders>
          <w:top w:val="single" w:sz="8" w:space="0" w:color="983620"/>
          <w:bottom w:val="single" w:sz="8" w:space="0" w:color="983620"/>
        </w:tcBorders>
      </w:tcPr>
    </w:tblStylePr>
    <w:tblStylePr w:type="firstCol">
      <w:rPr>
        <w:b/>
        <w:bCs/>
      </w:rPr>
    </w:tblStylePr>
    <w:tblStylePr w:type="lastCol">
      <w:rPr>
        <w:b/>
        <w:bCs/>
      </w:rPr>
      <w:tblPr/>
      <w:tcPr>
        <w:tcBorders>
          <w:top w:val="single" w:sz="8" w:space="0" w:color="983620"/>
          <w:bottom w:val="single" w:sz="8" w:space="0" w:color="983620"/>
        </w:tcBorders>
      </w:tcPr>
    </w:tblStylePr>
    <w:tblStylePr w:type="band1Vert">
      <w:tblPr/>
      <w:tcPr>
        <w:shd w:val="clear" w:color="auto" w:fill="F1C5BC"/>
      </w:tcPr>
    </w:tblStylePr>
    <w:tblStylePr w:type="band1Horz">
      <w:tblPr/>
      <w:tcPr>
        <w:shd w:val="clear" w:color="auto" w:fill="F1C5BC"/>
      </w:tcPr>
    </w:tblStylePr>
  </w:style>
  <w:style w:type="table" w:customStyle="1" w:styleId="MediumList1-Accent1">
    <w:name w:val="Medium List 1 Accent 1"/>
    <w:basedOn w:val="TableNormal"/>
    <w:uiPriority w:val="65"/>
    <w:rsid w:val="008A75EF"/>
    <w:rPr>
      <w:color w:val="000000"/>
    </w:rPr>
    <w:tblPr>
      <w:tblStyleRowBandSize w:val="1"/>
      <w:tblStyleColBandSize w:val="1"/>
      <w:tblInd w:w="0" w:type="dxa"/>
      <w:tblBorders>
        <w:top w:val="single" w:sz="8" w:space="0" w:color="4B5A60"/>
        <w:bottom w:val="single" w:sz="8" w:space="0" w:color="4B5A60"/>
      </w:tblBorders>
      <w:tblCellMar>
        <w:top w:w="0" w:type="dxa"/>
        <w:left w:w="108" w:type="dxa"/>
        <w:bottom w:w="0" w:type="dxa"/>
        <w:right w:w="108" w:type="dxa"/>
      </w:tblCellMar>
    </w:tblPr>
    <w:tblStylePr w:type="firstRow">
      <w:rPr>
        <w:rFonts w:ascii="Utopia Std" w:eastAsia="MS Mincho" w:hAnsi="Utopia Std" w:cs="Times New Roman"/>
      </w:rPr>
      <w:tblPr/>
      <w:tcPr>
        <w:tcBorders>
          <w:top w:val="nil"/>
          <w:bottom w:val="single" w:sz="8" w:space="0" w:color="4B5A60"/>
        </w:tcBorders>
      </w:tcPr>
    </w:tblStylePr>
    <w:tblStylePr w:type="lastRow">
      <w:rPr>
        <w:b/>
        <w:bCs/>
        <w:color w:val="6F6D5D"/>
      </w:rPr>
      <w:tblPr/>
      <w:tcPr>
        <w:tcBorders>
          <w:top w:val="single" w:sz="8" w:space="0" w:color="4B5A60"/>
          <w:bottom w:val="single" w:sz="8" w:space="0" w:color="4B5A60"/>
        </w:tcBorders>
      </w:tcPr>
    </w:tblStylePr>
    <w:tblStylePr w:type="firstCol">
      <w:rPr>
        <w:b/>
        <w:bCs/>
      </w:rPr>
    </w:tblStylePr>
    <w:tblStylePr w:type="lastCol">
      <w:rPr>
        <w:b/>
        <w:bCs/>
      </w:rPr>
      <w:tblPr/>
      <w:tcPr>
        <w:tcBorders>
          <w:top w:val="single" w:sz="8" w:space="0" w:color="4B5A60"/>
          <w:bottom w:val="single" w:sz="8" w:space="0" w:color="4B5A60"/>
        </w:tcBorders>
      </w:tcPr>
    </w:tblStylePr>
    <w:tblStylePr w:type="band1Vert">
      <w:tblPr/>
      <w:tcPr>
        <w:shd w:val="clear" w:color="auto" w:fill="CFD7DA"/>
      </w:tcPr>
    </w:tblStylePr>
    <w:tblStylePr w:type="band1Horz">
      <w:tblPr/>
      <w:tcPr>
        <w:shd w:val="clear" w:color="auto" w:fill="CFD7DA"/>
      </w:tcPr>
    </w:tblStylePr>
  </w:style>
  <w:style w:type="paragraph" w:customStyle="1" w:styleId="paragraphtextindented">
    <w:name w:val="paragraphtextindented"/>
    <w:basedOn w:val="Normal"/>
    <w:rsid w:val="00FC1533"/>
    <w:pPr>
      <w:spacing w:before="100" w:beforeAutospacing="1" w:after="100" w:afterAutospacing="1" w:line="240" w:lineRule="auto"/>
    </w:pPr>
    <w:rPr>
      <w:rFonts w:ascii="Times" w:hAnsi="Times"/>
      <w:sz w:val="20"/>
      <w:szCs w:val="20"/>
    </w:rPr>
  </w:style>
  <w:style w:type="character" w:customStyle="1" w:styleId="Stile12pt">
    <w:name w:val="Stile 12 pt"/>
    <w:rsid w:val="00D806FC"/>
    <w:rPr>
      <w:rFonts w:ascii="Times New Roman" w:hAnsi="Times New Roman"/>
      <w:sz w:val="24"/>
    </w:rPr>
  </w:style>
  <w:style w:type="paragraph" w:customStyle="1" w:styleId="Normaleprogram">
    <w:name w:val="Normale program"/>
    <w:basedOn w:val="Normal"/>
    <w:rsid w:val="00D806FC"/>
    <w:pPr>
      <w:spacing w:after="0" w:line="240" w:lineRule="auto"/>
    </w:pPr>
    <w:rPr>
      <w:rFonts w:ascii="Times New Roman" w:eastAsia="Times New Roman" w:hAnsi="Times New Roman"/>
      <w:szCs w:val="20"/>
      <w:lang w:val="en-GB" w:eastAsia="en-US"/>
    </w:rPr>
  </w:style>
  <w:style w:type="character" w:styleId="FollowedHyperlink">
    <w:name w:val="FollowedHyperlink"/>
    <w:uiPriority w:val="99"/>
    <w:semiHidden/>
    <w:unhideWhenUsed/>
    <w:rsid w:val="00B16EF2"/>
    <w:rPr>
      <w:color w:val="8F9954"/>
      <w:u w:val="single"/>
    </w:rPr>
  </w:style>
  <w:style w:type="paragraph" w:styleId="BodyText2">
    <w:name w:val="Body Text 2"/>
    <w:basedOn w:val="Normal"/>
    <w:link w:val="BodyText2Char"/>
    <w:rsid w:val="00F16F0A"/>
    <w:pPr>
      <w:spacing w:after="0" w:line="240" w:lineRule="auto"/>
      <w:jc w:val="both"/>
    </w:pPr>
    <w:rPr>
      <w:rFonts w:ascii="Times New Roman" w:eastAsia="Times New Roman" w:hAnsi="Times New Roman"/>
      <w:szCs w:val="20"/>
      <w:lang w:val="en-GB" w:eastAsia="en-US"/>
    </w:rPr>
  </w:style>
  <w:style w:type="character" w:customStyle="1" w:styleId="BodyText2Char">
    <w:name w:val="Body Text 2 Char"/>
    <w:link w:val="BodyText2"/>
    <w:rsid w:val="00F16F0A"/>
    <w:rPr>
      <w:rFonts w:ascii="Times New Roman" w:eastAsia="Times New Roman" w:hAnsi="Times New Roman" w:cs="Times New Roman"/>
      <w:szCs w:val="20"/>
      <w:lang w:val="en-GB" w:eastAsia="en-US"/>
    </w:rPr>
  </w:style>
  <w:style w:type="paragraph" w:customStyle="1" w:styleId="ManualNumPar1">
    <w:name w:val="Manual NumPar 1"/>
    <w:basedOn w:val="Normal"/>
    <w:next w:val="Normal"/>
    <w:rsid w:val="00F16F0A"/>
    <w:pPr>
      <w:numPr>
        <w:numId w:val="19"/>
      </w:numPr>
      <w:tabs>
        <w:tab w:val="clear" w:pos="709"/>
      </w:tabs>
      <w:spacing w:before="120" w:after="120" w:line="360" w:lineRule="auto"/>
      <w:ind w:left="850" w:hanging="130"/>
      <w:jc w:val="both"/>
    </w:pPr>
    <w:rPr>
      <w:rFonts w:ascii="Times New Roman" w:eastAsia="Times New Roman" w:hAnsi="Times New Roman"/>
      <w:szCs w:val="20"/>
      <w:lang w:val="en-GB" w:eastAsia="zh-CN"/>
    </w:rPr>
  </w:style>
  <w:style w:type="paragraph" w:customStyle="1" w:styleId="Applicationdirecte">
    <w:name w:val="Application directe"/>
    <w:basedOn w:val="Normal"/>
    <w:next w:val="Fait"/>
    <w:rsid w:val="00F16F0A"/>
    <w:pPr>
      <w:numPr>
        <w:ilvl w:val="1"/>
        <w:numId w:val="19"/>
      </w:numPr>
      <w:tabs>
        <w:tab w:val="clear" w:pos="1417"/>
      </w:tabs>
      <w:spacing w:before="480" w:after="120" w:line="360" w:lineRule="auto"/>
      <w:ind w:left="0" w:firstLine="0"/>
      <w:jc w:val="both"/>
    </w:pPr>
    <w:rPr>
      <w:rFonts w:ascii="Times New Roman" w:eastAsia="Times New Roman" w:hAnsi="Times New Roman"/>
      <w:szCs w:val="20"/>
      <w:lang w:val="en-GB" w:eastAsia="zh-CN"/>
    </w:rPr>
  </w:style>
  <w:style w:type="paragraph" w:customStyle="1" w:styleId="Fait">
    <w:name w:val="Fait à"/>
    <w:basedOn w:val="Normal"/>
    <w:next w:val="Institutionquisigne"/>
    <w:rsid w:val="00F16F0A"/>
    <w:pPr>
      <w:keepNext/>
      <w:numPr>
        <w:ilvl w:val="2"/>
        <w:numId w:val="19"/>
      </w:numPr>
      <w:tabs>
        <w:tab w:val="clear" w:pos="2126"/>
      </w:tabs>
      <w:spacing w:before="120" w:after="120" w:line="360" w:lineRule="auto"/>
      <w:ind w:left="0" w:firstLine="0"/>
      <w:jc w:val="both"/>
    </w:pPr>
    <w:rPr>
      <w:rFonts w:ascii="Times New Roman" w:eastAsia="Times New Roman" w:hAnsi="Times New Roman"/>
      <w:szCs w:val="20"/>
      <w:lang w:val="en-GB" w:eastAsia="zh-CN"/>
    </w:rPr>
  </w:style>
  <w:style w:type="paragraph" w:customStyle="1" w:styleId="Institutionquisigne">
    <w:name w:val="Institution qui signe"/>
    <w:basedOn w:val="Normal"/>
    <w:next w:val="Normal"/>
    <w:rsid w:val="00F16F0A"/>
    <w:pPr>
      <w:keepNext/>
      <w:numPr>
        <w:ilvl w:val="3"/>
        <w:numId w:val="19"/>
      </w:numPr>
      <w:tabs>
        <w:tab w:val="clear" w:pos="2835"/>
        <w:tab w:val="left" w:pos="4252"/>
      </w:tabs>
      <w:spacing w:before="720" w:after="120" w:line="360" w:lineRule="auto"/>
      <w:ind w:left="0" w:firstLine="0"/>
      <w:jc w:val="both"/>
    </w:pPr>
    <w:rPr>
      <w:rFonts w:ascii="Times New Roman" w:eastAsia="Times New Roman" w:hAnsi="Times New Roman"/>
      <w:i/>
      <w:szCs w:val="20"/>
      <w:lang w:val="en-GB" w:eastAsia="zh-CN"/>
    </w:rPr>
  </w:style>
  <w:style w:type="paragraph" w:customStyle="1" w:styleId="NumPar1">
    <w:name w:val="NumPar 1"/>
    <w:basedOn w:val="Normal"/>
    <w:next w:val="Normal"/>
    <w:rsid w:val="00F16F0A"/>
    <w:pPr>
      <w:numPr>
        <w:numId w:val="22"/>
      </w:numPr>
      <w:spacing w:before="120" w:after="120" w:line="240" w:lineRule="auto"/>
      <w:jc w:val="both"/>
    </w:pPr>
    <w:rPr>
      <w:rFonts w:ascii="Times New Roman" w:eastAsia="Calibri" w:hAnsi="Times New Roman"/>
      <w:szCs w:val="22"/>
      <w:lang w:val="en-GB" w:eastAsia="en-GB"/>
    </w:rPr>
  </w:style>
  <w:style w:type="paragraph" w:customStyle="1" w:styleId="NumPar2">
    <w:name w:val="NumPar 2"/>
    <w:basedOn w:val="Normal"/>
    <w:next w:val="Normal"/>
    <w:rsid w:val="00F16F0A"/>
    <w:pPr>
      <w:numPr>
        <w:ilvl w:val="1"/>
        <w:numId w:val="22"/>
      </w:numPr>
      <w:spacing w:before="120" w:after="120" w:line="240" w:lineRule="auto"/>
      <w:jc w:val="both"/>
    </w:pPr>
    <w:rPr>
      <w:rFonts w:ascii="Times New Roman" w:eastAsia="Calibri" w:hAnsi="Times New Roman"/>
      <w:szCs w:val="22"/>
      <w:lang w:val="en-GB" w:eastAsia="en-GB"/>
    </w:rPr>
  </w:style>
  <w:style w:type="paragraph" w:customStyle="1" w:styleId="NumPar3">
    <w:name w:val="NumPar 3"/>
    <w:basedOn w:val="Normal"/>
    <w:next w:val="Normal"/>
    <w:rsid w:val="00F16F0A"/>
    <w:pPr>
      <w:numPr>
        <w:ilvl w:val="2"/>
        <w:numId w:val="22"/>
      </w:numPr>
      <w:spacing w:before="120" w:after="120" w:line="240" w:lineRule="auto"/>
      <w:jc w:val="both"/>
    </w:pPr>
    <w:rPr>
      <w:rFonts w:ascii="Times New Roman" w:eastAsia="Calibri" w:hAnsi="Times New Roman"/>
      <w:szCs w:val="22"/>
      <w:lang w:val="en-GB" w:eastAsia="en-GB"/>
    </w:rPr>
  </w:style>
  <w:style w:type="paragraph" w:customStyle="1" w:styleId="NumPar4">
    <w:name w:val="NumPar 4"/>
    <w:basedOn w:val="Normal"/>
    <w:next w:val="Normal"/>
    <w:rsid w:val="00F16F0A"/>
    <w:pPr>
      <w:numPr>
        <w:ilvl w:val="3"/>
        <w:numId w:val="22"/>
      </w:numPr>
      <w:spacing w:before="120" w:after="120" w:line="240" w:lineRule="auto"/>
      <w:jc w:val="both"/>
    </w:pPr>
    <w:rPr>
      <w:rFonts w:ascii="Times New Roman" w:eastAsia="Calibri" w:hAnsi="Times New Roman"/>
      <w:szCs w:val="22"/>
      <w:lang w:val="en-GB" w:eastAsia="en-GB"/>
    </w:rPr>
  </w:style>
  <w:style w:type="paragraph" w:customStyle="1" w:styleId="Point0number">
    <w:name w:val="Point 0 (number)"/>
    <w:basedOn w:val="Normal"/>
    <w:rsid w:val="00F16F0A"/>
    <w:pPr>
      <w:numPr>
        <w:numId w:val="21"/>
      </w:numPr>
      <w:spacing w:before="120" w:after="120" w:line="240" w:lineRule="auto"/>
      <w:jc w:val="both"/>
    </w:pPr>
    <w:rPr>
      <w:rFonts w:ascii="Times New Roman" w:eastAsia="Calibri" w:hAnsi="Times New Roman"/>
      <w:szCs w:val="22"/>
      <w:lang w:val="en-GB" w:eastAsia="en-GB"/>
    </w:rPr>
  </w:style>
  <w:style w:type="paragraph" w:customStyle="1" w:styleId="Point1number">
    <w:name w:val="Point 1 (number)"/>
    <w:basedOn w:val="Normal"/>
    <w:rsid w:val="00F16F0A"/>
    <w:pPr>
      <w:numPr>
        <w:ilvl w:val="2"/>
        <w:numId w:val="21"/>
      </w:numPr>
      <w:spacing w:before="120" w:after="120" w:line="240" w:lineRule="auto"/>
      <w:jc w:val="both"/>
    </w:pPr>
    <w:rPr>
      <w:rFonts w:ascii="Times New Roman" w:eastAsia="Calibri" w:hAnsi="Times New Roman"/>
      <w:szCs w:val="22"/>
      <w:lang w:val="en-GB" w:eastAsia="en-GB"/>
    </w:rPr>
  </w:style>
  <w:style w:type="paragraph" w:customStyle="1" w:styleId="Point2number">
    <w:name w:val="Point 2 (number)"/>
    <w:basedOn w:val="Normal"/>
    <w:rsid w:val="00F16F0A"/>
    <w:pPr>
      <w:numPr>
        <w:ilvl w:val="4"/>
        <w:numId w:val="21"/>
      </w:numPr>
      <w:spacing w:before="120" w:after="120" w:line="240" w:lineRule="auto"/>
      <w:jc w:val="both"/>
    </w:pPr>
    <w:rPr>
      <w:rFonts w:ascii="Times New Roman" w:eastAsia="Calibri" w:hAnsi="Times New Roman"/>
      <w:szCs w:val="22"/>
      <w:lang w:val="en-GB" w:eastAsia="en-GB"/>
    </w:rPr>
  </w:style>
  <w:style w:type="paragraph" w:customStyle="1" w:styleId="Point3number">
    <w:name w:val="Point 3 (number)"/>
    <w:basedOn w:val="Normal"/>
    <w:rsid w:val="00F16F0A"/>
    <w:pPr>
      <w:numPr>
        <w:ilvl w:val="6"/>
        <w:numId w:val="21"/>
      </w:numPr>
      <w:spacing w:before="120" w:after="120" w:line="240" w:lineRule="auto"/>
      <w:jc w:val="both"/>
    </w:pPr>
    <w:rPr>
      <w:rFonts w:ascii="Times New Roman" w:eastAsia="Calibri" w:hAnsi="Times New Roman"/>
      <w:szCs w:val="22"/>
      <w:lang w:val="en-GB" w:eastAsia="en-GB"/>
    </w:rPr>
  </w:style>
  <w:style w:type="paragraph" w:customStyle="1" w:styleId="Point0letter">
    <w:name w:val="Point 0 (letter)"/>
    <w:basedOn w:val="Normal"/>
    <w:rsid w:val="00F16F0A"/>
    <w:pPr>
      <w:numPr>
        <w:ilvl w:val="1"/>
        <w:numId w:val="21"/>
      </w:numPr>
      <w:spacing w:before="120" w:after="120" w:line="240" w:lineRule="auto"/>
      <w:jc w:val="both"/>
    </w:pPr>
    <w:rPr>
      <w:rFonts w:ascii="Times New Roman" w:eastAsia="Calibri" w:hAnsi="Times New Roman"/>
      <w:szCs w:val="22"/>
      <w:lang w:val="en-GB" w:eastAsia="en-GB"/>
    </w:rPr>
  </w:style>
  <w:style w:type="paragraph" w:customStyle="1" w:styleId="Point1letter">
    <w:name w:val="Point 1 (letter)"/>
    <w:basedOn w:val="Normal"/>
    <w:rsid w:val="00F16F0A"/>
    <w:pPr>
      <w:numPr>
        <w:ilvl w:val="3"/>
        <w:numId w:val="21"/>
      </w:numPr>
      <w:spacing w:before="120" w:after="120" w:line="240" w:lineRule="auto"/>
      <w:jc w:val="both"/>
    </w:pPr>
    <w:rPr>
      <w:rFonts w:ascii="Times New Roman" w:eastAsia="Calibri" w:hAnsi="Times New Roman"/>
      <w:szCs w:val="22"/>
      <w:lang w:val="en-GB" w:eastAsia="en-GB"/>
    </w:rPr>
  </w:style>
  <w:style w:type="paragraph" w:customStyle="1" w:styleId="Point2letter">
    <w:name w:val="Point 2 (letter)"/>
    <w:basedOn w:val="Normal"/>
    <w:rsid w:val="00F16F0A"/>
    <w:pPr>
      <w:numPr>
        <w:ilvl w:val="5"/>
        <w:numId w:val="21"/>
      </w:numPr>
      <w:spacing w:before="120" w:after="120" w:line="240" w:lineRule="auto"/>
      <w:jc w:val="both"/>
    </w:pPr>
    <w:rPr>
      <w:rFonts w:ascii="Times New Roman" w:eastAsia="Calibri" w:hAnsi="Times New Roman"/>
      <w:szCs w:val="22"/>
      <w:lang w:val="en-GB" w:eastAsia="en-GB"/>
    </w:rPr>
  </w:style>
  <w:style w:type="paragraph" w:customStyle="1" w:styleId="Point3letter">
    <w:name w:val="Point 3 (letter)"/>
    <w:basedOn w:val="Normal"/>
    <w:rsid w:val="00F16F0A"/>
    <w:pPr>
      <w:numPr>
        <w:ilvl w:val="7"/>
        <w:numId w:val="21"/>
      </w:numPr>
      <w:spacing w:before="120" w:after="120" w:line="240" w:lineRule="auto"/>
      <w:jc w:val="both"/>
    </w:pPr>
    <w:rPr>
      <w:rFonts w:ascii="Times New Roman" w:eastAsia="Calibri" w:hAnsi="Times New Roman"/>
      <w:szCs w:val="22"/>
      <w:lang w:val="en-GB" w:eastAsia="en-GB"/>
    </w:rPr>
  </w:style>
  <w:style w:type="paragraph" w:customStyle="1" w:styleId="Point4letter">
    <w:name w:val="Point 4 (letter)"/>
    <w:basedOn w:val="Normal"/>
    <w:rsid w:val="00F16F0A"/>
    <w:pPr>
      <w:numPr>
        <w:ilvl w:val="8"/>
        <w:numId w:val="21"/>
      </w:numPr>
      <w:spacing w:before="120" w:after="120" w:line="240" w:lineRule="auto"/>
      <w:jc w:val="both"/>
    </w:pPr>
    <w:rPr>
      <w:rFonts w:ascii="Times New Roman" w:eastAsia="Calibri" w:hAnsi="Times New Roman"/>
      <w:szCs w:val="22"/>
      <w:lang w:val="en-GB" w:eastAsia="en-GB"/>
    </w:rPr>
  </w:style>
  <w:style w:type="character" w:customStyle="1" w:styleId="ListParagraphChar">
    <w:name w:val="List Paragraph Char"/>
    <w:link w:val="ListParagraph"/>
    <w:uiPriority w:val="34"/>
    <w:rsid w:val="00F16F0A"/>
  </w:style>
  <w:style w:type="character" w:customStyle="1" w:styleId="st">
    <w:name w:val="st"/>
    <w:basedOn w:val="DefaultParagraphFont"/>
    <w:rsid w:val="00F16F0A"/>
  </w:style>
  <w:style w:type="character" w:styleId="Emphasis">
    <w:name w:val="Emphasis"/>
    <w:uiPriority w:val="20"/>
    <w:qFormat/>
    <w:rsid w:val="00F16F0A"/>
    <w:rPr>
      <w:i/>
      <w:iCs/>
    </w:rPr>
  </w:style>
  <w:style w:type="character" w:styleId="PageNumber">
    <w:name w:val="page number"/>
    <w:basedOn w:val="DefaultParagraphFont"/>
    <w:uiPriority w:val="99"/>
    <w:semiHidden/>
    <w:unhideWhenUsed/>
    <w:rsid w:val="00D12E00"/>
  </w:style>
  <w:style w:type="character" w:customStyle="1" w:styleId="T1CharChar">
    <w:name w:val="T1 Char Char"/>
    <w:link w:val="T1"/>
    <w:rsid w:val="00DC2F6C"/>
    <w:rPr>
      <w:rFonts w:ascii="Arial" w:hAnsi="Arial" w:cs="Arial"/>
      <w:sz w:val="22"/>
      <w:szCs w:val="22"/>
      <w:lang w:val="en-GB" w:eastAsia="hu-HU"/>
    </w:rPr>
  </w:style>
  <w:style w:type="paragraph" w:customStyle="1" w:styleId="T1">
    <w:name w:val="T1"/>
    <w:link w:val="T1CharChar"/>
    <w:rsid w:val="00DC2F6C"/>
    <w:pPr>
      <w:spacing w:after="240"/>
      <w:jc w:val="both"/>
    </w:pPr>
    <w:rPr>
      <w:rFonts w:ascii="Arial" w:hAnsi="Arial" w:cs="Arial"/>
      <w:sz w:val="22"/>
      <w:szCs w:val="22"/>
      <w:lang w:val="en-GB" w:eastAsia="hu-HU"/>
    </w:rPr>
  </w:style>
  <w:style w:type="table" w:styleId="LightShading-Accent2">
    <w:name w:val="Light Shading Accent 2"/>
    <w:basedOn w:val="TableNormal"/>
    <w:uiPriority w:val="60"/>
    <w:rsid w:val="0001321D"/>
    <w:rPr>
      <w:color w:val="712818"/>
    </w:rPr>
    <w:tblPr>
      <w:tblStyleRowBandSize w:val="1"/>
      <w:tblStyleColBandSize w:val="1"/>
      <w:tblInd w:w="0" w:type="dxa"/>
      <w:tblBorders>
        <w:top w:val="single" w:sz="8" w:space="0" w:color="983620"/>
        <w:bottom w:val="single" w:sz="8" w:space="0" w:color="98362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83620"/>
          <w:left w:val="nil"/>
          <w:bottom w:val="single" w:sz="8" w:space="0" w:color="983620"/>
          <w:right w:val="nil"/>
          <w:insideH w:val="nil"/>
          <w:insideV w:val="nil"/>
        </w:tcBorders>
      </w:tcPr>
    </w:tblStylePr>
    <w:tblStylePr w:type="lastRow">
      <w:pPr>
        <w:spacing w:before="0" w:after="0" w:line="240" w:lineRule="auto"/>
      </w:pPr>
      <w:rPr>
        <w:b/>
        <w:bCs/>
      </w:rPr>
      <w:tblPr/>
      <w:tcPr>
        <w:tcBorders>
          <w:top w:val="single" w:sz="8" w:space="0" w:color="983620"/>
          <w:left w:val="nil"/>
          <w:bottom w:val="single" w:sz="8" w:space="0" w:color="98362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5BC"/>
      </w:tcPr>
    </w:tblStylePr>
    <w:tblStylePr w:type="band1Horz">
      <w:tblPr/>
      <w:tcPr>
        <w:tcBorders>
          <w:left w:val="nil"/>
          <w:right w:val="nil"/>
          <w:insideH w:val="nil"/>
          <w:insideV w:val="nil"/>
        </w:tcBorders>
        <w:shd w:val="clear" w:color="auto" w:fill="F1C5BC"/>
      </w:tcPr>
    </w:tblStylePr>
  </w:style>
  <w:style w:type="table" w:styleId="LightShading-Accent5">
    <w:name w:val="Light Shading Accent 5"/>
    <w:basedOn w:val="TableNormal"/>
    <w:uiPriority w:val="60"/>
    <w:rsid w:val="0001321D"/>
    <w:rPr>
      <w:color w:val="4C5742"/>
    </w:rPr>
    <w:tblPr>
      <w:tblStyleRowBandSize w:val="1"/>
      <w:tblStyleColBandSize w:val="1"/>
      <w:tblInd w:w="0" w:type="dxa"/>
      <w:tblBorders>
        <w:top w:val="single" w:sz="8" w:space="0" w:color="667559"/>
        <w:bottom w:val="single" w:sz="8" w:space="0" w:color="6675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7559"/>
          <w:left w:val="nil"/>
          <w:bottom w:val="single" w:sz="8" w:space="0" w:color="667559"/>
          <w:right w:val="nil"/>
          <w:insideH w:val="nil"/>
          <w:insideV w:val="nil"/>
        </w:tcBorders>
      </w:tcPr>
    </w:tblStylePr>
    <w:tblStylePr w:type="lastRow">
      <w:pPr>
        <w:spacing w:before="0" w:after="0" w:line="240" w:lineRule="auto"/>
      </w:pPr>
      <w:rPr>
        <w:b/>
        <w:bCs/>
      </w:rPr>
      <w:tblPr/>
      <w:tcPr>
        <w:tcBorders>
          <w:top w:val="single" w:sz="8" w:space="0" w:color="667559"/>
          <w:left w:val="nil"/>
          <w:bottom w:val="single" w:sz="8" w:space="0" w:color="6675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4"/>
      </w:tcPr>
    </w:tblStylePr>
    <w:tblStylePr w:type="band1Horz">
      <w:tblPr/>
      <w:tcPr>
        <w:tcBorders>
          <w:left w:val="nil"/>
          <w:right w:val="nil"/>
          <w:insideH w:val="nil"/>
          <w:insideV w:val="nil"/>
        </w:tcBorders>
        <w:shd w:val="clear" w:color="auto" w:fill="D8DED4"/>
      </w:tcPr>
    </w:tblStylePr>
  </w:style>
  <w:style w:type="table" w:styleId="LightGrid-Accent5">
    <w:name w:val="Light Grid Accent 5"/>
    <w:basedOn w:val="TableNormal"/>
    <w:uiPriority w:val="62"/>
    <w:rsid w:val="0001321D"/>
    <w:tblPr>
      <w:tblStyleRowBandSize w:val="1"/>
      <w:tblStyleColBandSize w:val="1"/>
      <w:tblInd w:w="0" w:type="dxa"/>
      <w:tblBorders>
        <w:top w:val="single" w:sz="8" w:space="0" w:color="667559"/>
        <w:left w:val="single" w:sz="8" w:space="0" w:color="667559"/>
        <w:bottom w:val="single" w:sz="8" w:space="0" w:color="667559"/>
        <w:right w:val="single" w:sz="8" w:space="0" w:color="667559"/>
        <w:insideH w:val="single" w:sz="8" w:space="0" w:color="667559"/>
        <w:insideV w:val="single" w:sz="8" w:space="0" w:color="667559"/>
      </w:tblBorders>
      <w:tblCellMar>
        <w:top w:w="0" w:type="dxa"/>
        <w:left w:w="108" w:type="dxa"/>
        <w:bottom w:w="0" w:type="dxa"/>
        <w:right w:w="108" w:type="dxa"/>
      </w:tblCellMar>
    </w:tblPr>
    <w:tblStylePr w:type="firstRow">
      <w:pPr>
        <w:spacing w:before="0" w:after="0" w:line="240" w:lineRule="auto"/>
      </w:pPr>
      <w:rPr>
        <w:rFonts w:ascii="Utopia Std" w:eastAsia="MS Mincho" w:hAnsi="Utopia Std" w:cs="Times New Roman"/>
        <w:b/>
        <w:bCs/>
      </w:rPr>
      <w:tblPr/>
      <w:tcPr>
        <w:tcBorders>
          <w:top w:val="single" w:sz="8" w:space="0" w:color="667559"/>
          <w:left w:val="single" w:sz="8" w:space="0" w:color="667559"/>
          <w:bottom w:val="single" w:sz="18" w:space="0" w:color="667559"/>
          <w:right w:val="single" w:sz="8" w:space="0" w:color="667559"/>
          <w:insideH w:val="nil"/>
          <w:insideV w:val="single" w:sz="8" w:space="0" w:color="667559"/>
        </w:tcBorders>
      </w:tcPr>
    </w:tblStylePr>
    <w:tblStylePr w:type="lastRow">
      <w:pPr>
        <w:spacing w:before="0" w:after="0" w:line="240" w:lineRule="auto"/>
      </w:pPr>
      <w:rPr>
        <w:rFonts w:ascii="Utopia Std" w:eastAsia="MS Mincho" w:hAnsi="Utopia Std" w:cs="Times New Roman"/>
        <w:b/>
        <w:bCs/>
      </w:rPr>
      <w:tblPr/>
      <w:tcPr>
        <w:tcBorders>
          <w:top w:val="double" w:sz="6" w:space="0" w:color="667559"/>
          <w:left w:val="single" w:sz="8" w:space="0" w:color="667559"/>
          <w:bottom w:val="single" w:sz="8" w:space="0" w:color="667559"/>
          <w:right w:val="single" w:sz="8" w:space="0" w:color="667559"/>
          <w:insideH w:val="nil"/>
          <w:insideV w:val="single" w:sz="8" w:space="0" w:color="667559"/>
        </w:tcBorders>
      </w:tcPr>
    </w:tblStylePr>
    <w:tblStylePr w:type="firstCol">
      <w:rPr>
        <w:rFonts w:ascii="Utopia Std" w:eastAsia="MS Mincho" w:hAnsi="Utopia Std" w:cs="Times New Roman"/>
        <w:b/>
        <w:bCs/>
      </w:rPr>
    </w:tblStylePr>
    <w:tblStylePr w:type="lastCol">
      <w:rPr>
        <w:rFonts w:ascii="Utopia Std" w:eastAsia="MS Mincho" w:hAnsi="Utopia Std" w:cs="Times New Roman"/>
        <w:b/>
        <w:bCs/>
      </w:rPr>
      <w:tblPr/>
      <w:tcPr>
        <w:tcBorders>
          <w:top w:val="single" w:sz="8" w:space="0" w:color="667559"/>
          <w:left w:val="single" w:sz="8" w:space="0" w:color="667559"/>
          <w:bottom w:val="single" w:sz="8" w:space="0" w:color="667559"/>
          <w:right w:val="single" w:sz="8" w:space="0" w:color="667559"/>
        </w:tcBorders>
      </w:tcPr>
    </w:tblStylePr>
    <w:tblStylePr w:type="band1Vert">
      <w:tblPr/>
      <w:tcPr>
        <w:tcBorders>
          <w:top w:val="single" w:sz="8" w:space="0" w:color="667559"/>
          <w:left w:val="single" w:sz="8" w:space="0" w:color="667559"/>
          <w:bottom w:val="single" w:sz="8" w:space="0" w:color="667559"/>
          <w:right w:val="single" w:sz="8" w:space="0" w:color="667559"/>
        </w:tcBorders>
        <w:shd w:val="clear" w:color="auto" w:fill="D8DED4"/>
      </w:tcPr>
    </w:tblStylePr>
    <w:tblStylePr w:type="band1Horz">
      <w:tblPr/>
      <w:tcPr>
        <w:tcBorders>
          <w:top w:val="single" w:sz="8" w:space="0" w:color="667559"/>
          <w:left w:val="single" w:sz="8" w:space="0" w:color="667559"/>
          <w:bottom w:val="single" w:sz="8" w:space="0" w:color="667559"/>
          <w:right w:val="single" w:sz="8" w:space="0" w:color="667559"/>
          <w:insideV w:val="single" w:sz="8" w:space="0" w:color="667559"/>
        </w:tcBorders>
        <w:shd w:val="clear" w:color="auto" w:fill="D8DED4"/>
      </w:tcPr>
    </w:tblStylePr>
    <w:tblStylePr w:type="band2Horz">
      <w:tblPr/>
      <w:tcPr>
        <w:tcBorders>
          <w:top w:val="single" w:sz="8" w:space="0" w:color="667559"/>
          <w:left w:val="single" w:sz="8" w:space="0" w:color="667559"/>
          <w:bottom w:val="single" w:sz="8" w:space="0" w:color="667559"/>
          <w:right w:val="single" w:sz="8" w:space="0" w:color="667559"/>
          <w:insideV w:val="single" w:sz="8" w:space="0" w:color="667559"/>
        </w:tcBorders>
      </w:tcPr>
    </w:tblStylePr>
  </w:style>
  <w:style w:type="table" w:styleId="MediumShading1-Accent6">
    <w:name w:val="Medium Shading 1 Accent 6"/>
    <w:basedOn w:val="TableNormal"/>
    <w:uiPriority w:val="63"/>
    <w:rsid w:val="0001321D"/>
    <w:tblPr>
      <w:tblStyleRowBandSize w:val="1"/>
      <w:tblStyleColBandSize w:val="1"/>
      <w:tblInd w:w="0" w:type="dxa"/>
      <w:tblBorders>
        <w:top w:val="single" w:sz="8" w:space="0" w:color="CBE0C1"/>
        <w:left w:val="single" w:sz="8" w:space="0" w:color="CBE0C1"/>
        <w:bottom w:val="single" w:sz="8" w:space="0" w:color="CBE0C1"/>
        <w:right w:val="single" w:sz="8" w:space="0" w:color="CBE0C1"/>
        <w:insideH w:val="single" w:sz="8" w:space="0" w:color="CBE0C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BE0C1"/>
          <w:left w:val="single" w:sz="8" w:space="0" w:color="CBE0C1"/>
          <w:bottom w:val="single" w:sz="8" w:space="0" w:color="CBE0C1"/>
          <w:right w:val="single" w:sz="8" w:space="0" w:color="CBE0C1"/>
          <w:insideH w:val="nil"/>
          <w:insideV w:val="nil"/>
        </w:tcBorders>
        <w:shd w:val="clear" w:color="auto" w:fill="BAD6AD"/>
      </w:tcPr>
    </w:tblStylePr>
    <w:tblStylePr w:type="lastRow">
      <w:pPr>
        <w:spacing w:before="0" w:after="0" w:line="240" w:lineRule="auto"/>
      </w:pPr>
      <w:rPr>
        <w:b/>
        <w:bCs/>
      </w:rPr>
      <w:tblPr/>
      <w:tcPr>
        <w:tcBorders>
          <w:top w:val="double" w:sz="6" w:space="0" w:color="CBE0C1"/>
          <w:left w:val="single" w:sz="8" w:space="0" w:color="CBE0C1"/>
          <w:bottom w:val="single" w:sz="8" w:space="0" w:color="CBE0C1"/>
          <w:right w:val="single" w:sz="8" w:space="0" w:color="CBE0C1"/>
          <w:insideH w:val="nil"/>
          <w:insideV w:val="nil"/>
        </w:tcBorders>
      </w:tcPr>
    </w:tblStylePr>
    <w:tblStylePr w:type="firstCol">
      <w:rPr>
        <w:b/>
        <w:bCs/>
      </w:rPr>
    </w:tblStylePr>
    <w:tblStylePr w:type="lastCol">
      <w:rPr>
        <w:b/>
        <w:bCs/>
      </w:rPr>
    </w:tblStylePr>
    <w:tblStylePr w:type="band1Vert">
      <w:tblPr/>
      <w:tcPr>
        <w:shd w:val="clear" w:color="auto" w:fill="EDF4EA"/>
      </w:tcPr>
    </w:tblStylePr>
    <w:tblStylePr w:type="band1Horz">
      <w:tblPr/>
      <w:tcPr>
        <w:tcBorders>
          <w:insideH w:val="nil"/>
          <w:insideV w:val="nil"/>
        </w:tcBorders>
        <w:shd w:val="clear" w:color="auto" w:fill="EDF4EA"/>
      </w:tcPr>
    </w:tblStylePr>
    <w:tblStylePr w:type="band2Horz">
      <w:tblPr/>
      <w:tcPr>
        <w:tcBorders>
          <w:insideH w:val="nil"/>
          <w:insideV w:val="nil"/>
        </w:tcBorders>
      </w:tcPr>
    </w:tblStylePr>
  </w:style>
  <w:style w:type="table" w:customStyle="1" w:styleId="MediumShading1-Accent1">
    <w:name w:val="Medium Shading 1 Accent 1"/>
    <w:basedOn w:val="TableNormal"/>
    <w:uiPriority w:val="63"/>
    <w:rsid w:val="0001321D"/>
    <w:tblPr>
      <w:tblStyleRowBandSize w:val="1"/>
      <w:tblStyleColBandSize w:val="1"/>
      <w:tblInd w:w="0" w:type="dxa"/>
      <w:tblBorders>
        <w:top w:val="single" w:sz="8" w:space="0" w:color="70868F"/>
        <w:left w:val="single" w:sz="8" w:space="0" w:color="70868F"/>
        <w:bottom w:val="single" w:sz="8" w:space="0" w:color="70868F"/>
        <w:right w:val="single" w:sz="8" w:space="0" w:color="70868F"/>
        <w:insideH w:val="single" w:sz="8" w:space="0" w:color="70868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0868F"/>
          <w:left w:val="single" w:sz="8" w:space="0" w:color="70868F"/>
          <w:bottom w:val="single" w:sz="8" w:space="0" w:color="70868F"/>
          <w:right w:val="single" w:sz="8" w:space="0" w:color="70868F"/>
          <w:insideH w:val="nil"/>
          <w:insideV w:val="nil"/>
        </w:tcBorders>
        <w:shd w:val="clear" w:color="auto" w:fill="4B5A60"/>
      </w:tcPr>
    </w:tblStylePr>
    <w:tblStylePr w:type="lastRow">
      <w:pPr>
        <w:spacing w:before="0" w:after="0" w:line="240" w:lineRule="auto"/>
      </w:pPr>
      <w:rPr>
        <w:b/>
        <w:bCs/>
      </w:rPr>
      <w:tblPr/>
      <w:tcPr>
        <w:tcBorders>
          <w:top w:val="double" w:sz="6" w:space="0" w:color="70868F"/>
          <w:left w:val="single" w:sz="8" w:space="0" w:color="70868F"/>
          <w:bottom w:val="single" w:sz="8" w:space="0" w:color="70868F"/>
          <w:right w:val="single" w:sz="8" w:space="0" w:color="70868F"/>
          <w:insideH w:val="nil"/>
          <w:insideV w:val="nil"/>
        </w:tcBorders>
      </w:tcPr>
    </w:tblStylePr>
    <w:tblStylePr w:type="firstCol">
      <w:rPr>
        <w:b/>
        <w:bCs/>
      </w:rPr>
    </w:tblStylePr>
    <w:tblStylePr w:type="lastCol">
      <w:rPr>
        <w:b/>
        <w:bCs/>
      </w:rPr>
    </w:tblStylePr>
    <w:tblStylePr w:type="band1Vert">
      <w:tblPr/>
      <w:tcPr>
        <w:shd w:val="clear" w:color="auto" w:fill="CFD7DA"/>
      </w:tcPr>
    </w:tblStylePr>
    <w:tblStylePr w:type="band1Horz">
      <w:tblPr/>
      <w:tcPr>
        <w:tcBorders>
          <w:insideH w:val="nil"/>
          <w:insideV w:val="nil"/>
        </w:tcBorders>
        <w:shd w:val="clear" w:color="auto" w:fill="CFD7DA"/>
      </w:tcPr>
    </w:tblStylePr>
    <w:tblStylePr w:type="band2Horz">
      <w:tblPr/>
      <w:tcPr>
        <w:tcBorders>
          <w:insideH w:val="nil"/>
          <w:insideV w:val="nil"/>
        </w:tcBorders>
      </w:tcPr>
    </w:tblStylePr>
  </w:style>
  <w:style w:type="table" w:customStyle="1" w:styleId="LightShading-Accent1">
    <w:name w:val="Light Shading Accent 1"/>
    <w:basedOn w:val="TableNormal"/>
    <w:uiPriority w:val="60"/>
    <w:rsid w:val="0001321D"/>
    <w:rPr>
      <w:color w:val="384347"/>
    </w:rPr>
    <w:tblPr>
      <w:tblStyleRowBandSize w:val="1"/>
      <w:tblStyleColBandSize w:val="1"/>
      <w:tblInd w:w="0" w:type="dxa"/>
      <w:tblBorders>
        <w:top w:val="single" w:sz="8" w:space="0" w:color="4B5A60"/>
        <w:bottom w:val="single" w:sz="8" w:space="0" w:color="4B5A6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5A60"/>
          <w:left w:val="nil"/>
          <w:bottom w:val="single" w:sz="8" w:space="0" w:color="4B5A60"/>
          <w:right w:val="nil"/>
          <w:insideH w:val="nil"/>
          <w:insideV w:val="nil"/>
        </w:tcBorders>
      </w:tcPr>
    </w:tblStylePr>
    <w:tblStylePr w:type="lastRow">
      <w:pPr>
        <w:spacing w:before="0" w:after="0" w:line="240" w:lineRule="auto"/>
      </w:pPr>
      <w:rPr>
        <w:b/>
        <w:bCs/>
      </w:rPr>
      <w:tblPr/>
      <w:tcPr>
        <w:tcBorders>
          <w:top w:val="single" w:sz="8" w:space="0" w:color="4B5A60"/>
          <w:left w:val="nil"/>
          <w:bottom w:val="single" w:sz="8" w:space="0" w:color="4B5A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7DA"/>
      </w:tcPr>
    </w:tblStylePr>
    <w:tblStylePr w:type="band1Horz">
      <w:tblPr/>
      <w:tcPr>
        <w:tcBorders>
          <w:left w:val="nil"/>
          <w:right w:val="nil"/>
          <w:insideH w:val="nil"/>
          <w:insideV w:val="nil"/>
        </w:tcBorders>
        <w:shd w:val="clear" w:color="auto" w:fill="CFD7DA"/>
      </w:tcPr>
    </w:tblStylePr>
  </w:style>
  <w:style w:type="table" w:styleId="ColorfulList-Accent4">
    <w:name w:val="Colorful List Accent 4"/>
    <w:basedOn w:val="TableNormal"/>
    <w:uiPriority w:val="72"/>
    <w:rsid w:val="009C4D30"/>
    <w:rPr>
      <w:color w:val="000000"/>
    </w:rPr>
    <w:tblPr>
      <w:tblStyleRowBandSize w:val="1"/>
      <w:tblStyleColBandSize w:val="1"/>
      <w:tblInd w:w="0" w:type="dxa"/>
      <w:tblCellMar>
        <w:top w:w="0" w:type="dxa"/>
        <w:left w:w="108" w:type="dxa"/>
        <w:bottom w:w="0" w:type="dxa"/>
        <w:right w:w="108" w:type="dxa"/>
      </w:tblCellMar>
    </w:tblPr>
    <w:tcPr>
      <w:shd w:val="clear" w:color="auto" w:fill="F9F6F1"/>
    </w:tcPr>
    <w:tblStylePr w:type="firstRow">
      <w:rPr>
        <w:b/>
        <w:bCs/>
        <w:color w:val="FFFFFF"/>
      </w:rPr>
      <w:tblPr/>
      <w:tcPr>
        <w:tcBorders>
          <w:bottom w:val="single" w:sz="12" w:space="0" w:color="FFFFFF"/>
        </w:tcBorders>
        <w:shd w:val="clear" w:color="auto" w:fill="3F372D"/>
      </w:tcPr>
    </w:tblStylePr>
    <w:tblStylePr w:type="lastRow">
      <w:rPr>
        <w:b/>
        <w:bCs/>
        <w:color w:val="3F372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ADD"/>
      </w:tcPr>
    </w:tblStylePr>
    <w:tblStylePr w:type="band1Horz">
      <w:tblPr/>
      <w:tcPr>
        <w:shd w:val="clear" w:color="auto" w:fill="F2EEE4"/>
      </w:tcPr>
    </w:tblStylePr>
  </w:style>
  <w:style w:type="table" w:styleId="ColorfulList-Accent1">
    <w:name w:val="Colorful List Accent 1"/>
    <w:basedOn w:val="TableNormal"/>
    <w:uiPriority w:val="72"/>
    <w:rsid w:val="002F1780"/>
    <w:rPr>
      <w:color w:val="000000"/>
    </w:rPr>
    <w:tblPr>
      <w:tblStyleRowBandSize w:val="1"/>
      <w:tblStyleColBandSize w:val="1"/>
      <w:tblInd w:w="0" w:type="dxa"/>
      <w:tblCellMar>
        <w:top w:w="0" w:type="dxa"/>
        <w:left w:w="108" w:type="dxa"/>
        <w:bottom w:w="0" w:type="dxa"/>
        <w:right w:w="108" w:type="dxa"/>
      </w:tblCellMar>
    </w:tblPr>
    <w:tcPr>
      <w:shd w:val="clear" w:color="auto" w:fill="ECEFF0"/>
    </w:tcPr>
    <w:tblStylePr w:type="firstRow">
      <w:rPr>
        <w:b/>
        <w:bCs/>
        <w:color w:val="FFFFFF"/>
      </w:rPr>
      <w:tblPr/>
      <w:tcPr>
        <w:tcBorders>
          <w:bottom w:val="single" w:sz="12" w:space="0" w:color="FFFFFF"/>
        </w:tcBorders>
        <w:shd w:val="clear" w:color="auto" w:fill="792A19"/>
      </w:tcPr>
    </w:tblStylePr>
    <w:tblStylePr w:type="lastRow">
      <w:rPr>
        <w:b/>
        <w:bCs/>
        <w:color w:val="792A19"/>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7DA"/>
      </w:tcPr>
    </w:tblStylePr>
    <w:tblStylePr w:type="band1Horz">
      <w:tblPr/>
      <w:tcPr>
        <w:shd w:val="clear" w:color="auto" w:fill="D8DEE1"/>
      </w:tcPr>
    </w:tblStylePr>
  </w:style>
  <w:style w:type="table" w:customStyle="1" w:styleId="ColorfulList">
    <w:name w:val="Colorful List"/>
    <w:basedOn w:val="TableNormal"/>
    <w:uiPriority w:val="72"/>
    <w:rsid w:val="002F1780"/>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792A19"/>
      </w:tcPr>
    </w:tblStylePr>
    <w:tblStylePr w:type="lastRow">
      <w:rPr>
        <w:b/>
        <w:bCs/>
        <w:color w:val="792A19"/>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A5635D"/>
    <w:pPr>
      <w:spacing w:after="160" w:line="240" w:lineRule="exact"/>
    </w:pPr>
    <w:rPr>
      <w:rFonts w:ascii="Verdana" w:eastAsia="Times New Roman" w:hAnsi="Verdana" w:cs="Calibri"/>
      <w:sz w:val="20"/>
      <w:szCs w:val="20"/>
      <w:lang w:val="en-US" w:eastAsia="ar-SA"/>
    </w:rPr>
  </w:style>
  <w:style w:type="paragraph" w:customStyle="1" w:styleId="Quadrculamitjana1mfasi21">
    <w:name w:val="Quadrícula mitjana 1: èmfasi 21"/>
    <w:basedOn w:val="Normal"/>
    <w:uiPriority w:val="34"/>
    <w:qFormat/>
    <w:rsid w:val="00A5635D"/>
    <w:pPr>
      <w:suppressAutoHyphens/>
      <w:spacing w:before="200" w:after="0" w:line="312" w:lineRule="auto"/>
      <w:ind w:left="720"/>
      <w:jc w:val="both"/>
    </w:pPr>
    <w:rPr>
      <w:rFonts w:ascii="Swis721 Lt BT" w:eastAsia="Times New Roman" w:hAnsi="Swis721 Lt BT" w:cs="Calibri"/>
      <w:sz w:val="20"/>
      <w:szCs w:val="20"/>
      <w:lang w:val="en-GB" w:eastAsia="ar-SA"/>
    </w:rPr>
  </w:style>
  <w:style w:type="table" w:styleId="MediumList2-Accent3">
    <w:name w:val="Medium List 2 Accent 3"/>
    <w:basedOn w:val="TableNormal"/>
    <w:uiPriority w:val="66"/>
    <w:rsid w:val="007F4E20"/>
    <w:rPr>
      <w:color w:val="000000"/>
    </w:rPr>
    <w:tblPr>
      <w:tblStyleRowBandSize w:val="1"/>
      <w:tblStyleColBandSize w:val="1"/>
      <w:tblInd w:w="0" w:type="dxa"/>
      <w:tblBorders>
        <w:top w:val="single" w:sz="8" w:space="0" w:color="504539"/>
        <w:left w:val="single" w:sz="8" w:space="0" w:color="504539"/>
        <w:bottom w:val="single" w:sz="8" w:space="0" w:color="504539"/>
        <w:right w:val="single" w:sz="8" w:space="0" w:color="504539"/>
      </w:tblBorders>
      <w:tblCellMar>
        <w:top w:w="0" w:type="dxa"/>
        <w:left w:w="108" w:type="dxa"/>
        <w:bottom w:w="0" w:type="dxa"/>
        <w:right w:w="108" w:type="dxa"/>
      </w:tblCellMar>
    </w:tblPr>
    <w:tblStylePr w:type="firstRow">
      <w:rPr>
        <w:sz w:val="24"/>
        <w:szCs w:val="24"/>
      </w:rPr>
      <w:tblPr/>
      <w:tcPr>
        <w:tcBorders>
          <w:top w:val="nil"/>
          <w:left w:val="nil"/>
          <w:bottom w:val="single" w:sz="24" w:space="0" w:color="504539"/>
          <w:right w:val="nil"/>
          <w:insideH w:val="nil"/>
          <w:insideV w:val="nil"/>
        </w:tcBorders>
        <w:shd w:val="clear" w:color="auto" w:fill="FFFFFF"/>
      </w:tcPr>
    </w:tblStylePr>
    <w:tblStylePr w:type="lastRow">
      <w:tblPr/>
      <w:tcPr>
        <w:tcBorders>
          <w:top w:val="single" w:sz="8" w:space="0" w:color="504539"/>
          <w:left w:val="nil"/>
          <w:bottom w:val="nil"/>
          <w:right w:val="nil"/>
          <w:insideH w:val="nil"/>
          <w:insideV w:val="nil"/>
        </w:tcBorders>
        <w:shd w:val="clear" w:color="auto" w:fill="FFFFFF"/>
      </w:tcPr>
    </w:tblStylePr>
    <w:tblStylePr w:type="firstCol">
      <w:tblPr/>
      <w:tcPr>
        <w:tcBorders>
          <w:top w:val="nil"/>
          <w:left w:val="nil"/>
          <w:bottom w:val="nil"/>
          <w:right w:val="single" w:sz="8" w:space="0" w:color="504539"/>
          <w:insideH w:val="nil"/>
          <w:insideV w:val="nil"/>
        </w:tcBorders>
        <w:shd w:val="clear" w:color="auto" w:fill="FFFFFF"/>
      </w:tcPr>
    </w:tblStylePr>
    <w:tblStylePr w:type="lastCol">
      <w:tblPr/>
      <w:tcPr>
        <w:tcBorders>
          <w:top w:val="nil"/>
          <w:left w:val="single" w:sz="8" w:space="0" w:color="50453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D1C9"/>
      </w:tcPr>
    </w:tblStylePr>
    <w:tblStylePr w:type="band1Horz">
      <w:tblPr/>
      <w:tcPr>
        <w:tcBorders>
          <w:top w:val="nil"/>
          <w:bottom w:val="nil"/>
          <w:insideH w:val="nil"/>
          <w:insideV w:val="nil"/>
        </w:tcBorders>
        <w:shd w:val="clear" w:color="auto" w:fill="D8D1C9"/>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F4E20"/>
    <w:rPr>
      <w:color w:val="000000"/>
    </w:rPr>
    <w:tblPr>
      <w:tblStyleRowBandSize w:val="1"/>
      <w:tblStyleColBandSize w:val="1"/>
      <w:tblInd w:w="0" w:type="dxa"/>
      <w:tblBorders>
        <w:top w:val="single" w:sz="8" w:space="0" w:color="4B5A60"/>
        <w:left w:val="single" w:sz="8" w:space="0" w:color="4B5A60"/>
        <w:bottom w:val="single" w:sz="8" w:space="0" w:color="4B5A60"/>
        <w:right w:val="single" w:sz="8" w:space="0" w:color="4B5A60"/>
      </w:tblBorders>
      <w:tblCellMar>
        <w:top w:w="0" w:type="dxa"/>
        <w:left w:w="108" w:type="dxa"/>
        <w:bottom w:w="0" w:type="dxa"/>
        <w:right w:w="108" w:type="dxa"/>
      </w:tblCellMar>
    </w:tblPr>
    <w:tblStylePr w:type="firstRow">
      <w:rPr>
        <w:sz w:val="24"/>
        <w:szCs w:val="24"/>
      </w:rPr>
      <w:tblPr/>
      <w:tcPr>
        <w:tcBorders>
          <w:top w:val="nil"/>
          <w:left w:val="nil"/>
          <w:bottom w:val="single" w:sz="24" w:space="0" w:color="4B5A60"/>
          <w:right w:val="nil"/>
          <w:insideH w:val="nil"/>
          <w:insideV w:val="nil"/>
        </w:tcBorders>
        <w:shd w:val="clear" w:color="auto" w:fill="FFFFFF"/>
      </w:tcPr>
    </w:tblStylePr>
    <w:tblStylePr w:type="lastRow">
      <w:tblPr/>
      <w:tcPr>
        <w:tcBorders>
          <w:top w:val="single" w:sz="8" w:space="0" w:color="4B5A60"/>
          <w:left w:val="nil"/>
          <w:bottom w:val="nil"/>
          <w:right w:val="nil"/>
          <w:insideH w:val="nil"/>
          <w:insideV w:val="nil"/>
        </w:tcBorders>
        <w:shd w:val="clear" w:color="auto" w:fill="FFFFFF"/>
      </w:tcPr>
    </w:tblStylePr>
    <w:tblStylePr w:type="firstCol">
      <w:tblPr/>
      <w:tcPr>
        <w:tcBorders>
          <w:top w:val="nil"/>
          <w:left w:val="nil"/>
          <w:bottom w:val="nil"/>
          <w:right w:val="single" w:sz="8" w:space="0" w:color="4B5A60"/>
          <w:insideH w:val="nil"/>
          <w:insideV w:val="nil"/>
        </w:tcBorders>
        <w:shd w:val="clear" w:color="auto" w:fill="FFFFFF"/>
      </w:tcPr>
    </w:tblStylePr>
    <w:tblStylePr w:type="lastCol">
      <w:tblPr/>
      <w:tcPr>
        <w:tcBorders>
          <w:top w:val="nil"/>
          <w:left w:val="single" w:sz="8" w:space="0" w:color="4B5A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FD7DA"/>
      </w:tcPr>
    </w:tblStylePr>
    <w:tblStylePr w:type="band1Horz">
      <w:tblPr/>
      <w:tcPr>
        <w:tcBorders>
          <w:top w:val="nil"/>
          <w:bottom w:val="nil"/>
          <w:insideH w:val="nil"/>
          <w:insideV w:val="nil"/>
        </w:tcBorders>
        <w:shd w:val="clear" w:color="auto" w:fill="CFD7DA"/>
      </w:tcPr>
    </w:tblStylePr>
    <w:tblStylePr w:type="nwCell">
      <w:tblPr/>
      <w:tcPr>
        <w:shd w:val="clear" w:color="auto" w:fill="FFFFFF"/>
      </w:tcPr>
    </w:tblStylePr>
    <w:tblStylePr w:type="swCell">
      <w:tblPr/>
      <w:tcPr>
        <w:tcBorders>
          <w:top w:val="nil"/>
        </w:tcBorders>
      </w:tcPr>
    </w:tblStylePr>
  </w:style>
  <w:style w:type="character" w:customStyle="1" w:styleId="st1">
    <w:name w:val="st1"/>
    <w:basedOn w:val="DefaultParagraphFont"/>
    <w:rsid w:val="00EF16E1"/>
  </w:style>
  <w:style w:type="paragraph" w:styleId="BodyText">
    <w:name w:val="Body Text"/>
    <w:basedOn w:val="Normal"/>
    <w:link w:val="BodyTextChar"/>
    <w:uiPriority w:val="99"/>
    <w:unhideWhenUsed/>
    <w:rsid w:val="008B456F"/>
    <w:pPr>
      <w:spacing w:after="120"/>
    </w:pPr>
    <w:rPr>
      <w:lang w:val="en-GB"/>
    </w:rPr>
  </w:style>
  <w:style w:type="character" w:customStyle="1" w:styleId="BodyTextChar">
    <w:name w:val="Body Text Char"/>
    <w:link w:val="BodyText"/>
    <w:uiPriority w:val="99"/>
    <w:rsid w:val="008B456F"/>
    <w:rPr>
      <w:lang w:val="en-GB"/>
    </w:rPr>
  </w:style>
  <w:style w:type="table" w:styleId="LightShading-Accent3">
    <w:name w:val="Light Shading Accent 3"/>
    <w:basedOn w:val="TableNormal"/>
    <w:uiPriority w:val="60"/>
    <w:rsid w:val="00755E63"/>
    <w:rPr>
      <w:color w:val="3B332A"/>
    </w:rPr>
    <w:tblPr>
      <w:tblStyleRowBandSize w:val="1"/>
      <w:tblStyleColBandSize w:val="1"/>
      <w:tblInd w:w="0" w:type="dxa"/>
      <w:tblBorders>
        <w:top w:val="single" w:sz="8" w:space="0" w:color="504539"/>
        <w:bottom w:val="single" w:sz="8" w:space="0" w:color="50453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04539"/>
          <w:left w:val="nil"/>
          <w:bottom w:val="single" w:sz="8" w:space="0" w:color="504539"/>
          <w:right w:val="nil"/>
          <w:insideH w:val="nil"/>
          <w:insideV w:val="nil"/>
        </w:tcBorders>
      </w:tcPr>
    </w:tblStylePr>
    <w:tblStylePr w:type="lastRow">
      <w:pPr>
        <w:spacing w:before="0" w:after="0" w:line="240" w:lineRule="auto"/>
      </w:pPr>
      <w:rPr>
        <w:b/>
        <w:bCs/>
      </w:rPr>
      <w:tblPr/>
      <w:tcPr>
        <w:tcBorders>
          <w:top w:val="single" w:sz="8" w:space="0" w:color="504539"/>
          <w:left w:val="nil"/>
          <w:bottom w:val="single" w:sz="8" w:space="0" w:color="50453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1C9"/>
      </w:tcPr>
    </w:tblStylePr>
    <w:tblStylePr w:type="band1Horz">
      <w:tblPr/>
      <w:tcPr>
        <w:tcBorders>
          <w:left w:val="nil"/>
          <w:right w:val="nil"/>
          <w:insideH w:val="nil"/>
          <w:insideV w:val="nil"/>
        </w:tcBorders>
        <w:shd w:val="clear" w:color="auto" w:fill="D8D1C9"/>
      </w:tcPr>
    </w:tblStylePr>
  </w:style>
</w:styles>
</file>

<file path=word/webSettings.xml><?xml version="1.0" encoding="utf-8"?>
<w:webSettings xmlns:r="http://schemas.openxmlformats.org/officeDocument/2006/relationships" xmlns:w="http://schemas.openxmlformats.org/wordprocessingml/2006/main">
  <w:divs>
    <w:div w:id="14235990">
      <w:bodyDiv w:val="1"/>
      <w:marLeft w:val="0"/>
      <w:marRight w:val="0"/>
      <w:marTop w:val="0"/>
      <w:marBottom w:val="0"/>
      <w:divBdr>
        <w:top w:val="none" w:sz="0" w:space="0" w:color="auto"/>
        <w:left w:val="none" w:sz="0" w:space="0" w:color="auto"/>
        <w:bottom w:val="none" w:sz="0" w:space="0" w:color="auto"/>
        <w:right w:val="none" w:sz="0" w:space="0" w:color="auto"/>
      </w:divBdr>
      <w:divsChild>
        <w:div w:id="11303197">
          <w:marLeft w:val="965"/>
          <w:marRight w:val="0"/>
          <w:marTop w:val="77"/>
          <w:marBottom w:val="0"/>
          <w:divBdr>
            <w:top w:val="none" w:sz="0" w:space="0" w:color="auto"/>
            <w:left w:val="none" w:sz="0" w:space="0" w:color="auto"/>
            <w:bottom w:val="none" w:sz="0" w:space="0" w:color="auto"/>
            <w:right w:val="none" w:sz="0" w:space="0" w:color="auto"/>
          </w:divBdr>
        </w:div>
      </w:divsChild>
    </w:div>
    <w:div w:id="37559209">
      <w:bodyDiv w:val="1"/>
      <w:marLeft w:val="0"/>
      <w:marRight w:val="0"/>
      <w:marTop w:val="0"/>
      <w:marBottom w:val="0"/>
      <w:divBdr>
        <w:top w:val="none" w:sz="0" w:space="0" w:color="auto"/>
        <w:left w:val="none" w:sz="0" w:space="0" w:color="auto"/>
        <w:bottom w:val="none" w:sz="0" w:space="0" w:color="auto"/>
        <w:right w:val="none" w:sz="0" w:space="0" w:color="auto"/>
      </w:divBdr>
      <w:divsChild>
        <w:div w:id="756094957">
          <w:marLeft w:val="0"/>
          <w:marRight w:val="0"/>
          <w:marTop w:val="0"/>
          <w:marBottom w:val="0"/>
          <w:divBdr>
            <w:top w:val="none" w:sz="0" w:space="0" w:color="auto"/>
            <w:left w:val="none" w:sz="0" w:space="0" w:color="auto"/>
            <w:bottom w:val="none" w:sz="0" w:space="0" w:color="auto"/>
            <w:right w:val="none" w:sz="0" w:space="0" w:color="auto"/>
          </w:divBdr>
        </w:div>
        <w:div w:id="1621108222">
          <w:marLeft w:val="0"/>
          <w:marRight w:val="0"/>
          <w:marTop w:val="0"/>
          <w:marBottom w:val="0"/>
          <w:divBdr>
            <w:top w:val="none" w:sz="0" w:space="0" w:color="auto"/>
            <w:left w:val="none" w:sz="0" w:space="0" w:color="auto"/>
            <w:bottom w:val="none" w:sz="0" w:space="0" w:color="auto"/>
            <w:right w:val="none" w:sz="0" w:space="0" w:color="auto"/>
          </w:divBdr>
        </w:div>
      </w:divsChild>
    </w:div>
    <w:div w:id="67072016">
      <w:bodyDiv w:val="1"/>
      <w:marLeft w:val="0"/>
      <w:marRight w:val="0"/>
      <w:marTop w:val="0"/>
      <w:marBottom w:val="0"/>
      <w:divBdr>
        <w:top w:val="none" w:sz="0" w:space="0" w:color="auto"/>
        <w:left w:val="none" w:sz="0" w:space="0" w:color="auto"/>
        <w:bottom w:val="none" w:sz="0" w:space="0" w:color="auto"/>
        <w:right w:val="none" w:sz="0" w:space="0" w:color="auto"/>
      </w:divBdr>
    </w:div>
    <w:div w:id="76364396">
      <w:bodyDiv w:val="1"/>
      <w:marLeft w:val="0"/>
      <w:marRight w:val="0"/>
      <w:marTop w:val="0"/>
      <w:marBottom w:val="0"/>
      <w:divBdr>
        <w:top w:val="none" w:sz="0" w:space="0" w:color="auto"/>
        <w:left w:val="none" w:sz="0" w:space="0" w:color="auto"/>
        <w:bottom w:val="none" w:sz="0" w:space="0" w:color="auto"/>
        <w:right w:val="none" w:sz="0" w:space="0" w:color="auto"/>
      </w:divBdr>
    </w:div>
    <w:div w:id="102306508">
      <w:bodyDiv w:val="1"/>
      <w:marLeft w:val="0"/>
      <w:marRight w:val="0"/>
      <w:marTop w:val="0"/>
      <w:marBottom w:val="0"/>
      <w:divBdr>
        <w:top w:val="none" w:sz="0" w:space="0" w:color="auto"/>
        <w:left w:val="none" w:sz="0" w:space="0" w:color="auto"/>
        <w:bottom w:val="none" w:sz="0" w:space="0" w:color="auto"/>
        <w:right w:val="none" w:sz="0" w:space="0" w:color="auto"/>
      </w:divBdr>
    </w:div>
    <w:div w:id="111827451">
      <w:bodyDiv w:val="1"/>
      <w:marLeft w:val="0"/>
      <w:marRight w:val="0"/>
      <w:marTop w:val="0"/>
      <w:marBottom w:val="0"/>
      <w:divBdr>
        <w:top w:val="none" w:sz="0" w:space="0" w:color="auto"/>
        <w:left w:val="none" w:sz="0" w:space="0" w:color="auto"/>
        <w:bottom w:val="none" w:sz="0" w:space="0" w:color="auto"/>
        <w:right w:val="none" w:sz="0" w:space="0" w:color="auto"/>
      </w:divBdr>
    </w:div>
    <w:div w:id="119543335">
      <w:bodyDiv w:val="1"/>
      <w:marLeft w:val="0"/>
      <w:marRight w:val="0"/>
      <w:marTop w:val="0"/>
      <w:marBottom w:val="0"/>
      <w:divBdr>
        <w:top w:val="none" w:sz="0" w:space="0" w:color="auto"/>
        <w:left w:val="none" w:sz="0" w:space="0" w:color="auto"/>
        <w:bottom w:val="none" w:sz="0" w:space="0" w:color="auto"/>
        <w:right w:val="none" w:sz="0" w:space="0" w:color="auto"/>
      </w:divBdr>
      <w:divsChild>
        <w:div w:id="154031258">
          <w:marLeft w:val="0"/>
          <w:marRight w:val="0"/>
          <w:marTop w:val="0"/>
          <w:marBottom w:val="0"/>
          <w:divBdr>
            <w:top w:val="none" w:sz="0" w:space="0" w:color="auto"/>
            <w:left w:val="none" w:sz="0" w:space="0" w:color="auto"/>
            <w:bottom w:val="none" w:sz="0" w:space="0" w:color="auto"/>
            <w:right w:val="none" w:sz="0" w:space="0" w:color="auto"/>
          </w:divBdr>
        </w:div>
        <w:div w:id="282277013">
          <w:marLeft w:val="0"/>
          <w:marRight w:val="0"/>
          <w:marTop w:val="0"/>
          <w:marBottom w:val="0"/>
          <w:divBdr>
            <w:top w:val="none" w:sz="0" w:space="0" w:color="auto"/>
            <w:left w:val="none" w:sz="0" w:space="0" w:color="auto"/>
            <w:bottom w:val="none" w:sz="0" w:space="0" w:color="auto"/>
            <w:right w:val="none" w:sz="0" w:space="0" w:color="auto"/>
          </w:divBdr>
        </w:div>
        <w:div w:id="677929069">
          <w:marLeft w:val="0"/>
          <w:marRight w:val="0"/>
          <w:marTop w:val="0"/>
          <w:marBottom w:val="0"/>
          <w:divBdr>
            <w:top w:val="none" w:sz="0" w:space="0" w:color="auto"/>
            <w:left w:val="none" w:sz="0" w:space="0" w:color="auto"/>
            <w:bottom w:val="none" w:sz="0" w:space="0" w:color="auto"/>
            <w:right w:val="none" w:sz="0" w:space="0" w:color="auto"/>
          </w:divBdr>
        </w:div>
        <w:div w:id="778912938">
          <w:marLeft w:val="0"/>
          <w:marRight w:val="0"/>
          <w:marTop w:val="0"/>
          <w:marBottom w:val="0"/>
          <w:divBdr>
            <w:top w:val="none" w:sz="0" w:space="0" w:color="auto"/>
            <w:left w:val="none" w:sz="0" w:space="0" w:color="auto"/>
            <w:bottom w:val="none" w:sz="0" w:space="0" w:color="auto"/>
            <w:right w:val="none" w:sz="0" w:space="0" w:color="auto"/>
          </w:divBdr>
        </w:div>
        <w:div w:id="1013610856">
          <w:marLeft w:val="0"/>
          <w:marRight w:val="0"/>
          <w:marTop w:val="0"/>
          <w:marBottom w:val="0"/>
          <w:divBdr>
            <w:top w:val="none" w:sz="0" w:space="0" w:color="auto"/>
            <w:left w:val="none" w:sz="0" w:space="0" w:color="auto"/>
            <w:bottom w:val="none" w:sz="0" w:space="0" w:color="auto"/>
            <w:right w:val="none" w:sz="0" w:space="0" w:color="auto"/>
          </w:divBdr>
        </w:div>
        <w:div w:id="1023824325">
          <w:marLeft w:val="0"/>
          <w:marRight w:val="0"/>
          <w:marTop w:val="0"/>
          <w:marBottom w:val="0"/>
          <w:divBdr>
            <w:top w:val="none" w:sz="0" w:space="0" w:color="auto"/>
            <w:left w:val="none" w:sz="0" w:space="0" w:color="auto"/>
            <w:bottom w:val="none" w:sz="0" w:space="0" w:color="auto"/>
            <w:right w:val="none" w:sz="0" w:space="0" w:color="auto"/>
          </w:divBdr>
        </w:div>
        <w:div w:id="1145197988">
          <w:marLeft w:val="0"/>
          <w:marRight w:val="0"/>
          <w:marTop w:val="0"/>
          <w:marBottom w:val="0"/>
          <w:divBdr>
            <w:top w:val="none" w:sz="0" w:space="0" w:color="auto"/>
            <w:left w:val="none" w:sz="0" w:space="0" w:color="auto"/>
            <w:bottom w:val="none" w:sz="0" w:space="0" w:color="auto"/>
            <w:right w:val="none" w:sz="0" w:space="0" w:color="auto"/>
          </w:divBdr>
        </w:div>
        <w:div w:id="1558931114">
          <w:marLeft w:val="0"/>
          <w:marRight w:val="0"/>
          <w:marTop w:val="0"/>
          <w:marBottom w:val="0"/>
          <w:divBdr>
            <w:top w:val="none" w:sz="0" w:space="0" w:color="auto"/>
            <w:left w:val="none" w:sz="0" w:space="0" w:color="auto"/>
            <w:bottom w:val="none" w:sz="0" w:space="0" w:color="auto"/>
            <w:right w:val="none" w:sz="0" w:space="0" w:color="auto"/>
          </w:divBdr>
        </w:div>
        <w:div w:id="1662007775">
          <w:marLeft w:val="0"/>
          <w:marRight w:val="0"/>
          <w:marTop w:val="0"/>
          <w:marBottom w:val="0"/>
          <w:divBdr>
            <w:top w:val="none" w:sz="0" w:space="0" w:color="auto"/>
            <w:left w:val="none" w:sz="0" w:space="0" w:color="auto"/>
            <w:bottom w:val="none" w:sz="0" w:space="0" w:color="auto"/>
            <w:right w:val="none" w:sz="0" w:space="0" w:color="auto"/>
          </w:divBdr>
        </w:div>
      </w:divsChild>
    </w:div>
    <w:div w:id="132480446">
      <w:bodyDiv w:val="1"/>
      <w:marLeft w:val="0"/>
      <w:marRight w:val="0"/>
      <w:marTop w:val="0"/>
      <w:marBottom w:val="0"/>
      <w:divBdr>
        <w:top w:val="none" w:sz="0" w:space="0" w:color="auto"/>
        <w:left w:val="none" w:sz="0" w:space="0" w:color="auto"/>
        <w:bottom w:val="none" w:sz="0" w:space="0" w:color="auto"/>
        <w:right w:val="none" w:sz="0" w:space="0" w:color="auto"/>
      </w:divBdr>
    </w:div>
    <w:div w:id="142620546">
      <w:bodyDiv w:val="1"/>
      <w:marLeft w:val="0"/>
      <w:marRight w:val="0"/>
      <w:marTop w:val="0"/>
      <w:marBottom w:val="0"/>
      <w:divBdr>
        <w:top w:val="none" w:sz="0" w:space="0" w:color="auto"/>
        <w:left w:val="none" w:sz="0" w:space="0" w:color="auto"/>
        <w:bottom w:val="none" w:sz="0" w:space="0" w:color="auto"/>
        <w:right w:val="none" w:sz="0" w:space="0" w:color="auto"/>
      </w:divBdr>
    </w:div>
    <w:div w:id="156651303">
      <w:bodyDiv w:val="1"/>
      <w:marLeft w:val="0"/>
      <w:marRight w:val="0"/>
      <w:marTop w:val="0"/>
      <w:marBottom w:val="0"/>
      <w:divBdr>
        <w:top w:val="none" w:sz="0" w:space="0" w:color="auto"/>
        <w:left w:val="none" w:sz="0" w:space="0" w:color="auto"/>
        <w:bottom w:val="none" w:sz="0" w:space="0" w:color="auto"/>
        <w:right w:val="none" w:sz="0" w:space="0" w:color="auto"/>
      </w:divBdr>
    </w:div>
    <w:div w:id="174537219">
      <w:bodyDiv w:val="1"/>
      <w:marLeft w:val="0"/>
      <w:marRight w:val="0"/>
      <w:marTop w:val="0"/>
      <w:marBottom w:val="0"/>
      <w:divBdr>
        <w:top w:val="none" w:sz="0" w:space="0" w:color="auto"/>
        <w:left w:val="none" w:sz="0" w:space="0" w:color="auto"/>
        <w:bottom w:val="none" w:sz="0" w:space="0" w:color="auto"/>
        <w:right w:val="none" w:sz="0" w:space="0" w:color="auto"/>
      </w:divBdr>
    </w:div>
    <w:div w:id="179323171">
      <w:bodyDiv w:val="1"/>
      <w:marLeft w:val="0"/>
      <w:marRight w:val="0"/>
      <w:marTop w:val="0"/>
      <w:marBottom w:val="0"/>
      <w:divBdr>
        <w:top w:val="none" w:sz="0" w:space="0" w:color="auto"/>
        <w:left w:val="none" w:sz="0" w:space="0" w:color="auto"/>
        <w:bottom w:val="none" w:sz="0" w:space="0" w:color="auto"/>
        <w:right w:val="none" w:sz="0" w:space="0" w:color="auto"/>
      </w:divBdr>
      <w:divsChild>
        <w:div w:id="195234617">
          <w:marLeft w:val="864"/>
          <w:marRight w:val="0"/>
          <w:marTop w:val="240"/>
          <w:marBottom w:val="0"/>
          <w:divBdr>
            <w:top w:val="none" w:sz="0" w:space="0" w:color="auto"/>
            <w:left w:val="none" w:sz="0" w:space="0" w:color="auto"/>
            <w:bottom w:val="none" w:sz="0" w:space="0" w:color="auto"/>
            <w:right w:val="none" w:sz="0" w:space="0" w:color="auto"/>
          </w:divBdr>
        </w:div>
        <w:div w:id="216867321">
          <w:marLeft w:val="864"/>
          <w:marRight w:val="0"/>
          <w:marTop w:val="240"/>
          <w:marBottom w:val="0"/>
          <w:divBdr>
            <w:top w:val="none" w:sz="0" w:space="0" w:color="auto"/>
            <w:left w:val="none" w:sz="0" w:space="0" w:color="auto"/>
            <w:bottom w:val="none" w:sz="0" w:space="0" w:color="auto"/>
            <w:right w:val="none" w:sz="0" w:space="0" w:color="auto"/>
          </w:divBdr>
        </w:div>
        <w:div w:id="574783387">
          <w:marLeft w:val="864"/>
          <w:marRight w:val="0"/>
          <w:marTop w:val="240"/>
          <w:marBottom w:val="0"/>
          <w:divBdr>
            <w:top w:val="none" w:sz="0" w:space="0" w:color="auto"/>
            <w:left w:val="none" w:sz="0" w:space="0" w:color="auto"/>
            <w:bottom w:val="none" w:sz="0" w:space="0" w:color="auto"/>
            <w:right w:val="none" w:sz="0" w:space="0" w:color="auto"/>
          </w:divBdr>
        </w:div>
        <w:div w:id="805660603">
          <w:marLeft w:val="864"/>
          <w:marRight w:val="0"/>
          <w:marTop w:val="240"/>
          <w:marBottom w:val="0"/>
          <w:divBdr>
            <w:top w:val="none" w:sz="0" w:space="0" w:color="auto"/>
            <w:left w:val="none" w:sz="0" w:space="0" w:color="auto"/>
            <w:bottom w:val="none" w:sz="0" w:space="0" w:color="auto"/>
            <w:right w:val="none" w:sz="0" w:space="0" w:color="auto"/>
          </w:divBdr>
        </w:div>
        <w:div w:id="914827630">
          <w:marLeft w:val="864"/>
          <w:marRight w:val="0"/>
          <w:marTop w:val="240"/>
          <w:marBottom w:val="0"/>
          <w:divBdr>
            <w:top w:val="none" w:sz="0" w:space="0" w:color="auto"/>
            <w:left w:val="none" w:sz="0" w:space="0" w:color="auto"/>
            <w:bottom w:val="none" w:sz="0" w:space="0" w:color="auto"/>
            <w:right w:val="none" w:sz="0" w:space="0" w:color="auto"/>
          </w:divBdr>
        </w:div>
        <w:div w:id="1110197755">
          <w:marLeft w:val="864"/>
          <w:marRight w:val="0"/>
          <w:marTop w:val="240"/>
          <w:marBottom w:val="0"/>
          <w:divBdr>
            <w:top w:val="none" w:sz="0" w:space="0" w:color="auto"/>
            <w:left w:val="none" w:sz="0" w:space="0" w:color="auto"/>
            <w:bottom w:val="none" w:sz="0" w:space="0" w:color="auto"/>
            <w:right w:val="none" w:sz="0" w:space="0" w:color="auto"/>
          </w:divBdr>
        </w:div>
      </w:divsChild>
    </w:div>
    <w:div w:id="259720718">
      <w:bodyDiv w:val="1"/>
      <w:marLeft w:val="0"/>
      <w:marRight w:val="0"/>
      <w:marTop w:val="0"/>
      <w:marBottom w:val="0"/>
      <w:divBdr>
        <w:top w:val="none" w:sz="0" w:space="0" w:color="auto"/>
        <w:left w:val="none" w:sz="0" w:space="0" w:color="auto"/>
        <w:bottom w:val="none" w:sz="0" w:space="0" w:color="auto"/>
        <w:right w:val="none" w:sz="0" w:space="0" w:color="auto"/>
      </w:divBdr>
    </w:div>
    <w:div w:id="271716769">
      <w:bodyDiv w:val="1"/>
      <w:marLeft w:val="0"/>
      <w:marRight w:val="0"/>
      <w:marTop w:val="0"/>
      <w:marBottom w:val="0"/>
      <w:divBdr>
        <w:top w:val="none" w:sz="0" w:space="0" w:color="auto"/>
        <w:left w:val="none" w:sz="0" w:space="0" w:color="auto"/>
        <w:bottom w:val="none" w:sz="0" w:space="0" w:color="auto"/>
        <w:right w:val="none" w:sz="0" w:space="0" w:color="auto"/>
      </w:divBdr>
    </w:div>
    <w:div w:id="275992650">
      <w:bodyDiv w:val="1"/>
      <w:marLeft w:val="0"/>
      <w:marRight w:val="0"/>
      <w:marTop w:val="0"/>
      <w:marBottom w:val="0"/>
      <w:divBdr>
        <w:top w:val="none" w:sz="0" w:space="0" w:color="auto"/>
        <w:left w:val="none" w:sz="0" w:space="0" w:color="auto"/>
        <w:bottom w:val="none" w:sz="0" w:space="0" w:color="auto"/>
        <w:right w:val="none" w:sz="0" w:space="0" w:color="auto"/>
      </w:divBdr>
      <w:divsChild>
        <w:div w:id="173804585">
          <w:marLeft w:val="0"/>
          <w:marRight w:val="0"/>
          <w:marTop w:val="0"/>
          <w:marBottom w:val="0"/>
          <w:divBdr>
            <w:top w:val="none" w:sz="0" w:space="0" w:color="auto"/>
            <w:left w:val="none" w:sz="0" w:space="0" w:color="auto"/>
            <w:bottom w:val="none" w:sz="0" w:space="0" w:color="auto"/>
            <w:right w:val="none" w:sz="0" w:space="0" w:color="auto"/>
          </w:divBdr>
        </w:div>
        <w:div w:id="651717730">
          <w:marLeft w:val="0"/>
          <w:marRight w:val="0"/>
          <w:marTop w:val="0"/>
          <w:marBottom w:val="0"/>
          <w:divBdr>
            <w:top w:val="none" w:sz="0" w:space="0" w:color="auto"/>
            <w:left w:val="none" w:sz="0" w:space="0" w:color="auto"/>
            <w:bottom w:val="none" w:sz="0" w:space="0" w:color="auto"/>
            <w:right w:val="none" w:sz="0" w:space="0" w:color="auto"/>
          </w:divBdr>
        </w:div>
      </w:divsChild>
    </w:div>
    <w:div w:id="293407958">
      <w:bodyDiv w:val="1"/>
      <w:marLeft w:val="0"/>
      <w:marRight w:val="0"/>
      <w:marTop w:val="0"/>
      <w:marBottom w:val="0"/>
      <w:divBdr>
        <w:top w:val="none" w:sz="0" w:space="0" w:color="auto"/>
        <w:left w:val="none" w:sz="0" w:space="0" w:color="auto"/>
        <w:bottom w:val="none" w:sz="0" w:space="0" w:color="auto"/>
        <w:right w:val="none" w:sz="0" w:space="0" w:color="auto"/>
      </w:divBdr>
      <w:divsChild>
        <w:div w:id="1376656953">
          <w:marLeft w:val="418"/>
          <w:marRight w:val="0"/>
          <w:marTop w:val="120"/>
          <w:marBottom w:val="0"/>
          <w:divBdr>
            <w:top w:val="none" w:sz="0" w:space="0" w:color="auto"/>
            <w:left w:val="none" w:sz="0" w:space="0" w:color="auto"/>
            <w:bottom w:val="none" w:sz="0" w:space="0" w:color="auto"/>
            <w:right w:val="none" w:sz="0" w:space="0" w:color="auto"/>
          </w:divBdr>
        </w:div>
      </w:divsChild>
    </w:div>
    <w:div w:id="330528100">
      <w:bodyDiv w:val="1"/>
      <w:marLeft w:val="0"/>
      <w:marRight w:val="0"/>
      <w:marTop w:val="0"/>
      <w:marBottom w:val="0"/>
      <w:divBdr>
        <w:top w:val="none" w:sz="0" w:space="0" w:color="auto"/>
        <w:left w:val="none" w:sz="0" w:space="0" w:color="auto"/>
        <w:bottom w:val="none" w:sz="0" w:space="0" w:color="auto"/>
        <w:right w:val="none" w:sz="0" w:space="0" w:color="auto"/>
      </w:divBdr>
    </w:div>
    <w:div w:id="345837490">
      <w:bodyDiv w:val="1"/>
      <w:marLeft w:val="0"/>
      <w:marRight w:val="0"/>
      <w:marTop w:val="0"/>
      <w:marBottom w:val="0"/>
      <w:divBdr>
        <w:top w:val="none" w:sz="0" w:space="0" w:color="auto"/>
        <w:left w:val="none" w:sz="0" w:space="0" w:color="auto"/>
        <w:bottom w:val="none" w:sz="0" w:space="0" w:color="auto"/>
        <w:right w:val="none" w:sz="0" w:space="0" w:color="auto"/>
      </w:divBdr>
    </w:div>
    <w:div w:id="352851507">
      <w:bodyDiv w:val="1"/>
      <w:marLeft w:val="0"/>
      <w:marRight w:val="0"/>
      <w:marTop w:val="0"/>
      <w:marBottom w:val="0"/>
      <w:divBdr>
        <w:top w:val="none" w:sz="0" w:space="0" w:color="auto"/>
        <w:left w:val="none" w:sz="0" w:space="0" w:color="auto"/>
        <w:bottom w:val="none" w:sz="0" w:space="0" w:color="auto"/>
        <w:right w:val="none" w:sz="0" w:space="0" w:color="auto"/>
      </w:divBdr>
      <w:divsChild>
        <w:div w:id="290210067">
          <w:marLeft w:val="547"/>
          <w:marRight w:val="0"/>
          <w:marTop w:val="0"/>
          <w:marBottom w:val="0"/>
          <w:divBdr>
            <w:top w:val="none" w:sz="0" w:space="0" w:color="auto"/>
            <w:left w:val="none" w:sz="0" w:space="0" w:color="auto"/>
            <w:bottom w:val="none" w:sz="0" w:space="0" w:color="auto"/>
            <w:right w:val="none" w:sz="0" w:space="0" w:color="auto"/>
          </w:divBdr>
        </w:div>
      </w:divsChild>
    </w:div>
    <w:div w:id="361588360">
      <w:bodyDiv w:val="1"/>
      <w:marLeft w:val="0"/>
      <w:marRight w:val="0"/>
      <w:marTop w:val="0"/>
      <w:marBottom w:val="0"/>
      <w:divBdr>
        <w:top w:val="none" w:sz="0" w:space="0" w:color="auto"/>
        <w:left w:val="none" w:sz="0" w:space="0" w:color="auto"/>
        <w:bottom w:val="none" w:sz="0" w:space="0" w:color="auto"/>
        <w:right w:val="none" w:sz="0" w:space="0" w:color="auto"/>
      </w:divBdr>
      <w:divsChild>
        <w:div w:id="391343836">
          <w:marLeft w:val="965"/>
          <w:marRight w:val="0"/>
          <w:marTop w:val="77"/>
          <w:marBottom w:val="0"/>
          <w:divBdr>
            <w:top w:val="none" w:sz="0" w:space="0" w:color="auto"/>
            <w:left w:val="none" w:sz="0" w:space="0" w:color="auto"/>
            <w:bottom w:val="none" w:sz="0" w:space="0" w:color="auto"/>
            <w:right w:val="none" w:sz="0" w:space="0" w:color="auto"/>
          </w:divBdr>
        </w:div>
      </w:divsChild>
    </w:div>
    <w:div w:id="361635703">
      <w:bodyDiv w:val="1"/>
      <w:marLeft w:val="0"/>
      <w:marRight w:val="0"/>
      <w:marTop w:val="0"/>
      <w:marBottom w:val="0"/>
      <w:divBdr>
        <w:top w:val="none" w:sz="0" w:space="0" w:color="auto"/>
        <w:left w:val="none" w:sz="0" w:space="0" w:color="auto"/>
        <w:bottom w:val="none" w:sz="0" w:space="0" w:color="auto"/>
        <w:right w:val="none" w:sz="0" w:space="0" w:color="auto"/>
      </w:divBdr>
      <w:divsChild>
        <w:div w:id="184901192">
          <w:marLeft w:val="0"/>
          <w:marRight w:val="0"/>
          <w:marTop w:val="0"/>
          <w:marBottom w:val="0"/>
          <w:divBdr>
            <w:top w:val="none" w:sz="0" w:space="0" w:color="auto"/>
            <w:left w:val="none" w:sz="0" w:space="0" w:color="auto"/>
            <w:bottom w:val="none" w:sz="0" w:space="0" w:color="auto"/>
            <w:right w:val="none" w:sz="0" w:space="0" w:color="auto"/>
          </w:divBdr>
        </w:div>
        <w:div w:id="198713273">
          <w:marLeft w:val="0"/>
          <w:marRight w:val="0"/>
          <w:marTop w:val="0"/>
          <w:marBottom w:val="0"/>
          <w:divBdr>
            <w:top w:val="none" w:sz="0" w:space="0" w:color="auto"/>
            <w:left w:val="none" w:sz="0" w:space="0" w:color="auto"/>
            <w:bottom w:val="none" w:sz="0" w:space="0" w:color="auto"/>
            <w:right w:val="none" w:sz="0" w:space="0" w:color="auto"/>
          </w:divBdr>
        </w:div>
        <w:div w:id="212540670">
          <w:marLeft w:val="0"/>
          <w:marRight w:val="0"/>
          <w:marTop w:val="0"/>
          <w:marBottom w:val="0"/>
          <w:divBdr>
            <w:top w:val="none" w:sz="0" w:space="0" w:color="auto"/>
            <w:left w:val="none" w:sz="0" w:space="0" w:color="auto"/>
            <w:bottom w:val="none" w:sz="0" w:space="0" w:color="auto"/>
            <w:right w:val="none" w:sz="0" w:space="0" w:color="auto"/>
          </w:divBdr>
        </w:div>
        <w:div w:id="251548240">
          <w:marLeft w:val="0"/>
          <w:marRight w:val="0"/>
          <w:marTop w:val="0"/>
          <w:marBottom w:val="0"/>
          <w:divBdr>
            <w:top w:val="none" w:sz="0" w:space="0" w:color="auto"/>
            <w:left w:val="none" w:sz="0" w:space="0" w:color="auto"/>
            <w:bottom w:val="none" w:sz="0" w:space="0" w:color="auto"/>
            <w:right w:val="none" w:sz="0" w:space="0" w:color="auto"/>
          </w:divBdr>
        </w:div>
        <w:div w:id="561212792">
          <w:marLeft w:val="0"/>
          <w:marRight w:val="0"/>
          <w:marTop w:val="0"/>
          <w:marBottom w:val="0"/>
          <w:divBdr>
            <w:top w:val="none" w:sz="0" w:space="0" w:color="auto"/>
            <w:left w:val="none" w:sz="0" w:space="0" w:color="auto"/>
            <w:bottom w:val="none" w:sz="0" w:space="0" w:color="auto"/>
            <w:right w:val="none" w:sz="0" w:space="0" w:color="auto"/>
          </w:divBdr>
        </w:div>
        <w:div w:id="1206404384">
          <w:marLeft w:val="0"/>
          <w:marRight w:val="0"/>
          <w:marTop w:val="0"/>
          <w:marBottom w:val="0"/>
          <w:divBdr>
            <w:top w:val="none" w:sz="0" w:space="0" w:color="auto"/>
            <w:left w:val="none" w:sz="0" w:space="0" w:color="auto"/>
            <w:bottom w:val="none" w:sz="0" w:space="0" w:color="auto"/>
            <w:right w:val="none" w:sz="0" w:space="0" w:color="auto"/>
          </w:divBdr>
        </w:div>
        <w:div w:id="1207908322">
          <w:marLeft w:val="0"/>
          <w:marRight w:val="0"/>
          <w:marTop w:val="0"/>
          <w:marBottom w:val="0"/>
          <w:divBdr>
            <w:top w:val="none" w:sz="0" w:space="0" w:color="auto"/>
            <w:left w:val="none" w:sz="0" w:space="0" w:color="auto"/>
            <w:bottom w:val="none" w:sz="0" w:space="0" w:color="auto"/>
            <w:right w:val="none" w:sz="0" w:space="0" w:color="auto"/>
          </w:divBdr>
        </w:div>
        <w:div w:id="1555316448">
          <w:marLeft w:val="0"/>
          <w:marRight w:val="0"/>
          <w:marTop w:val="0"/>
          <w:marBottom w:val="0"/>
          <w:divBdr>
            <w:top w:val="none" w:sz="0" w:space="0" w:color="auto"/>
            <w:left w:val="none" w:sz="0" w:space="0" w:color="auto"/>
            <w:bottom w:val="none" w:sz="0" w:space="0" w:color="auto"/>
            <w:right w:val="none" w:sz="0" w:space="0" w:color="auto"/>
          </w:divBdr>
        </w:div>
        <w:div w:id="1927106335">
          <w:marLeft w:val="0"/>
          <w:marRight w:val="0"/>
          <w:marTop w:val="0"/>
          <w:marBottom w:val="0"/>
          <w:divBdr>
            <w:top w:val="none" w:sz="0" w:space="0" w:color="auto"/>
            <w:left w:val="none" w:sz="0" w:space="0" w:color="auto"/>
            <w:bottom w:val="none" w:sz="0" w:space="0" w:color="auto"/>
            <w:right w:val="none" w:sz="0" w:space="0" w:color="auto"/>
          </w:divBdr>
        </w:div>
        <w:div w:id="2111316024">
          <w:marLeft w:val="0"/>
          <w:marRight w:val="0"/>
          <w:marTop w:val="0"/>
          <w:marBottom w:val="0"/>
          <w:divBdr>
            <w:top w:val="none" w:sz="0" w:space="0" w:color="auto"/>
            <w:left w:val="none" w:sz="0" w:space="0" w:color="auto"/>
            <w:bottom w:val="none" w:sz="0" w:space="0" w:color="auto"/>
            <w:right w:val="none" w:sz="0" w:space="0" w:color="auto"/>
          </w:divBdr>
        </w:div>
        <w:div w:id="2131901698">
          <w:marLeft w:val="0"/>
          <w:marRight w:val="0"/>
          <w:marTop w:val="0"/>
          <w:marBottom w:val="0"/>
          <w:divBdr>
            <w:top w:val="none" w:sz="0" w:space="0" w:color="auto"/>
            <w:left w:val="none" w:sz="0" w:space="0" w:color="auto"/>
            <w:bottom w:val="none" w:sz="0" w:space="0" w:color="auto"/>
            <w:right w:val="none" w:sz="0" w:space="0" w:color="auto"/>
          </w:divBdr>
        </w:div>
      </w:divsChild>
    </w:div>
    <w:div w:id="366640187">
      <w:bodyDiv w:val="1"/>
      <w:marLeft w:val="0"/>
      <w:marRight w:val="0"/>
      <w:marTop w:val="0"/>
      <w:marBottom w:val="0"/>
      <w:divBdr>
        <w:top w:val="none" w:sz="0" w:space="0" w:color="auto"/>
        <w:left w:val="none" w:sz="0" w:space="0" w:color="auto"/>
        <w:bottom w:val="none" w:sz="0" w:space="0" w:color="auto"/>
        <w:right w:val="none" w:sz="0" w:space="0" w:color="auto"/>
      </w:divBdr>
    </w:div>
    <w:div w:id="367030997">
      <w:bodyDiv w:val="1"/>
      <w:marLeft w:val="0"/>
      <w:marRight w:val="0"/>
      <w:marTop w:val="0"/>
      <w:marBottom w:val="0"/>
      <w:divBdr>
        <w:top w:val="none" w:sz="0" w:space="0" w:color="auto"/>
        <w:left w:val="none" w:sz="0" w:space="0" w:color="auto"/>
        <w:bottom w:val="none" w:sz="0" w:space="0" w:color="auto"/>
        <w:right w:val="none" w:sz="0" w:space="0" w:color="auto"/>
      </w:divBdr>
    </w:div>
    <w:div w:id="380516475">
      <w:bodyDiv w:val="1"/>
      <w:marLeft w:val="0"/>
      <w:marRight w:val="0"/>
      <w:marTop w:val="0"/>
      <w:marBottom w:val="0"/>
      <w:divBdr>
        <w:top w:val="none" w:sz="0" w:space="0" w:color="auto"/>
        <w:left w:val="none" w:sz="0" w:space="0" w:color="auto"/>
        <w:bottom w:val="none" w:sz="0" w:space="0" w:color="auto"/>
        <w:right w:val="none" w:sz="0" w:space="0" w:color="auto"/>
      </w:divBdr>
    </w:div>
    <w:div w:id="381252277">
      <w:bodyDiv w:val="1"/>
      <w:marLeft w:val="0"/>
      <w:marRight w:val="0"/>
      <w:marTop w:val="0"/>
      <w:marBottom w:val="0"/>
      <w:divBdr>
        <w:top w:val="none" w:sz="0" w:space="0" w:color="auto"/>
        <w:left w:val="none" w:sz="0" w:space="0" w:color="auto"/>
        <w:bottom w:val="none" w:sz="0" w:space="0" w:color="auto"/>
        <w:right w:val="none" w:sz="0" w:space="0" w:color="auto"/>
      </w:divBdr>
    </w:div>
    <w:div w:id="385840723">
      <w:bodyDiv w:val="1"/>
      <w:marLeft w:val="0"/>
      <w:marRight w:val="0"/>
      <w:marTop w:val="0"/>
      <w:marBottom w:val="0"/>
      <w:divBdr>
        <w:top w:val="none" w:sz="0" w:space="0" w:color="auto"/>
        <w:left w:val="none" w:sz="0" w:space="0" w:color="auto"/>
        <w:bottom w:val="none" w:sz="0" w:space="0" w:color="auto"/>
        <w:right w:val="none" w:sz="0" w:space="0" w:color="auto"/>
      </w:divBdr>
    </w:div>
    <w:div w:id="389038353">
      <w:bodyDiv w:val="1"/>
      <w:marLeft w:val="0"/>
      <w:marRight w:val="0"/>
      <w:marTop w:val="0"/>
      <w:marBottom w:val="0"/>
      <w:divBdr>
        <w:top w:val="none" w:sz="0" w:space="0" w:color="auto"/>
        <w:left w:val="none" w:sz="0" w:space="0" w:color="auto"/>
        <w:bottom w:val="none" w:sz="0" w:space="0" w:color="auto"/>
        <w:right w:val="none" w:sz="0" w:space="0" w:color="auto"/>
      </w:divBdr>
    </w:div>
    <w:div w:id="418260448">
      <w:bodyDiv w:val="1"/>
      <w:marLeft w:val="0"/>
      <w:marRight w:val="0"/>
      <w:marTop w:val="0"/>
      <w:marBottom w:val="0"/>
      <w:divBdr>
        <w:top w:val="none" w:sz="0" w:space="0" w:color="auto"/>
        <w:left w:val="none" w:sz="0" w:space="0" w:color="auto"/>
        <w:bottom w:val="none" w:sz="0" w:space="0" w:color="auto"/>
        <w:right w:val="none" w:sz="0" w:space="0" w:color="auto"/>
      </w:divBdr>
    </w:div>
    <w:div w:id="423262847">
      <w:bodyDiv w:val="1"/>
      <w:marLeft w:val="0"/>
      <w:marRight w:val="0"/>
      <w:marTop w:val="0"/>
      <w:marBottom w:val="0"/>
      <w:divBdr>
        <w:top w:val="none" w:sz="0" w:space="0" w:color="auto"/>
        <w:left w:val="none" w:sz="0" w:space="0" w:color="auto"/>
        <w:bottom w:val="none" w:sz="0" w:space="0" w:color="auto"/>
        <w:right w:val="none" w:sz="0" w:space="0" w:color="auto"/>
      </w:divBdr>
    </w:div>
    <w:div w:id="425225684">
      <w:bodyDiv w:val="1"/>
      <w:marLeft w:val="0"/>
      <w:marRight w:val="0"/>
      <w:marTop w:val="0"/>
      <w:marBottom w:val="0"/>
      <w:divBdr>
        <w:top w:val="none" w:sz="0" w:space="0" w:color="auto"/>
        <w:left w:val="none" w:sz="0" w:space="0" w:color="auto"/>
        <w:bottom w:val="none" w:sz="0" w:space="0" w:color="auto"/>
        <w:right w:val="none" w:sz="0" w:space="0" w:color="auto"/>
      </w:divBdr>
    </w:div>
    <w:div w:id="445009213">
      <w:bodyDiv w:val="1"/>
      <w:marLeft w:val="0"/>
      <w:marRight w:val="0"/>
      <w:marTop w:val="0"/>
      <w:marBottom w:val="0"/>
      <w:divBdr>
        <w:top w:val="none" w:sz="0" w:space="0" w:color="auto"/>
        <w:left w:val="none" w:sz="0" w:space="0" w:color="auto"/>
        <w:bottom w:val="none" w:sz="0" w:space="0" w:color="auto"/>
        <w:right w:val="none" w:sz="0" w:space="0" w:color="auto"/>
      </w:divBdr>
      <w:divsChild>
        <w:div w:id="78412577">
          <w:marLeft w:val="0"/>
          <w:marRight w:val="0"/>
          <w:marTop w:val="0"/>
          <w:marBottom w:val="0"/>
          <w:divBdr>
            <w:top w:val="none" w:sz="0" w:space="0" w:color="auto"/>
            <w:left w:val="none" w:sz="0" w:space="0" w:color="auto"/>
            <w:bottom w:val="none" w:sz="0" w:space="0" w:color="auto"/>
            <w:right w:val="none" w:sz="0" w:space="0" w:color="auto"/>
          </w:divBdr>
        </w:div>
        <w:div w:id="247661491">
          <w:marLeft w:val="0"/>
          <w:marRight w:val="0"/>
          <w:marTop w:val="0"/>
          <w:marBottom w:val="0"/>
          <w:divBdr>
            <w:top w:val="none" w:sz="0" w:space="0" w:color="auto"/>
            <w:left w:val="none" w:sz="0" w:space="0" w:color="auto"/>
            <w:bottom w:val="none" w:sz="0" w:space="0" w:color="auto"/>
            <w:right w:val="none" w:sz="0" w:space="0" w:color="auto"/>
          </w:divBdr>
        </w:div>
        <w:div w:id="294680444">
          <w:marLeft w:val="0"/>
          <w:marRight w:val="0"/>
          <w:marTop w:val="0"/>
          <w:marBottom w:val="0"/>
          <w:divBdr>
            <w:top w:val="none" w:sz="0" w:space="0" w:color="auto"/>
            <w:left w:val="none" w:sz="0" w:space="0" w:color="auto"/>
            <w:bottom w:val="none" w:sz="0" w:space="0" w:color="auto"/>
            <w:right w:val="none" w:sz="0" w:space="0" w:color="auto"/>
          </w:divBdr>
        </w:div>
        <w:div w:id="610942728">
          <w:marLeft w:val="0"/>
          <w:marRight w:val="0"/>
          <w:marTop w:val="0"/>
          <w:marBottom w:val="0"/>
          <w:divBdr>
            <w:top w:val="none" w:sz="0" w:space="0" w:color="auto"/>
            <w:left w:val="none" w:sz="0" w:space="0" w:color="auto"/>
            <w:bottom w:val="none" w:sz="0" w:space="0" w:color="auto"/>
            <w:right w:val="none" w:sz="0" w:space="0" w:color="auto"/>
          </w:divBdr>
        </w:div>
        <w:div w:id="616915864">
          <w:marLeft w:val="0"/>
          <w:marRight w:val="0"/>
          <w:marTop w:val="0"/>
          <w:marBottom w:val="0"/>
          <w:divBdr>
            <w:top w:val="none" w:sz="0" w:space="0" w:color="auto"/>
            <w:left w:val="none" w:sz="0" w:space="0" w:color="auto"/>
            <w:bottom w:val="none" w:sz="0" w:space="0" w:color="auto"/>
            <w:right w:val="none" w:sz="0" w:space="0" w:color="auto"/>
          </w:divBdr>
        </w:div>
        <w:div w:id="652489699">
          <w:marLeft w:val="0"/>
          <w:marRight w:val="0"/>
          <w:marTop w:val="0"/>
          <w:marBottom w:val="0"/>
          <w:divBdr>
            <w:top w:val="none" w:sz="0" w:space="0" w:color="auto"/>
            <w:left w:val="none" w:sz="0" w:space="0" w:color="auto"/>
            <w:bottom w:val="none" w:sz="0" w:space="0" w:color="auto"/>
            <w:right w:val="none" w:sz="0" w:space="0" w:color="auto"/>
          </w:divBdr>
        </w:div>
        <w:div w:id="672799523">
          <w:marLeft w:val="0"/>
          <w:marRight w:val="0"/>
          <w:marTop w:val="0"/>
          <w:marBottom w:val="0"/>
          <w:divBdr>
            <w:top w:val="none" w:sz="0" w:space="0" w:color="auto"/>
            <w:left w:val="none" w:sz="0" w:space="0" w:color="auto"/>
            <w:bottom w:val="none" w:sz="0" w:space="0" w:color="auto"/>
            <w:right w:val="none" w:sz="0" w:space="0" w:color="auto"/>
          </w:divBdr>
        </w:div>
        <w:div w:id="1039402617">
          <w:marLeft w:val="0"/>
          <w:marRight w:val="0"/>
          <w:marTop w:val="0"/>
          <w:marBottom w:val="0"/>
          <w:divBdr>
            <w:top w:val="none" w:sz="0" w:space="0" w:color="auto"/>
            <w:left w:val="none" w:sz="0" w:space="0" w:color="auto"/>
            <w:bottom w:val="none" w:sz="0" w:space="0" w:color="auto"/>
            <w:right w:val="none" w:sz="0" w:space="0" w:color="auto"/>
          </w:divBdr>
        </w:div>
        <w:div w:id="1295333844">
          <w:marLeft w:val="0"/>
          <w:marRight w:val="0"/>
          <w:marTop w:val="0"/>
          <w:marBottom w:val="0"/>
          <w:divBdr>
            <w:top w:val="none" w:sz="0" w:space="0" w:color="auto"/>
            <w:left w:val="none" w:sz="0" w:space="0" w:color="auto"/>
            <w:bottom w:val="none" w:sz="0" w:space="0" w:color="auto"/>
            <w:right w:val="none" w:sz="0" w:space="0" w:color="auto"/>
          </w:divBdr>
        </w:div>
        <w:div w:id="1565094108">
          <w:marLeft w:val="0"/>
          <w:marRight w:val="0"/>
          <w:marTop w:val="0"/>
          <w:marBottom w:val="0"/>
          <w:divBdr>
            <w:top w:val="none" w:sz="0" w:space="0" w:color="auto"/>
            <w:left w:val="none" w:sz="0" w:space="0" w:color="auto"/>
            <w:bottom w:val="none" w:sz="0" w:space="0" w:color="auto"/>
            <w:right w:val="none" w:sz="0" w:space="0" w:color="auto"/>
          </w:divBdr>
        </w:div>
        <w:div w:id="1801991833">
          <w:marLeft w:val="0"/>
          <w:marRight w:val="0"/>
          <w:marTop w:val="0"/>
          <w:marBottom w:val="0"/>
          <w:divBdr>
            <w:top w:val="none" w:sz="0" w:space="0" w:color="auto"/>
            <w:left w:val="none" w:sz="0" w:space="0" w:color="auto"/>
            <w:bottom w:val="none" w:sz="0" w:space="0" w:color="auto"/>
            <w:right w:val="none" w:sz="0" w:space="0" w:color="auto"/>
          </w:divBdr>
        </w:div>
      </w:divsChild>
    </w:div>
    <w:div w:id="453714695">
      <w:bodyDiv w:val="1"/>
      <w:marLeft w:val="0"/>
      <w:marRight w:val="0"/>
      <w:marTop w:val="0"/>
      <w:marBottom w:val="0"/>
      <w:divBdr>
        <w:top w:val="none" w:sz="0" w:space="0" w:color="auto"/>
        <w:left w:val="none" w:sz="0" w:space="0" w:color="auto"/>
        <w:bottom w:val="none" w:sz="0" w:space="0" w:color="auto"/>
        <w:right w:val="none" w:sz="0" w:space="0" w:color="auto"/>
      </w:divBdr>
    </w:div>
    <w:div w:id="464127021">
      <w:bodyDiv w:val="1"/>
      <w:marLeft w:val="0"/>
      <w:marRight w:val="0"/>
      <w:marTop w:val="0"/>
      <w:marBottom w:val="0"/>
      <w:divBdr>
        <w:top w:val="none" w:sz="0" w:space="0" w:color="auto"/>
        <w:left w:val="none" w:sz="0" w:space="0" w:color="auto"/>
        <w:bottom w:val="none" w:sz="0" w:space="0" w:color="auto"/>
        <w:right w:val="none" w:sz="0" w:space="0" w:color="auto"/>
      </w:divBdr>
    </w:div>
    <w:div w:id="466554999">
      <w:bodyDiv w:val="1"/>
      <w:marLeft w:val="0"/>
      <w:marRight w:val="0"/>
      <w:marTop w:val="0"/>
      <w:marBottom w:val="0"/>
      <w:divBdr>
        <w:top w:val="none" w:sz="0" w:space="0" w:color="auto"/>
        <w:left w:val="none" w:sz="0" w:space="0" w:color="auto"/>
        <w:bottom w:val="none" w:sz="0" w:space="0" w:color="auto"/>
        <w:right w:val="none" w:sz="0" w:space="0" w:color="auto"/>
      </w:divBdr>
    </w:div>
    <w:div w:id="474027327">
      <w:bodyDiv w:val="1"/>
      <w:marLeft w:val="0"/>
      <w:marRight w:val="0"/>
      <w:marTop w:val="0"/>
      <w:marBottom w:val="0"/>
      <w:divBdr>
        <w:top w:val="none" w:sz="0" w:space="0" w:color="auto"/>
        <w:left w:val="none" w:sz="0" w:space="0" w:color="auto"/>
        <w:bottom w:val="none" w:sz="0" w:space="0" w:color="auto"/>
        <w:right w:val="none" w:sz="0" w:space="0" w:color="auto"/>
      </w:divBdr>
      <w:divsChild>
        <w:div w:id="189800906">
          <w:marLeft w:val="0"/>
          <w:marRight w:val="0"/>
          <w:marTop w:val="0"/>
          <w:marBottom w:val="0"/>
          <w:divBdr>
            <w:top w:val="none" w:sz="0" w:space="0" w:color="auto"/>
            <w:left w:val="none" w:sz="0" w:space="0" w:color="auto"/>
            <w:bottom w:val="none" w:sz="0" w:space="0" w:color="auto"/>
            <w:right w:val="none" w:sz="0" w:space="0" w:color="auto"/>
          </w:divBdr>
        </w:div>
        <w:div w:id="334694590">
          <w:marLeft w:val="0"/>
          <w:marRight w:val="0"/>
          <w:marTop w:val="0"/>
          <w:marBottom w:val="0"/>
          <w:divBdr>
            <w:top w:val="none" w:sz="0" w:space="0" w:color="auto"/>
            <w:left w:val="none" w:sz="0" w:space="0" w:color="auto"/>
            <w:bottom w:val="none" w:sz="0" w:space="0" w:color="auto"/>
            <w:right w:val="none" w:sz="0" w:space="0" w:color="auto"/>
          </w:divBdr>
        </w:div>
        <w:div w:id="524751317">
          <w:marLeft w:val="0"/>
          <w:marRight w:val="0"/>
          <w:marTop w:val="0"/>
          <w:marBottom w:val="0"/>
          <w:divBdr>
            <w:top w:val="none" w:sz="0" w:space="0" w:color="auto"/>
            <w:left w:val="none" w:sz="0" w:space="0" w:color="auto"/>
            <w:bottom w:val="none" w:sz="0" w:space="0" w:color="auto"/>
            <w:right w:val="none" w:sz="0" w:space="0" w:color="auto"/>
          </w:divBdr>
        </w:div>
        <w:div w:id="527375787">
          <w:marLeft w:val="0"/>
          <w:marRight w:val="0"/>
          <w:marTop w:val="0"/>
          <w:marBottom w:val="0"/>
          <w:divBdr>
            <w:top w:val="none" w:sz="0" w:space="0" w:color="auto"/>
            <w:left w:val="none" w:sz="0" w:space="0" w:color="auto"/>
            <w:bottom w:val="none" w:sz="0" w:space="0" w:color="auto"/>
            <w:right w:val="none" w:sz="0" w:space="0" w:color="auto"/>
          </w:divBdr>
        </w:div>
        <w:div w:id="563099839">
          <w:marLeft w:val="0"/>
          <w:marRight w:val="0"/>
          <w:marTop w:val="0"/>
          <w:marBottom w:val="0"/>
          <w:divBdr>
            <w:top w:val="none" w:sz="0" w:space="0" w:color="auto"/>
            <w:left w:val="none" w:sz="0" w:space="0" w:color="auto"/>
            <w:bottom w:val="none" w:sz="0" w:space="0" w:color="auto"/>
            <w:right w:val="none" w:sz="0" w:space="0" w:color="auto"/>
          </w:divBdr>
        </w:div>
        <w:div w:id="886717732">
          <w:marLeft w:val="0"/>
          <w:marRight w:val="0"/>
          <w:marTop w:val="0"/>
          <w:marBottom w:val="0"/>
          <w:divBdr>
            <w:top w:val="none" w:sz="0" w:space="0" w:color="auto"/>
            <w:left w:val="none" w:sz="0" w:space="0" w:color="auto"/>
            <w:bottom w:val="none" w:sz="0" w:space="0" w:color="auto"/>
            <w:right w:val="none" w:sz="0" w:space="0" w:color="auto"/>
          </w:divBdr>
        </w:div>
        <w:div w:id="904797193">
          <w:marLeft w:val="0"/>
          <w:marRight w:val="0"/>
          <w:marTop w:val="0"/>
          <w:marBottom w:val="0"/>
          <w:divBdr>
            <w:top w:val="none" w:sz="0" w:space="0" w:color="auto"/>
            <w:left w:val="none" w:sz="0" w:space="0" w:color="auto"/>
            <w:bottom w:val="none" w:sz="0" w:space="0" w:color="auto"/>
            <w:right w:val="none" w:sz="0" w:space="0" w:color="auto"/>
          </w:divBdr>
        </w:div>
        <w:div w:id="998777759">
          <w:marLeft w:val="0"/>
          <w:marRight w:val="0"/>
          <w:marTop w:val="0"/>
          <w:marBottom w:val="0"/>
          <w:divBdr>
            <w:top w:val="none" w:sz="0" w:space="0" w:color="auto"/>
            <w:left w:val="none" w:sz="0" w:space="0" w:color="auto"/>
            <w:bottom w:val="none" w:sz="0" w:space="0" w:color="auto"/>
            <w:right w:val="none" w:sz="0" w:space="0" w:color="auto"/>
          </w:divBdr>
        </w:div>
        <w:div w:id="1169441875">
          <w:marLeft w:val="0"/>
          <w:marRight w:val="0"/>
          <w:marTop w:val="0"/>
          <w:marBottom w:val="0"/>
          <w:divBdr>
            <w:top w:val="none" w:sz="0" w:space="0" w:color="auto"/>
            <w:left w:val="none" w:sz="0" w:space="0" w:color="auto"/>
            <w:bottom w:val="none" w:sz="0" w:space="0" w:color="auto"/>
            <w:right w:val="none" w:sz="0" w:space="0" w:color="auto"/>
          </w:divBdr>
        </w:div>
        <w:div w:id="1389263704">
          <w:marLeft w:val="0"/>
          <w:marRight w:val="0"/>
          <w:marTop w:val="0"/>
          <w:marBottom w:val="0"/>
          <w:divBdr>
            <w:top w:val="none" w:sz="0" w:space="0" w:color="auto"/>
            <w:left w:val="none" w:sz="0" w:space="0" w:color="auto"/>
            <w:bottom w:val="none" w:sz="0" w:space="0" w:color="auto"/>
            <w:right w:val="none" w:sz="0" w:space="0" w:color="auto"/>
          </w:divBdr>
        </w:div>
        <w:div w:id="2115398568">
          <w:marLeft w:val="0"/>
          <w:marRight w:val="0"/>
          <w:marTop w:val="0"/>
          <w:marBottom w:val="0"/>
          <w:divBdr>
            <w:top w:val="none" w:sz="0" w:space="0" w:color="auto"/>
            <w:left w:val="none" w:sz="0" w:space="0" w:color="auto"/>
            <w:bottom w:val="none" w:sz="0" w:space="0" w:color="auto"/>
            <w:right w:val="none" w:sz="0" w:space="0" w:color="auto"/>
          </w:divBdr>
        </w:div>
      </w:divsChild>
    </w:div>
    <w:div w:id="477772501">
      <w:bodyDiv w:val="1"/>
      <w:marLeft w:val="0"/>
      <w:marRight w:val="0"/>
      <w:marTop w:val="0"/>
      <w:marBottom w:val="0"/>
      <w:divBdr>
        <w:top w:val="none" w:sz="0" w:space="0" w:color="auto"/>
        <w:left w:val="none" w:sz="0" w:space="0" w:color="auto"/>
        <w:bottom w:val="none" w:sz="0" w:space="0" w:color="auto"/>
        <w:right w:val="none" w:sz="0" w:space="0" w:color="auto"/>
      </w:divBdr>
    </w:div>
    <w:div w:id="498614676">
      <w:bodyDiv w:val="1"/>
      <w:marLeft w:val="0"/>
      <w:marRight w:val="0"/>
      <w:marTop w:val="0"/>
      <w:marBottom w:val="0"/>
      <w:divBdr>
        <w:top w:val="none" w:sz="0" w:space="0" w:color="auto"/>
        <w:left w:val="none" w:sz="0" w:space="0" w:color="auto"/>
        <w:bottom w:val="none" w:sz="0" w:space="0" w:color="auto"/>
        <w:right w:val="none" w:sz="0" w:space="0" w:color="auto"/>
      </w:divBdr>
    </w:div>
    <w:div w:id="548421969">
      <w:bodyDiv w:val="1"/>
      <w:marLeft w:val="0"/>
      <w:marRight w:val="0"/>
      <w:marTop w:val="0"/>
      <w:marBottom w:val="0"/>
      <w:divBdr>
        <w:top w:val="none" w:sz="0" w:space="0" w:color="auto"/>
        <w:left w:val="none" w:sz="0" w:space="0" w:color="auto"/>
        <w:bottom w:val="none" w:sz="0" w:space="0" w:color="auto"/>
        <w:right w:val="none" w:sz="0" w:space="0" w:color="auto"/>
      </w:divBdr>
    </w:div>
    <w:div w:id="553464718">
      <w:bodyDiv w:val="1"/>
      <w:marLeft w:val="0"/>
      <w:marRight w:val="0"/>
      <w:marTop w:val="0"/>
      <w:marBottom w:val="0"/>
      <w:divBdr>
        <w:top w:val="none" w:sz="0" w:space="0" w:color="auto"/>
        <w:left w:val="none" w:sz="0" w:space="0" w:color="auto"/>
        <w:bottom w:val="none" w:sz="0" w:space="0" w:color="auto"/>
        <w:right w:val="none" w:sz="0" w:space="0" w:color="auto"/>
      </w:divBdr>
    </w:div>
    <w:div w:id="560365150">
      <w:bodyDiv w:val="1"/>
      <w:marLeft w:val="0"/>
      <w:marRight w:val="0"/>
      <w:marTop w:val="0"/>
      <w:marBottom w:val="0"/>
      <w:divBdr>
        <w:top w:val="none" w:sz="0" w:space="0" w:color="auto"/>
        <w:left w:val="none" w:sz="0" w:space="0" w:color="auto"/>
        <w:bottom w:val="none" w:sz="0" w:space="0" w:color="auto"/>
        <w:right w:val="none" w:sz="0" w:space="0" w:color="auto"/>
      </w:divBdr>
    </w:div>
    <w:div w:id="583957249">
      <w:bodyDiv w:val="1"/>
      <w:marLeft w:val="0"/>
      <w:marRight w:val="0"/>
      <w:marTop w:val="0"/>
      <w:marBottom w:val="0"/>
      <w:divBdr>
        <w:top w:val="none" w:sz="0" w:space="0" w:color="auto"/>
        <w:left w:val="none" w:sz="0" w:space="0" w:color="auto"/>
        <w:bottom w:val="none" w:sz="0" w:space="0" w:color="auto"/>
        <w:right w:val="none" w:sz="0" w:space="0" w:color="auto"/>
      </w:divBdr>
      <w:divsChild>
        <w:div w:id="379020164">
          <w:marLeft w:val="0"/>
          <w:marRight w:val="0"/>
          <w:marTop w:val="0"/>
          <w:marBottom w:val="0"/>
          <w:divBdr>
            <w:top w:val="none" w:sz="0" w:space="0" w:color="auto"/>
            <w:left w:val="none" w:sz="0" w:space="0" w:color="auto"/>
            <w:bottom w:val="none" w:sz="0" w:space="0" w:color="auto"/>
            <w:right w:val="none" w:sz="0" w:space="0" w:color="auto"/>
          </w:divBdr>
        </w:div>
        <w:div w:id="691149726">
          <w:marLeft w:val="0"/>
          <w:marRight w:val="0"/>
          <w:marTop w:val="0"/>
          <w:marBottom w:val="0"/>
          <w:divBdr>
            <w:top w:val="none" w:sz="0" w:space="0" w:color="auto"/>
            <w:left w:val="none" w:sz="0" w:space="0" w:color="auto"/>
            <w:bottom w:val="none" w:sz="0" w:space="0" w:color="auto"/>
            <w:right w:val="none" w:sz="0" w:space="0" w:color="auto"/>
          </w:divBdr>
        </w:div>
        <w:div w:id="1454710733">
          <w:marLeft w:val="0"/>
          <w:marRight w:val="0"/>
          <w:marTop w:val="0"/>
          <w:marBottom w:val="0"/>
          <w:divBdr>
            <w:top w:val="none" w:sz="0" w:space="0" w:color="auto"/>
            <w:left w:val="none" w:sz="0" w:space="0" w:color="auto"/>
            <w:bottom w:val="none" w:sz="0" w:space="0" w:color="auto"/>
            <w:right w:val="none" w:sz="0" w:space="0" w:color="auto"/>
          </w:divBdr>
        </w:div>
        <w:div w:id="1564558526">
          <w:marLeft w:val="0"/>
          <w:marRight w:val="0"/>
          <w:marTop w:val="0"/>
          <w:marBottom w:val="0"/>
          <w:divBdr>
            <w:top w:val="none" w:sz="0" w:space="0" w:color="auto"/>
            <w:left w:val="none" w:sz="0" w:space="0" w:color="auto"/>
            <w:bottom w:val="none" w:sz="0" w:space="0" w:color="auto"/>
            <w:right w:val="none" w:sz="0" w:space="0" w:color="auto"/>
          </w:divBdr>
        </w:div>
        <w:div w:id="2142378947">
          <w:marLeft w:val="0"/>
          <w:marRight w:val="0"/>
          <w:marTop w:val="0"/>
          <w:marBottom w:val="0"/>
          <w:divBdr>
            <w:top w:val="none" w:sz="0" w:space="0" w:color="auto"/>
            <w:left w:val="none" w:sz="0" w:space="0" w:color="auto"/>
            <w:bottom w:val="none" w:sz="0" w:space="0" w:color="auto"/>
            <w:right w:val="none" w:sz="0" w:space="0" w:color="auto"/>
          </w:divBdr>
        </w:div>
      </w:divsChild>
    </w:div>
    <w:div w:id="592200332">
      <w:bodyDiv w:val="1"/>
      <w:marLeft w:val="0"/>
      <w:marRight w:val="0"/>
      <w:marTop w:val="0"/>
      <w:marBottom w:val="0"/>
      <w:divBdr>
        <w:top w:val="none" w:sz="0" w:space="0" w:color="auto"/>
        <w:left w:val="none" w:sz="0" w:space="0" w:color="auto"/>
        <w:bottom w:val="none" w:sz="0" w:space="0" w:color="auto"/>
        <w:right w:val="none" w:sz="0" w:space="0" w:color="auto"/>
      </w:divBdr>
    </w:div>
    <w:div w:id="604582772">
      <w:bodyDiv w:val="1"/>
      <w:marLeft w:val="0"/>
      <w:marRight w:val="0"/>
      <w:marTop w:val="0"/>
      <w:marBottom w:val="0"/>
      <w:divBdr>
        <w:top w:val="none" w:sz="0" w:space="0" w:color="auto"/>
        <w:left w:val="none" w:sz="0" w:space="0" w:color="auto"/>
        <w:bottom w:val="none" w:sz="0" w:space="0" w:color="auto"/>
        <w:right w:val="none" w:sz="0" w:space="0" w:color="auto"/>
      </w:divBdr>
    </w:div>
    <w:div w:id="621617441">
      <w:bodyDiv w:val="1"/>
      <w:marLeft w:val="0"/>
      <w:marRight w:val="0"/>
      <w:marTop w:val="0"/>
      <w:marBottom w:val="0"/>
      <w:divBdr>
        <w:top w:val="none" w:sz="0" w:space="0" w:color="auto"/>
        <w:left w:val="none" w:sz="0" w:space="0" w:color="auto"/>
        <w:bottom w:val="none" w:sz="0" w:space="0" w:color="auto"/>
        <w:right w:val="none" w:sz="0" w:space="0" w:color="auto"/>
      </w:divBdr>
      <w:divsChild>
        <w:div w:id="277490875">
          <w:marLeft w:val="0"/>
          <w:marRight w:val="0"/>
          <w:marTop w:val="0"/>
          <w:marBottom w:val="0"/>
          <w:divBdr>
            <w:top w:val="none" w:sz="0" w:space="0" w:color="auto"/>
            <w:left w:val="none" w:sz="0" w:space="0" w:color="auto"/>
            <w:bottom w:val="none" w:sz="0" w:space="0" w:color="auto"/>
            <w:right w:val="none" w:sz="0" w:space="0" w:color="auto"/>
          </w:divBdr>
        </w:div>
        <w:div w:id="548497977">
          <w:marLeft w:val="0"/>
          <w:marRight w:val="0"/>
          <w:marTop w:val="0"/>
          <w:marBottom w:val="0"/>
          <w:divBdr>
            <w:top w:val="none" w:sz="0" w:space="0" w:color="auto"/>
            <w:left w:val="none" w:sz="0" w:space="0" w:color="auto"/>
            <w:bottom w:val="none" w:sz="0" w:space="0" w:color="auto"/>
            <w:right w:val="none" w:sz="0" w:space="0" w:color="auto"/>
          </w:divBdr>
        </w:div>
        <w:div w:id="1005592028">
          <w:marLeft w:val="0"/>
          <w:marRight w:val="0"/>
          <w:marTop w:val="0"/>
          <w:marBottom w:val="0"/>
          <w:divBdr>
            <w:top w:val="none" w:sz="0" w:space="0" w:color="auto"/>
            <w:left w:val="none" w:sz="0" w:space="0" w:color="auto"/>
            <w:bottom w:val="none" w:sz="0" w:space="0" w:color="auto"/>
            <w:right w:val="none" w:sz="0" w:space="0" w:color="auto"/>
          </w:divBdr>
        </w:div>
      </w:divsChild>
    </w:div>
    <w:div w:id="651329379">
      <w:bodyDiv w:val="1"/>
      <w:marLeft w:val="0"/>
      <w:marRight w:val="0"/>
      <w:marTop w:val="0"/>
      <w:marBottom w:val="0"/>
      <w:divBdr>
        <w:top w:val="none" w:sz="0" w:space="0" w:color="auto"/>
        <w:left w:val="none" w:sz="0" w:space="0" w:color="auto"/>
        <w:bottom w:val="none" w:sz="0" w:space="0" w:color="auto"/>
        <w:right w:val="none" w:sz="0" w:space="0" w:color="auto"/>
      </w:divBdr>
    </w:div>
    <w:div w:id="653027439">
      <w:bodyDiv w:val="1"/>
      <w:marLeft w:val="0"/>
      <w:marRight w:val="0"/>
      <w:marTop w:val="0"/>
      <w:marBottom w:val="0"/>
      <w:divBdr>
        <w:top w:val="none" w:sz="0" w:space="0" w:color="auto"/>
        <w:left w:val="none" w:sz="0" w:space="0" w:color="auto"/>
        <w:bottom w:val="none" w:sz="0" w:space="0" w:color="auto"/>
        <w:right w:val="none" w:sz="0" w:space="0" w:color="auto"/>
      </w:divBdr>
      <w:divsChild>
        <w:div w:id="226890205">
          <w:marLeft w:val="864"/>
          <w:marRight w:val="0"/>
          <w:marTop w:val="50"/>
          <w:marBottom w:val="0"/>
          <w:divBdr>
            <w:top w:val="none" w:sz="0" w:space="0" w:color="auto"/>
            <w:left w:val="none" w:sz="0" w:space="0" w:color="auto"/>
            <w:bottom w:val="none" w:sz="0" w:space="0" w:color="auto"/>
            <w:right w:val="none" w:sz="0" w:space="0" w:color="auto"/>
          </w:divBdr>
        </w:div>
        <w:div w:id="349334447">
          <w:marLeft w:val="864"/>
          <w:marRight w:val="0"/>
          <w:marTop w:val="50"/>
          <w:marBottom w:val="0"/>
          <w:divBdr>
            <w:top w:val="none" w:sz="0" w:space="0" w:color="auto"/>
            <w:left w:val="none" w:sz="0" w:space="0" w:color="auto"/>
            <w:bottom w:val="none" w:sz="0" w:space="0" w:color="auto"/>
            <w:right w:val="none" w:sz="0" w:space="0" w:color="auto"/>
          </w:divBdr>
        </w:div>
        <w:div w:id="635838990">
          <w:marLeft w:val="864"/>
          <w:marRight w:val="0"/>
          <w:marTop w:val="50"/>
          <w:marBottom w:val="0"/>
          <w:divBdr>
            <w:top w:val="none" w:sz="0" w:space="0" w:color="auto"/>
            <w:left w:val="none" w:sz="0" w:space="0" w:color="auto"/>
            <w:bottom w:val="none" w:sz="0" w:space="0" w:color="auto"/>
            <w:right w:val="none" w:sz="0" w:space="0" w:color="auto"/>
          </w:divBdr>
        </w:div>
        <w:div w:id="752355934">
          <w:marLeft w:val="864"/>
          <w:marRight w:val="0"/>
          <w:marTop w:val="50"/>
          <w:marBottom w:val="0"/>
          <w:divBdr>
            <w:top w:val="none" w:sz="0" w:space="0" w:color="auto"/>
            <w:left w:val="none" w:sz="0" w:space="0" w:color="auto"/>
            <w:bottom w:val="none" w:sz="0" w:space="0" w:color="auto"/>
            <w:right w:val="none" w:sz="0" w:space="0" w:color="auto"/>
          </w:divBdr>
        </w:div>
        <w:div w:id="788470058">
          <w:marLeft w:val="720"/>
          <w:marRight w:val="0"/>
          <w:marTop w:val="120"/>
          <w:marBottom w:val="0"/>
          <w:divBdr>
            <w:top w:val="none" w:sz="0" w:space="0" w:color="auto"/>
            <w:left w:val="none" w:sz="0" w:space="0" w:color="auto"/>
            <w:bottom w:val="none" w:sz="0" w:space="0" w:color="auto"/>
            <w:right w:val="none" w:sz="0" w:space="0" w:color="auto"/>
          </w:divBdr>
        </w:div>
        <w:div w:id="847333157">
          <w:marLeft w:val="720"/>
          <w:marRight w:val="0"/>
          <w:marTop w:val="120"/>
          <w:marBottom w:val="0"/>
          <w:divBdr>
            <w:top w:val="none" w:sz="0" w:space="0" w:color="auto"/>
            <w:left w:val="none" w:sz="0" w:space="0" w:color="auto"/>
            <w:bottom w:val="none" w:sz="0" w:space="0" w:color="auto"/>
            <w:right w:val="none" w:sz="0" w:space="0" w:color="auto"/>
          </w:divBdr>
        </w:div>
        <w:div w:id="1233739537">
          <w:marLeft w:val="864"/>
          <w:marRight w:val="0"/>
          <w:marTop w:val="50"/>
          <w:marBottom w:val="0"/>
          <w:divBdr>
            <w:top w:val="none" w:sz="0" w:space="0" w:color="auto"/>
            <w:left w:val="none" w:sz="0" w:space="0" w:color="auto"/>
            <w:bottom w:val="none" w:sz="0" w:space="0" w:color="auto"/>
            <w:right w:val="none" w:sz="0" w:space="0" w:color="auto"/>
          </w:divBdr>
        </w:div>
        <w:div w:id="1240556948">
          <w:marLeft w:val="418"/>
          <w:marRight w:val="0"/>
          <w:marTop w:val="50"/>
          <w:marBottom w:val="0"/>
          <w:divBdr>
            <w:top w:val="none" w:sz="0" w:space="0" w:color="auto"/>
            <w:left w:val="none" w:sz="0" w:space="0" w:color="auto"/>
            <w:bottom w:val="none" w:sz="0" w:space="0" w:color="auto"/>
            <w:right w:val="none" w:sz="0" w:space="0" w:color="auto"/>
          </w:divBdr>
        </w:div>
        <w:div w:id="2070108811">
          <w:marLeft w:val="864"/>
          <w:marRight w:val="0"/>
          <w:marTop w:val="50"/>
          <w:marBottom w:val="0"/>
          <w:divBdr>
            <w:top w:val="none" w:sz="0" w:space="0" w:color="auto"/>
            <w:left w:val="none" w:sz="0" w:space="0" w:color="auto"/>
            <w:bottom w:val="none" w:sz="0" w:space="0" w:color="auto"/>
            <w:right w:val="none" w:sz="0" w:space="0" w:color="auto"/>
          </w:divBdr>
        </w:div>
        <w:div w:id="2096894147">
          <w:marLeft w:val="720"/>
          <w:marRight w:val="0"/>
          <w:marTop w:val="120"/>
          <w:marBottom w:val="0"/>
          <w:divBdr>
            <w:top w:val="none" w:sz="0" w:space="0" w:color="auto"/>
            <w:left w:val="none" w:sz="0" w:space="0" w:color="auto"/>
            <w:bottom w:val="none" w:sz="0" w:space="0" w:color="auto"/>
            <w:right w:val="none" w:sz="0" w:space="0" w:color="auto"/>
          </w:divBdr>
        </w:div>
      </w:divsChild>
    </w:div>
    <w:div w:id="666713457">
      <w:bodyDiv w:val="1"/>
      <w:marLeft w:val="0"/>
      <w:marRight w:val="0"/>
      <w:marTop w:val="0"/>
      <w:marBottom w:val="0"/>
      <w:divBdr>
        <w:top w:val="none" w:sz="0" w:space="0" w:color="auto"/>
        <w:left w:val="none" w:sz="0" w:space="0" w:color="auto"/>
        <w:bottom w:val="none" w:sz="0" w:space="0" w:color="auto"/>
        <w:right w:val="none" w:sz="0" w:space="0" w:color="auto"/>
      </w:divBdr>
      <w:divsChild>
        <w:div w:id="474836036">
          <w:marLeft w:val="0"/>
          <w:marRight w:val="0"/>
          <w:marTop w:val="0"/>
          <w:marBottom w:val="0"/>
          <w:divBdr>
            <w:top w:val="none" w:sz="0" w:space="0" w:color="auto"/>
            <w:left w:val="none" w:sz="0" w:space="0" w:color="auto"/>
            <w:bottom w:val="none" w:sz="0" w:space="0" w:color="auto"/>
            <w:right w:val="none" w:sz="0" w:space="0" w:color="auto"/>
          </w:divBdr>
        </w:div>
        <w:div w:id="600987291">
          <w:marLeft w:val="0"/>
          <w:marRight w:val="0"/>
          <w:marTop w:val="0"/>
          <w:marBottom w:val="0"/>
          <w:divBdr>
            <w:top w:val="none" w:sz="0" w:space="0" w:color="auto"/>
            <w:left w:val="none" w:sz="0" w:space="0" w:color="auto"/>
            <w:bottom w:val="none" w:sz="0" w:space="0" w:color="auto"/>
            <w:right w:val="none" w:sz="0" w:space="0" w:color="auto"/>
          </w:divBdr>
        </w:div>
        <w:div w:id="1101101073">
          <w:marLeft w:val="0"/>
          <w:marRight w:val="0"/>
          <w:marTop w:val="0"/>
          <w:marBottom w:val="0"/>
          <w:divBdr>
            <w:top w:val="none" w:sz="0" w:space="0" w:color="auto"/>
            <w:left w:val="none" w:sz="0" w:space="0" w:color="auto"/>
            <w:bottom w:val="none" w:sz="0" w:space="0" w:color="auto"/>
            <w:right w:val="none" w:sz="0" w:space="0" w:color="auto"/>
          </w:divBdr>
        </w:div>
        <w:div w:id="1190340697">
          <w:marLeft w:val="0"/>
          <w:marRight w:val="0"/>
          <w:marTop w:val="0"/>
          <w:marBottom w:val="0"/>
          <w:divBdr>
            <w:top w:val="none" w:sz="0" w:space="0" w:color="auto"/>
            <w:left w:val="none" w:sz="0" w:space="0" w:color="auto"/>
            <w:bottom w:val="none" w:sz="0" w:space="0" w:color="auto"/>
            <w:right w:val="none" w:sz="0" w:space="0" w:color="auto"/>
          </w:divBdr>
        </w:div>
        <w:div w:id="1833717793">
          <w:marLeft w:val="0"/>
          <w:marRight w:val="0"/>
          <w:marTop w:val="0"/>
          <w:marBottom w:val="0"/>
          <w:divBdr>
            <w:top w:val="none" w:sz="0" w:space="0" w:color="auto"/>
            <w:left w:val="none" w:sz="0" w:space="0" w:color="auto"/>
            <w:bottom w:val="none" w:sz="0" w:space="0" w:color="auto"/>
            <w:right w:val="none" w:sz="0" w:space="0" w:color="auto"/>
          </w:divBdr>
        </w:div>
      </w:divsChild>
    </w:div>
    <w:div w:id="669144392">
      <w:bodyDiv w:val="1"/>
      <w:marLeft w:val="0"/>
      <w:marRight w:val="0"/>
      <w:marTop w:val="0"/>
      <w:marBottom w:val="0"/>
      <w:divBdr>
        <w:top w:val="none" w:sz="0" w:space="0" w:color="auto"/>
        <w:left w:val="none" w:sz="0" w:space="0" w:color="auto"/>
        <w:bottom w:val="none" w:sz="0" w:space="0" w:color="auto"/>
        <w:right w:val="none" w:sz="0" w:space="0" w:color="auto"/>
      </w:divBdr>
      <w:divsChild>
        <w:div w:id="31804551">
          <w:marLeft w:val="0"/>
          <w:marRight w:val="0"/>
          <w:marTop w:val="0"/>
          <w:marBottom w:val="0"/>
          <w:divBdr>
            <w:top w:val="none" w:sz="0" w:space="0" w:color="auto"/>
            <w:left w:val="none" w:sz="0" w:space="0" w:color="auto"/>
            <w:bottom w:val="none" w:sz="0" w:space="0" w:color="auto"/>
            <w:right w:val="none" w:sz="0" w:space="0" w:color="auto"/>
          </w:divBdr>
        </w:div>
        <w:div w:id="258804835">
          <w:marLeft w:val="0"/>
          <w:marRight w:val="0"/>
          <w:marTop w:val="0"/>
          <w:marBottom w:val="0"/>
          <w:divBdr>
            <w:top w:val="none" w:sz="0" w:space="0" w:color="auto"/>
            <w:left w:val="none" w:sz="0" w:space="0" w:color="auto"/>
            <w:bottom w:val="none" w:sz="0" w:space="0" w:color="auto"/>
            <w:right w:val="none" w:sz="0" w:space="0" w:color="auto"/>
          </w:divBdr>
        </w:div>
        <w:div w:id="460418818">
          <w:marLeft w:val="0"/>
          <w:marRight w:val="0"/>
          <w:marTop w:val="0"/>
          <w:marBottom w:val="0"/>
          <w:divBdr>
            <w:top w:val="none" w:sz="0" w:space="0" w:color="auto"/>
            <w:left w:val="none" w:sz="0" w:space="0" w:color="auto"/>
            <w:bottom w:val="none" w:sz="0" w:space="0" w:color="auto"/>
            <w:right w:val="none" w:sz="0" w:space="0" w:color="auto"/>
          </w:divBdr>
        </w:div>
        <w:div w:id="677923319">
          <w:marLeft w:val="0"/>
          <w:marRight w:val="0"/>
          <w:marTop w:val="0"/>
          <w:marBottom w:val="0"/>
          <w:divBdr>
            <w:top w:val="none" w:sz="0" w:space="0" w:color="auto"/>
            <w:left w:val="none" w:sz="0" w:space="0" w:color="auto"/>
            <w:bottom w:val="none" w:sz="0" w:space="0" w:color="auto"/>
            <w:right w:val="none" w:sz="0" w:space="0" w:color="auto"/>
          </w:divBdr>
        </w:div>
        <w:div w:id="876896481">
          <w:marLeft w:val="0"/>
          <w:marRight w:val="0"/>
          <w:marTop w:val="0"/>
          <w:marBottom w:val="0"/>
          <w:divBdr>
            <w:top w:val="none" w:sz="0" w:space="0" w:color="auto"/>
            <w:left w:val="none" w:sz="0" w:space="0" w:color="auto"/>
            <w:bottom w:val="none" w:sz="0" w:space="0" w:color="auto"/>
            <w:right w:val="none" w:sz="0" w:space="0" w:color="auto"/>
          </w:divBdr>
        </w:div>
        <w:div w:id="1120025703">
          <w:marLeft w:val="0"/>
          <w:marRight w:val="0"/>
          <w:marTop w:val="0"/>
          <w:marBottom w:val="0"/>
          <w:divBdr>
            <w:top w:val="none" w:sz="0" w:space="0" w:color="auto"/>
            <w:left w:val="none" w:sz="0" w:space="0" w:color="auto"/>
            <w:bottom w:val="none" w:sz="0" w:space="0" w:color="auto"/>
            <w:right w:val="none" w:sz="0" w:space="0" w:color="auto"/>
          </w:divBdr>
        </w:div>
        <w:div w:id="1143234033">
          <w:marLeft w:val="0"/>
          <w:marRight w:val="0"/>
          <w:marTop w:val="0"/>
          <w:marBottom w:val="0"/>
          <w:divBdr>
            <w:top w:val="none" w:sz="0" w:space="0" w:color="auto"/>
            <w:left w:val="none" w:sz="0" w:space="0" w:color="auto"/>
            <w:bottom w:val="none" w:sz="0" w:space="0" w:color="auto"/>
            <w:right w:val="none" w:sz="0" w:space="0" w:color="auto"/>
          </w:divBdr>
        </w:div>
        <w:div w:id="1492984628">
          <w:marLeft w:val="0"/>
          <w:marRight w:val="0"/>
          <w:marTop w:val="0"/>
          <w:marBottom w:val="0"/>
          <w:divBdr>
            <w:top w:val="none" w:sz="0" w:space="0" w:color="auto"/>
            <w:left w:val="none" w:sz="0" w:space="0" w:color="auto"/>
            <w:bottom w:val="none" w:sz="0" w:space="0" w:color="auto"/>
            <w:right w:val="none" w:sz="0" w:space="0" w:color="auto"/>
          </w:divBdr>
        </w:div>
        <w:div w:id="1539049350">
          <w:marLeft w:val="0"/>
          <w:marRight w:val="0"/>
          <w:marTop w:val="0"/>
          <w:marBottom w:val="0"/>
          <w:divBdr>
            <w:top w:val="none" w:sz="0" w:space="0" w:color="auto"/>
            <w:left w:val="none" w:sz="0" w:space="0" w:color="auto"/>
            <w:bottom w:val="none" w:sz="0" w:space="0" w:color="auto"/>
            <w:right w:val="none" w:sz="0" w:space="0" w:color="auto"/>
          </w:divBdr>
        </w:div>
        <w:div w:id="1677073648">
          <w:marLeft w:val="0"/>
          <w:marRight w:val="0"/>
          <w:marTop w:val="0"/>
          <w:marBottom w:val="0"/>
          <w:divBdr>
            <w:top w:val="none" w:sz="0" w:space="0" w:color="auto"/>
            <w:left w:val="none" w:sz="0" w:space="0" w:color="auto"/>
            <w:bottom w:val="none" w:sz="0" w:space="0" w:color="auto"/>
            <w:right w:val="none" w:sz="0" w:space="0" w:color="auto"/>
          </w:divBdr>
        </w:div>
        <w:div w:id="1988775158">
          <w:marLeft w:val="0"/>
          <w:marRight w:val="0"/>
          <w:marTop w:val="0"/>
          <w:marBottom w:val="0"/>
          <w:divBdr>
            <w:top w:val="none" w:sz="0" w:space="0" w:color="auto"/>
            <w:left w:val="none" w:sz="0" w:space="0" w:color="auto"/>
            <w:bottom w:val="none" w:sz="0" w:space="0" w:color="auto"/>
            <w:right w:val="none" w:sz="0" w:space="0" w:color="auto"/>
          </w:divBdr>
        </w:div>
      </w:divsChild>
    </w:div>
    <w:div w:id="679703757">
      <w:bodyDiv w:val="1"/>
      <w:marLeft w:val="0"/>
      <w:marRight w:val="0"/>
      <w:marTop w:val="0"/>
      <w:marBottom w:val="0"/>
      <w:divBdr>
        <w:top w:val="none" w:sz="0" w:space="0" w:color="auto"/>
        <w:left w:val="none" w:sz="0" w:space="0" w:color="auto"/>
        <w:bottom w:val="none" w:sz="0" w:space="0" w:color="auto"/>
        <w:right w:val="none" w:sz="0" w:space="0" w:color="auto"/>
      </w:divBdr>
      <w:divsChild>
        <w:div w:id="302269765">
          <w:marLeft w:val="0"/>
          <w:marRight w:val="0"/>
          <w:marTop w:val="0"/>
          <w:marBottom w:val="0"/>
          <w:divBdr>
            <w:top w:val="none" w:sz="0" w:space="0" w:color="auto"/>
            <w:left w:val="none" w:sz="0" w:space="0" w:color="auto"/>
            <w:bottom w:val="none" w:sz="0" w:space="0" w:color="auto"/>
            <w:right w:val="none" w:sz="0" w:space="0" w:color="auto"/>
          </w:divBdr>
        </w:div>
        <w:div w:id="793789496">
          <w:marLeft w:val="0"/>
          <w:marRight w:val="0"/>
          <w:marTop w:val="0"/>
          <w:marBottom w:val="0"/>
          <w:divBdr>
            <w:top w:val="none" w:sz="0" w:space="0" w:color="auto"/>
            <w:left w:val="none" w:sz="0" w:space="0" w:color="auto"/>
            <w:bottom w:val="none" w:sz="0" w:space="0" w:color="auto"/>
            <w:right w:val="none" w:sz="0" w:space="0" w:color="auto"/>
          </w:divBdr>
        </w:div>
        <w:div w:id="1949317245">
          <w:marLeft w:val="0"/>
          <w:marRight w:val="0"/>
          <w:marTop w:val="0"/>
          <w:marBottom w:val="0"/>
          <w:divBdr>
            <w:top w:val="none" w:sz="0" w:space="0" w:color="auto"/>
            <w:left w:val="none" w:sz="0" w:space="0" w:color="auto"/>
            <w:bottom w:val="none" w:sz="0" w:space="0" w:color="auto"/>
            <w:right w:val="none" w:sz="0" w:space="0" w:color="auto"/>
          </w:divBdr>
        </w:div>
        <w:div w:id="2046904104">
          <w:marLeft w:val="0"/>
          <w:marRight w:val="0"/>
          <w:marTop w:val="0"/>
          <w:marBottom w:val="0"/>
          <w:divBdr>
            <w:top w:val="none" w:sz="0" w:space="0" w:color="auto"/>
            <w:left w:val="none" w:sz="0" w:space="0" w:color="auto"/>
            <w:bottom w:val="none" w:sz="0" w:space="0" w:color="auto"/>
            <w:right w:val="none" w:sz="0" w:space="0" w:color="auto"/>
          </w:divBdr>
        </w:div>
      </w:divsChild>
    </w:div>
    <w:div w:id="695353439">
      <w:bodyDiv w:val="1"/>
      <w:marLeft w:val="0"/>
      <w:marRight w:val="0"/>
      <w:marTop w:val="0"/>
      <w:marBottom w:val="0"/>
      <w:divBdr>
        <w:top w:val="none" w:sz="0" w:space="0" w:color="auto"/>
        <w:left w:val="none" w:sz="0" w:space="0" w:color="auto"/>
        <w:bottom w:val="none" w:sz="0" w:space="0" w:color="auto"/>
        <w:right w:val="none" w:sz="0" w:space="0" w:color="auto"/>
      </w:divBdr>
    </w:div>
    <w:div w:id="699623338">
      <w:bodyDiv w:val="1"/>
      <w:marLeft w:val="0"/>
      <w:marRight w:val="0"/>
      <w:marTop w:val="0"/>
      <w:marBottom w:val="0"/>
      <w:divBdr>
        <w:top w:val="none" w:sz="0" w:space="0" w:color="auto"/>
        <w:left w:val="none" w:sz="0" w:space="0" w:color="auto"/>
        <w:bottom w:val="none" w:sz="0" w:space="0" w:color="auto"/>
        <w:right w:val="none" w:sz="0" w:space="0" w:color="auto"/>
      </w:divBdr>
    </w:div>
    <w:div w:id="710615367">
      <w:bodyDiv w:val="1"/>
      <w:marLeft w:val="0"/>
      <w:marRight w:val="0"/>
      <w:marTop w:val="0"/>
      <w:marBottom w:val="0"/>
      <w:divBdr>
        <w:top w:val="none" w:sz="0" w:space="0" w:color="auto"/>
        <w:left w:val="none" w:sz="0" w:space="0" w:color="auto"/>
        <w:bottom w:val="none" w:sz="0" w:space="0" w:color="auto"/>
        <w:right w:val="none" w:sz="0" w:space="0" w:color="auto"/>
      </w:divBdr>
    </w:div>
    <w:div w:id="717436273">
      <w:bodyDiv w:val="1"/>
      <w:marLeft w:val="0"/>
      <w:marRight w:val="0"/>
      <w:marTop w:val="0"/>
      <w:marBottom w:val="0"/>
      <w:divBdr>
        <w:top w:val="none" w:sz="0" w:space="0" w:color="auto"/>
        <w:left w:val="none" w:sz="0" w:space="0" w:color="auto"/>
        <w:bottom w:val="none" w:sz="0" w:space="0" w:color="auto"/>
        <w:right w:val="none" w:sz="0" w:space="0" w:color="auto"/>
      </w:divBdr>
      <w:divsChild>
        <w:div w:id="167256094">
          <w:marLeft w:val="0"/>
          <w:marRight w:val="0"/>
          <w:marTop w:val="0"/>
          <w:marBottom w:val="0"/>
          <w:divBdr>
            <w:top w:val="none" w:sz="0" w:space="0" w:color="auto"/>
            <w:left w:val="none" w:sz="0" w:space="0" w:color="auto"/>
            <w:bottom w:val="none" w:sz="0" w:space="0" w:color="auto"/>
            <w:right w:val="none" w:sz="0" w:space="0" w:color="auto"/>
          </w:divBdr>
        </w:div>
        <w:div w:id="517697365">
          <w:marLeft w:val="0"/>
          <w:marRight w:val="0"/>
          <w:marTop w:val="0"/>
          <w:marBottom w:val="0"/>
          <w:divBdr>
            <w:top w:val="none" w:sz="0" w:space="0" w:color="auto"/>
            <w:left w:val="none" w:sz="0" w:space="0" w:color="auto"/>
            <w:bottom w:val="none" w:sz="0" w:space="0" w:color="auto"/>
            <w:right w:val="none" w:sz="0" w:space="0" w:color="auto"/>
          </w:divBdr>
        </w:div>
        <w:div w:id="526410139">
          <w:marLeft w:val="0"/>
          <w:marRight w:val="0"/>
          <w:marTop w:val="0"/>
          <w:marBottom w:val="0"/>
          <w:divBdr>
            <w:top w:val="none" w:sz="0" w:space="0" w:color="auto"/>
            <w:left w:val="none" w:sz="0" w:space="0" w:color="auto"/>
            <w:bottom w:val="none" w:sz="0" w:space="0" w:color="auto"/>
            <w:right w:val="none" w:sz="0" w:space="0" w:color="auto"/>
          </w:divBdr>
        </w:div>
        <w:div w:id="952903308">
          <w:marLeft w:val="0"/>
          <w:marRight w:val="0"/>
          <w:marTop w:val="0"/>
          <w:marBottom w:val="0"/>
          <w:divBdr>
            <w:top w:val="none" w:sz="0" w:space="0" w:color="auto"/>
            <w:left w:val="none" w:sz="0" w:space="0" w:color="auto"/>
            <w:bottom w:val="none" w:sz="0" w:space="0" w:color="auto"/>
            <w:right w:val="none" w:sz="0" w:space="0" w:color="auto"/>
          </w:divBdr>
        </w:div>
        <w:div w:id="1726175619">
          <w:marLeft w:val="0"/>
          <w:marRight w:val="0"/>
          <w:marTop w:val="0"/>
          <w:marBottom w:val="0"/>
          <w:divBdr>
            <w:top w:val="none" w:sz="0" w:space="0" w:color="auto"/>
            <w:left w:val="none" w:sz="0" w:space="0" w:color="auto"/>
            <w:bottom w:val="none" w:sz="0" w:space="0" w:color="auto"/>
            <w:right w:val="none" w:sz="0" w:space="0" w:color="auto"/>
          </w:divBdr>
        </w:div>
      </w:divsChild>
    </w:div>
    <w:div w:id="717782451">
      <w:bodyDiv w:val="1"/>
      <w:marLeft w:val="0"/>
      <w:marRight w:val="0"/>
      <w:marTop w:val="0"/>
      <w:marBottom w:val="0"/>
      <w:divBdr>
        <w:top w:val="none" w:sz="0" w:space="0" w:color="auto"/>
        <w:left w:val="none" w:sz="0" w:space="0" w:color="auto"/>
        <w:bottom w:val="none" w:sz="0" w:space="0" w:color="auto"/>
        <w:right w:val="none" w:sz="0" w:space="0" w:color="auto"/>
      </w:divBdr>
    </w:div>
    <w:div w:id="747002586">
      <w:bodyDiv w:val="1"/>
      <w:marLeft w:val="0"/>
      <w:marRight w:val="0"/>
      <w:marTop w:val="0"/>
      <w:marBottom w:val="0"/>
      <w:divBdr>
        <w:top w:val="none" w:sz="0" w:space="0" w:color="auto"/>
        <w:left w:val="none" w:sz="0" w:space="0" w:color="auto"/>
        <w:bottom w:val="none" w:sz="0" w:space="0" w:color="auto"/>
        <w:right w:val="none" w:sz="0" w:space="0" w:color="auto"/>
      </w:divBdr>
    </w:div>
    <w:div w:id="768551562">
      <w:bodyDiv w:val="1"/>
      <w:marLeft w:val="0"/>
      <w:marRight w:val="0"/>
      <w:marTop w:val="0"/>
      <w:marBottom w:val="0"/>
      <w:divBdr>
        <w:top w:val="none" w:sz="0" w:space="0" w:color="auto"/>
        <w:left w:val="none" w:sz="0" w:space="0" w:color="auto"/>
        <w:bottom w:val="none" w:sz="0" w:space="0" w:color="auto"/>
        <w:right w:val="none" w:sz="0" w:space="0" w:color="auto"/>
      </w:divBdr>
      <w:divsChild>
        <w:div w:id="1496342696">
          <w:marLeft w:val="0"/>
          <w:marRight w:val="0"/>
          <w:marTop w:val="0"/>
          <w:marBottom w:val="0"/>
          <w:divBdr>
            <w:top w:val="none" w:sz="0" w:space="0" w:color="auto"/>
            <w:left w:val="none" w:sz="0" w:space="0" w:color="auto"/>
            <w:bottom w:val="none" w:sz="0" w:space="0" w:color="auto"/>
            <w:right w:val="none" w:sz="0" w:space="0" w:color="auto"/>
          </w:divBdr>
        </w:div>
        <w:div w:id="1818722102">
          <w:marLeft w:val="0"/>
          <w:marRight w:val="0"/>
          <w:marTop w:val="0"/>
          <w:marBottom w:val="0"/>
          <w:divBdr>
            <w:top w:val="none" w:sz="0" w:space="0" w:color="auto"/>
            <w:left w:val="none" w:sz="0" w:space="0" w:color="auto"/>
            <w:bottom w:val="none" w:sz="0" w:space="0" w:color="auto"/>
            <w:right w:val="none" w:sz="0" w:space="0" w:color="auto"/>
          </w:divBdr>
        </w:div>
      </w:divsChild>
    </w:div>
    <w:div w:id="780075122">
      <w:bodyDiv w:val="1"/>
      <w:marLeft w:val="0"/>
      <w:marRight w:val="0"/>
      <w:marTop w:val="0"/>
      <w:marBottom w:val="0"/>
      <w:divBdr>
        <w:top w:val="none" w:sz="0" w:space="0" w:color="auto"/>
        <w:left w:val="none" w:sz="0" w:space="0" w:color="auto"/>
        <w:bottom w:val="none" w:sz="0" w:space="0" w:color="auto"/>
        <w:right w:val="none" w:sz="0" w:space="0" w:color="auto"/>
      </w:divBdr>
      <w:divsChild>
        <w:div w:id="464466123">
          <w:marLeft w:val="0"/>
          <w:marRight w:val="0"/>
          <w:marTop w:val="0"/>
          <w:marBottom w:val="0"/>
          <w:divBdr>
            <w:top w:val="none" w:sz="0" w:space="0" w:color="auto"/>
            <w:left w:val="none" w:sz="0" w:space="0" w:color="auto"/>
            <w:bottom w:val="none" w:sz="0" w:space="0" w:color="auto"/>
            <w:right w:val="none" w:sz="0" w:space="0" w:color="auto"/>
          </w:divBdr>
        </w:div>
        <w:div w:id="1174339952">
          <w:marLeft w:val="0"/>
          <w:marRight w:val="0"/>
          <w:marTop w:val="0"/>
          <w:marBottom w:val="0"/>
          <w:divBdr>
            <w:top w:val="none" w:sz="0" w:space="0" w:color="auto"/>
            <w:left w:val="none" w:sz="0" w:space="0" w:color="auto"/>
            <w:bottom w:val="none" w:sz="0" w:space="0" w:color="auto"/>
            <w:right w:val="none" w:sz="0" w:space="0" w:color="auto"/>
          </w:divBdr>
        </w:div>
        <w:div w:id="1270506793">
          <w:marLeft w:val="0"/>
          <w:marRight w:val="0"/>
          <w:marTop w:val="0"/>
          <w:marBottom w:val="0"/>
          <w:divBdr>
            <w:top w:val="none" w:sz="0" w:space="0" w:color="auto"/>
            <w:left w:val="none" w:sz="0" w:space="0" w:color="auto"/>
            <w:bottom w:val="none" w:sz="0" w:space="0" w:color="auto"/>
            <w:right w:val="none" w:sz="0" w:space="0" w:color="auto"/>
          </w:divBdr>
        </w:div>
        <w:div w:id="1740907010">
          <w:marLeft w:val="0"/>
          <w:marRight w:val="0"/>
          <w:marTop w:val="0"/>
          <w:marBottom w:val="0"/>
          <w:divBdr>
            <w:top w:val="none" w:sz="0" w:space="0" w:color="auto"/>
            <w:left w:val="none" w:sz="0" w:space="0" w:color="auto"/>
            <w:bottom w:val="none" w:sz="0" w:space="0" w:color="auto"/>
            <w:right w:val="none" w:sz="0" w:space="0" w:color="auto"/>
          </w:divBdr>
        </w:div>
        <w:div w:id="1923105048">
          <w:marLeft w:val="0"/>
          <w:marRight w:val="0"/>
          <w:marTop w:val="0"/>
          <w:marBottom w:val="0"/>
          <w:divBdr>
            <w:top w:val="none" w:sz="0" w:space="0" w:color="auto"/>
            <w:left w:val="none" w:sz="0" w:space="0" w:color="auto"/>
            <w:bottom w:val="none" w:sz="0" w:space="0" w:color="auto"/>
            <w:right w:val="none" w:sz="0" w:space="0" w:color="auto"/>
          </w:divBdr>
        </w:div>
      </w:divsChild>
    </w:div>
    <w:div w:id="782068351">
      <w:bodyDiv w:val="1"/>
      <w:marLeft w:val="0"/>
      <w:marRight w:val="0"/>
      <w:marTop w:val="0"/>
      <w:marBottom w:val="0"/>
      <w:divBdr>
        <w:top w:val="none" w:sz="0" w:space="0" w:color="auto"/>
        <w:left w:val="none" w:sz="0" w:space="0" w:color="auto"/>
        <w:bottom w:val="none" w:sz="0" w:space="0" w:color="auto"/>
        <w:right w:val="none" w:sz="0" w:space="0" w:color="auto"/>
      </w:divBdr>
    </w:div>
    <w:div w:id="797186608">
      <w:bodyDiv w:val="1"/>
      <w:marLeft w:val="0"/>
      <w:marRight w:val="0"/>
      <w:marTop w:val="0"/>
      <w:marBottom w:val="0"/>
      <w:divBdr>
        <w:top w:val="none" w:sz="0" w:space="0" w:color="auto"/>
        <w:left w:val="none" w:sz="0" w:space="0" w:color="auto"/>
        <w:bottom w:val="none" w:sz="0" w:space="0" w:color="auto"/>
        <w:right w:val="none" w:sz="0" w:space="0" w:color="auto"/>
      </w:divBdr>
    </w:div>
    <w:div w:id="798375918">
      <w:bodyDiv w:val="1"/>
      <w:marLeft w:val="0"/>
      <w:marRight w:val="0"/>
      <w:marTop w:val="0"/>
      <w:marBottom w:val="0"/>
      <w:divBdr>
        <w:top w:val="none" w:sz="0" w:space="0" w:color="auto"/>
        <w:left w:val="none" w:sz="0" w:space="0" w:color="auto"/>
        <w:bottom w:val="none" w:sz="0" w:space="0" w:color="auto"/>
        <w:right w:val="none" w:sz="0" w:space="0" w:color="auto"/>
      </w:divBdr>
    </w:div>
    <w:div w:id="805129151">
      <w:bodyDiv w:val="1"/>
      <w:marLeft w:val="0"/>
      <w:marRight w:val="0"/>
      <w:marTop w:val="0"/>
      <w:marBottom w:val="0"/>
      <w:divBdr>
        <w:top w:val="none" w:sz="0" w:space="0" w:color="auto"/>
        <w:left w:val="none" w:sz="0" w:space="0" w:color="auto"/>
        <w:bottom w:val="none" w:sz="0" w:space="0" w:color="auto"/>
        <w:right w:val="none" w:sz="0" w:space="0" w:color="auto"/>
      </w:divBdr>
      <w:divsChild>
        <w:div w:id="145367616">
          <w:marLeft w:val="0"/>
          <w:marRight w:val="0"/>
          <w:marTop w:val="0"/>
          <w:marBottom w:val="0"/>
          <w:divBdr>
            <w:top w:val="none" w:sz="0" w:space="0" w:color="auto"/>
            <w:left w:val="none" w:sz="0" w:space="0" w:color="auto"/>
            <w:bottom w:val="none" w:sz="0" w:space="0" w:color="auto"/>
            <w:right w:val="none" w:sz="0" w:space="0" w:color="auto"/>
          </w:divBdr>
        </w:div>
        <w:div w:id="252587716">
          <w:marLeft w:val="0"/>
          <w:marRight w:val="0"/>
          <w:marTop w:val="0"/>
          <w:marBottom w:val="0"/>
          <w:divBdr>
            <w:top w:val="none" w:sz="0" w:space="0" w:color="auto"/>
            <w:left w:val="none" w:sz="0" w:space="0" w:color="auto"/>
            <w:bottom w:val="none" w:sz="0" w:space="0" w:color="auto"/>
            <w:right w:val="none" w:sz="0" w:space="0" w:color="auto"/>
          </w:divBdr>
        </w:div>
        <w:div w:id="666789199">
          <w:marLeft w:val="0"/>
          <w:marRight w:val="0"/>
          <w:marTop w:val="0"/>
          <w:marBottom w:val="0"/>
          <w:divBdr>
            <w:top w:val="none" w:sz="0" w:space="0" w:color="auto"/>
            <w:left w:val="none" w:sz="0" w:space="0" w:color="auto"/>
            <w:bottom w:val="none" w:sz="0" w:space="0" w:color="auto"/>
            <w:right w:val="none" w:sz="0" w:space="0" w:color="auto"/>
          </w:divBdr>
        </w:div>
        <w:div w:id="772824058">
          <w:marLeft w:val="0"/>
          <w:marRight w:val="0"/>
          <w:marTop w:val="0"/>
          <w:marBottom w:val="0"/>
          <w:divBdr>
            <w:top w:val="none" w:sz="0" w:space="0" w:color="auto"/>
            <w:left w:val="none" w:sz="0" w:space="0" w:color="auto"/>
            <w:bottom w:val="none" w:sz="0" w:space="0" w:color="auto"/>
            <w:right w:val="none" w:sz="0" w:space="0" w:color="auto"/>
          </w:divBdr>
        </w:div>
        <w:div w:id="858084159">
          <w:marLeft w:val="0"/>
          <w:marRight w:val="0"/>
          <w:marTop w:val="0"/>
          <w:marBottom w:val="0"/>
          <w:divBdr>
            <w:top w:val="none" w:sz="0" w:space="0" w:color="auto"/>
            <w:left w:val="none" w:sz="0" w:space="0" w:color="auto"/>
            <w:bottom w:val="none" w:sz="0" w:space="0" w:color="auto"/>
            <w:right w:val="none" w:sz="0" w:space="0" w:color="auto"/>
          </w:divBdr>
        </w:div>
        <w:div w:id="1440490165">
          <w:marLeft w:val="0"/>
          <w:marRight w:val="0"/>
          <w:marTop w:val="0"/>
          <w:marBottom w:val="0"/>
          <w:divBdr>
            <w:top w:val="none" w:sz="0" w:space="0" w:color="auto"/>
            <w:left w:val="none" w:sz="0" w:space="0" w:color="auto"/>
            <w:bottom w:val="none" w:sz="0" w:space="0" w:color="auto"/>
            <w:right w:val="none" w:sz="0" w:space="0" w:color="auto"/>
          </w:divBdr>
        </w:div>
      </w:divsChild>
    </w:div>
    <w:div w:id="820581498">
      <w:bodyDiv w:val="1"/>
      <w:marLeft w:val="0"/>
      <w:marRight w:val="0"/>
      <w:marTop w:val="0"/>
      <w:marBottom w:val="0"/>
      <w:divBdr>
        <w:top w:val="none" w:sz="0" w:space="0" w:color="auto"/>
        <w:left w:val="none" w:sz="0" w:space="0" w:color="auto"/>
        <w:bottom w:val="none" w:sz="0" w:space="0" w:color="auto"/>
        <w:right w:val="none" w:sz="0" w:space="0" w:color="auto"/>
      </w:divBdr>
    </w:div>
    <w:div w:id="834685316">
      <w:bodyDiv w:val="1"/>
      <w:marLeft w:val="0"/>
      <w:marRight w:val="0"/>
      <w:marTop w:val="0"/>
      <w:marBottom w:val="0"/>
      <w:divBdr>
        <w:top w:val="none" w:sz="0" w:space="0" w:color="auto"/>
        <w:left w:val="none" w:sz="0" w:space="0" w:color="auto"/>
        <w:bottom w:val="none" w:sz="0" w:space="0" w:color="auto"/>
        <w:right w:val="none" w:sz="0" w:space="0" w:color="auto"/>
      </w:divBdr>
    </w:div>
    <w:div w:id="836001232">
      <w:bodyDiv w:val="1"/>
      <w:marLeft w:val="0"/>
      <w:marRight w:val="0"/>
      <w:marTop w:val="0"/>
      <w:marBottom w:val="0"/>
      <w:divBdr>
        <w:top w:val="none" w:sz="0" w:space="0" w:color="auto"/>
        <w:left w:val="none" w:sz="0" w:space="0" w:color="auto"/>
        <w:bottom w:val="none" w:sz="0" w:space="0" w:color="auto"/>
        <w:right w:val="none" w:sz="0" w:space="0" w:color="auto"/>
      </w:divBdr>
    </w:div>
    <w:div w:id="837159220">
      <w:bodyDiv w:val="1"/>
      <w:marLeft w:val="0"/>
      <w:marRight w:val="0"/>
      <w:marTop w:val="0"/>
      <w:marBottom w:val="0"/>
      <w:divBdr>
        <w:top w:val="none" w:sz="0" w:space="0" w:color="auto"/>
        <w:left w:val="none" w:sz="0" w:space="0" w:color="auto"/>
        <w:bottom w:val="none" w:sz="0" w:space="0" w:color="auto"/>
        <w:right w:val="none" w:sz="0" w:space="0" w:color="auto"/>
      </w:divBdr>
    </w:div>
    <w:div w:id="850726387">
      <w:bodyDiv w:val="1"/>
      <w:marLeft w:val="0"/>
      <w:marRight w:val="0"/>
      <w:marTop w:val="0"/>
      <w:marBottom w:val="0"/>
      <w:divBdr>
        <w:top w:val="none" w:sz="0" w:space="0" w:color="auto"/>
        <w:left w:val="none" w:sz="0" w:space="0" w:color="auto"/>
        <w:bottom w:val="none" w:sz="0" w:space="0" w:color="auto"/>
        <w:right w:val="none" w:sz="0" w:space="0" w:color="auto"/>
      </w:divBdr>
    </w:div>
    <w:div w:id="856575163">
      <w:bodyDiv w:val="1"/>
      <w:marLeft w:val="0"/>
      <w:marRight w:val="0"/>
      <w:marTop w:val="0"/>
      <w:marBottom w:val="0"/>
      <w:divBdr>
        <w:top w:val="none" w:sz="0" w:space="0" w:color="auto"/>
        <w:left w:val="none" w:sz="0" w:space="0" w:color="auto"/>
        <w:bottom w:val="none" w:sz="0" w:space="0" w:color="auto"/>
        <w:right w:val="none" w:sz="0" w:space="0" w:color="auto"/>
      </w:divBdr>
    </w:div>
    <w:div w:id="883298768">
      <w:bodyDiv w:val="1"/>
      <w:marLeft w:val="0"/>
      <w:marRight w:val="0"/>
      <w:marTop w:val="0"/>
      <w:marBottom w:val="0"/>
      <w:divBdr>
        <w:top w:val="none" w:sz="0" w:space="0" w:color="auto"/>
        <w:left w:val="none" w:sz="0" w:space="0" w:color="auto"/>
        <w:bottom w:val="none" w:sz="0" w:space="0" w:color="auto"/>
        <w:right w:val="none" w:sz="0" w:space="0" w:color="auto"/>
      </w:divBdr>
    </w:div>
    <w:div w:id="907227852">
      <w:bodyDiv w:val="1"/>
      <w:marLeft w:val="0"/>
      <w:marRight w:val="0"/>
      <w:marTop w:val="0"/>
      <w:marBottom w:val="0"/>
      <w:divBdr>
        <w:top w:val="none" w:sz="0" w:space="0" w:color="auto"/>
        <w:left w:val="none" w:sz="0" w:space="0" w:color="auto"/>
        <w:bottom w:val="none" w:sz="0" w:space="0" w:color="auto"/>
        <w:right w:val="none" w:sz="0" w:space="0" w:color="auto"/>
      </w:divBdr>
    </w:div>
    <w:div w:id="909340189">
      <w:bodyDiv w:val="1"/>
      <w:marLeft w:val="0"/>
      <w:marRight w:val="0"/>
      <w:marTop w:val="0"/>
      <w:marBottom w:val="0"/>
      <w:divBdr>
        <w:top w:val="none" w:sz="0" w:space="0" w:color="auto"/>
        <w:left w:val="none" w:sz="0" w:space="0" w:color="auto"/>
        <w:bottom w:val="none" w:sz="0" w:space="0" w:color="auto"/>
        <w:right w:val="none" w:sz="0" w:space="0" w:color="auto"/>
      </w:divBdr>
    </w:div>
    <w:div w:id="924265528">
      <w:bodyDiv w:val="1"/>
      <w:marLeft w:val="0"/>
      <w:marRight w:val="0"/>
      <w:marTop w:val="0"/>
      <w:marBottom w:val="0"/>
      <w:divBdr>
        <w:top w:val="none" w:sz="0" w:space="0" w:color="auto"/>
        <w:left w:val="none" w:sz="0" w:space="0" w:color="auto"/>
        <w:bottom w:val="none" w:sz="0" w:space="0" w:color="auto"/>
        <w:right w:val="none" w:sz="0" w:space="0" w:color="auto"/>
      </w:divBdr>
    </w:div>
    <w:div w:id="938610702">
      <w:bodyDiv w:val="1"/>
      <w:marLeft w:val="0"/>
      <w:marRight w:val="0"/>
      <w:marTop w:val="0"/>
      <w:marBottom w:val="0"/>
      <w:divBdr>
        <w:top w:val="none" w:sz="0" w:space="0" w:color="auto"/>
        <w:left w:val="none" w:sz="0" w:space="0" w:color="auto"/>
        <w:bottom w:val="none" w:sz="0" w:space="0" w:color="auto"/>
        <w:right w:val="none" w:sz="0" w:space="0" w:color="auto"/>
      </w:divBdr>
    </w:div>
    <w:div w:id="942224391">
      <w:bodyDiv w:val="1"/>
      <w:marLeft w:val="0"/>
      <w:marRight w:val="0"/>
      <w:marTop w:val="0"/>
      <w:marBottom w:val="0"/>
      <w:divBdr>
        <w:top w:val="none" w:sz="0" w:space="0" w:color="auto"/>
        <w:left w:val="none" w:sz="0" w:space="0" w:color="auto"/>
        <w:bottom w:val="none" w:sz="0" w:space="0" w:color="auto"/>
        <w:right w:val="none" w:sz="0" w:space="0" w:color="auto"/>
      </w:divBdr>
    </w:div>
    <w:div w:id="953293853">
      <w:bodyDiv w:val="1"/>
      <w:marLeft w:val="0"/>
      <w:marRight w:val="0"/>
      <w:marTop w:val="0"/>
      <w:marBottom w:val="0"/>
      <w:divBdr>
        <w:top w:val="none" w:sz="0" w:space="0" w:color="auto"/>
        <w:left w:val="none" w:sz="0" w:space="0" w:color="auto"/>
        <w:bottom w:val="none" w:sz="0" w:space="0" w:color="auto"/>
        <w:right w:val="none" w:sz="0" w:space="0" w:color="auto"/>
      </w:divBdr>
    </w:div>
    <w:div w:id="1055277821">
      <w:bodyDiv w:val="1"/>
      <w:marLeft w:val="0"/>
      <w:marRight w:val="0"/>
      <w:marTop w:val="0"/>
      <w:marBottom w:val="0"/>
      <w:divBdr>
        <w:top w:val="none" w:sz="0" w:space="0" w:color="auto"/>
        <w:left w:val="none" w:sz="0" w:space="0" w:color="auto"/>
        <w:bottom w:val="none" w:sz="0" w:space="0" w:color="auto"/>
        <w:right w:val="none" w:sz="0" w:space="0" w:color="auto"/>
      </w:divBdr>
    </w:div>
    <w:div w:id="1059748040">
      <w:bodyDiv w:val="1"/>
      <w:marLeft w:val="0"/>
      <w:marRight w:val="0"/>
      <w:marTop w:val="0"/>
      <w:marBottom w:val="0"/>
      <w:divBdr>
        <w:top w:val="none" w:sz="0" w:space="0" w:color="auto"/>
        <w:left w:val="none" w:sz="0" w:space="0" w:color="auto"/>
        <w:bottom w:val="none" w:sz="0" w:space="0" w:color="auto"/>
        <w:right w:val="none" w:sz="0" w:space="0" w:color="auto"/>
      </w:divBdr>
    </w:div>
    <w:div w:id="1063405015">
      <w:bodyDiv w:val="1"/>
      <w:marLeft w:val="0"/>
      <w:marRight w:val="0"/>
      <w:marTop w:val="0"/>
      <w:marBottom w:val="0"/>
      <w:divBdr>
        <w:top w:val="none" w:sz="0" w:space="0" w:color="auto"/>
        <w:left w:val="none" w:sz="0" w:space="0" w:color="auto"/>
        <w:bottom w:val="none" w:sz="0" w:space="0" w:color="auto"/>
        <w:right w:val="none" w:sz="0" w:space="0" w:color="auto"/>
      </w:divBdr>
      <w:divsChild>
        <w:div w:id="1152285953">
          <w:marLeft w:val="0"/>
          <w:marRight w:val="0"/>
          <w:marTop w:val="0"/>
          <w:marBottom w:val="0"/>
          <w:divBdr>
            <w:top w:val="none" w:sz="0" w:space="0" w:color="auto"/>
            <w:left w:val="none" w:sz="0" w:space="0" w:color="auto"/>
            <w:bottom w:val="none" w:sz="0" w:space="0" w:color="auto"/>
            <w:right w:val="none" w:sz="0" w:space="0" w:color="auto"/>
          </w:divBdr>
          <w:divsChild>
            <w:div w:id="644551072">
              <w:marLeft w:val="0"/>
              <w:marRight w:val="0"/>
              <w:marTop w:val="0"/>
              <w:marBottom w:val="0"/>
              <w:divBdr>
                <w:top w:val="none" w:sz="0" w:space="0" w:color="auto"/>
                <w:left w:val="none" w:sz="0" w:space="0" w:color="auto"/>
                <w:bottom w:val="none" w:sz="0" w:space="0" w:color="auto"/>
                <w:right w:val="none" w:sz="0" w:space="0" w:color="auto"/>
              </w:divBdr>
              <w:divsChild>
                <w:div w:id="803157060">
                  <w:marLeft w:val="0"/>
                  <w:marRight w:val="0"/>
                  <w:marTop w:val="0"/>
                  <w:marBottom w:val="0"/>
                  <w:divBdr>
                    <w:top w:val="none" w:sz="0" w:space="0" w:color="auto"/>
                    <w:left w:val="none" w:sz="0" w:space="0" w:color="auto"/>
                    <w:bottom w:val="none" w:sz="0" w:space="0" w:color="auto"/>
                    <w:right w:val="none" w:sz="0" w:space="0" w:color="auto"/>
                  </w:divBdr>
                  <w:divsChild>
                    <w:div w:id="36587311">
                      <w:marLeft w:val="0"/>
                      <w:marRight w:val="0"/>
                      <w:marTop w:val="0"/>
                      <w:marBottom w:val="0"/>
                      <w:divBdr>
                        <w:top w:val="none" w:sz="0" w:space="0" w:color="auto"/>
                        <w:left w:val="none" w:sz="0" w:space="0" w:color="auto"/>
                        <w:bottom w:val="none" w:sz="0" w:space="0" w:color="auto"/>
                        <w:right w:val="none" w:sz="0" w:space="0" w:color="auto"/>
                      </w:divBdr>
                    </w:div>
                    <w:div w:id="59327002">
                      <w:marLeft w:val="0"/>
                      <w:marRight w:val="0"/>
                      <w:marTop w:val="0"/>
                      <w:marBottom w:val="0"/>
                      <w:divBdr>
                        <w:top w:val="none" w:sz="0" w:space="0" w:color="auto"/>
                        <w:left w:val="none" w:sz="0" w:space="0" w:color="auto"/>
                        <w:bottom w:val="none" w:sz="0" w:space="0" w:color="auto"/>
                        <w:right w:val="none" w:sz="0" w:space="0" w:color="auto"/>
                      </w:divBdr>
                    </w:div>
                    <w:div w:id="1851793645">
                      <w:marLeft w:val="0"/>
                      <w:marRight w:val="0"/>
                      <w:marTop w:val="0"/>
                      <w:marBottom w:val="0"/>
                      <w:divBdr>
                        <w:top w:val="none" w:sz="0" w:space="0" w:color="auto"/>
                        <w:left w:val="none" w:sz="0" w:space="0" w:color="auto"/>
                        <w:bottom w:val="none" w:sz="0" w:space="0" w:color="auto"/>
                        <w:right w:val="none" w:sz="0" w:space="0" w:color="auto"/>
                      </w:divBdr>
                    </w:div>
                    <w:div w:id="20528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21318">
      <w:bodyDiv w:val="1"/>
      <w:marLeft w:val="0"/>
      <w:marRight w:val="0"/>
      <w:marTop w:val="0"/>
      <w:marBottom w:val="0"/>
      <w:divBdr>
        <w:top w:val="none" w:sz="0" w:space="0" w:color="auto"/>
        <w:left w:val="none" w:sz="0" w:space="0" w:color="auto"/>
        <w:bottom w:val="none" w:sz="0" w:space="0" w:color="auto"/>
        <w:right w:val="none" w:sz="0" w:space="0" w:color="auto"/>
      </w:divBdr>
      <w:divsChild>
        <w:div w:id="591863625">
          <w:marLeft w:val="0"/>
          <w:marRight w:val="0"/>
          <w:marTop w:val="0"/>
          <w:marBottom w:val="0"/>
          <w:divBdr>
            <w:top w:val="none" w:sz="0" w:space="0" w:color="auto"/>
            <w:left w:val="none" w:sz="0" w:space="0" w:color="auto"/>
            <w:bottom w:val="none" w:sz="0" w:space="0" w:color="auto"/>
            <w:right w:val="none" w:sz="0" w:space="0" w:color="auto"/>
          </w:divBdr>
        </w:div>
        <w:div w:id="1236744614">
          <w:marLeft w:val="0"/>
          <w:marRight w:val="0"/>
          <w:marTop w:val="0"/>
          <w:marBottom w:val="0"/>
          <w:divBdr>
            <w:top w:val="none" w:sz="0" w:space="0" w:color="auto"/>
            <w:left w:val="none" w:sz="0" w:space="0" w:color="auto"/>
            <w:bottom w:val="none" w:sz="0" w:space="0" w:color="auto"/>
            <w:right w:val="none" w:sz="0" w:space="0" w:color="auto"/>
          </w:divBdr>
        </w:div>
        <w:div w:id="1929654781">
          <w:marLeft w:val="0"/>
          <w:marRight w:val="0"/>
          <w:marTop w:val="0"/>
          <w:marBottom w:val="0"/>
          <w:divBdr>
            <w:top w:val="none" w:sz="0" w:space="0" w:color="auto"/>
            <w:left w:val="none" w:sz="0" w:space="0" w:color="auto"/>
            <w:bottom w:val="none" w:sz="0" w:space="0" w:color="auto"/>
            <w:right w:val="none" w:sz="0" w:space="0" w:color="auto"/>
          </w:divBdr>
        </w:div>
      </w:divsChild>
    </w:div>
    <w:div w:id="1081558677">
      <w:bodyDiv w:val="1"/>
      <w:marLeft w:val="0"/>
      <w:marRight w:val="0"/>
      <w:marTop w:val="0"/>
      <w:marBottom w:val="0"/>
      <w:divBdr>
        <w:top w:val="none" w:sz="0" w:space="0" w:color="auto"/>
        <w:left w:val="none" w:sz="0" w:space="0" w:color="auto"/>
        <w:bottom w:val="none" w:sz="0" w:space="0" w:color="auto"/>
        <w:right w:val="none" w:sz="0" w:space="0" w:color="auto"/>
      </w:divBdr>
    </w:div>
    <w:div w:id="1090656552">
      <w:bodyDiv w:val="1"/>
      <w:marLeft w:val="0"/>
      <w:marRight w:val="0"/>
      <w:marTop w:val="0"/>
      <w:marBottom w:val="0"/>
      <w:divBdr>
        <w:top w:val="none" w:sz="0" w:space="0" w:color="auto"/>
        <w:left w:val="none" w:sz="0" w:space="0" w:color="auto"/>
        <w:bottom w:val="none" w:sz="0" w:space="0" w:color="auto"/>
        <w:right w:val="none" w:sz="0" w:space="0" w:color="auto"/>
      </w:divBdr>
    </w:div>
    <w:div w:id="1092164398">
      <w:bodyDiv w:val="1"/>
      <w:marLeft w:val="0"/>
      <w:marRight w:val="0"/>
      <w:marTop w:val="0"/>
      <w:marBottom w:val="0"/>
      <w:divBdr>
        <w:top w:val="none" w:sz="0" w:space="0" w:color="auto"/>
        <w:left w:val="none" w:sz="0" w:space="0" w:color="auto"/>
        <w:bottom w:val="none" w:sz="0" w:space="0" w:color="auto"/>
        <w:right w:val="none" w:sz="0" w:space="0" w:color="auto"/>
      </w:divBdr>
    </w:div>
    <w:div w:id="1156651119">
      <w:bodyDiv w:val="1"/>
      <w:marLeft w:val="0"/>
      <w:marRight w:val="0"/>
      <w:marTop w:val="0"/>
      <w:marBottom w:val="0"/>
      <w:divBdr>
        <w:top w:val="none" w:sz="0" w:space="0" w:color="auto"/>
        <w:left w:val="none" w:sz="0" w:space="0" w:color="auto"/>
        <w:bottom w:val="none" w:sz="0" w:space="0" w:color="auto"/>
        <w:right w:val="none" w:sz="0" w:space="0" w:color="auto"/>
      </w:divBdr>
    </w:div>
    <w:div w:id="1158885355">
      <w:bodyDiv w:val="1"/>
      <w:marLeft w:val="0"/>
      <w:marRight w:val="0"/>
      <w:marTop w:val="0"/>
      <w:marBottom w:val="0"/>
      <w:divBdr>
        <w:top w:val="none" w:sz="0" w:space="0" w:color="auto"/>
        <w:left w:val="none" w:sz="0" w:space="0" w:color="auto"/>
        <w:bottom w:val="none" w:sz="0" w:space="0" w:color="auto"/>
        <w:right w:val="none" w:sz="0" w:space="0" w:color="auto"/>
      </w:divBdr>
    </w:div>
    <w:div w:id="1179928464">
      <w:bodyDiv w:val="1"/>
      <w:marLeft w:val="0"/>
      <w:marRight w:val="0"/>
      <w:marTop w:val="0"/>
      <w:marBottom w:val="0"/>
      <w:divBdr>
        <w:top w:val="none" w:sz="0" w:space="0" w:color="auto"/>
        <w:left w:val="none" w:sz="0" w:space="0" w:color="auto"/>
        <w:bottom w:val="none" w:sz="0" w:space="0" w:color="auto"/>
        <w:right w:val="none" w:sz="0" w:space="0" w:color="auto"/>
      </w:divBdr>
    </w:div>
    <w:div w:id="1195581882">
      <w:bodyDiv w:val="1"/>
      <w:marLeft w:val="0"/>
      <w:marRight w:val="0"/>
      <w:marTop w:val="0"/>
      <w:marBottom w:val="0"/>
      <w:divBdr>
        <w:top w:val="none" w:sz="0" w:space="0" w:color="auto"/>
        <w:left w:val="none" w:sz="0" w:space="0" w:color="auto"/>
        <w:bottom w:val="none" w:sz="0" w:space="0" w:color="auto"/>
        <w:right w:val="none" w:sz="0" w:space="0" w:color="auto"/>
      </w:divBdr>
    </w:div>
    <w:div w:id="1216426976">
      <w:bodyDiv w:val="1"/>
      <w:marLeft w:val="0"/>
      <w:marRight w:val="0"/>
      <w:marTop w:val="0"/>
      <w:marBottom w:val="0"/>
      <w:divBdr>
        <w:top w:val="none" w:sz="0" w:space="0" w:color="auto"/>
        <w:left w:val="none" w:sz="0" w:space="0" w:color="auto"/>
        <w:bottom w:val="none" w:sz="0" w:space="0" w:color="auto"/>
        <w:right w:val="none" w:sz="0" w:space="0" w:color="auto"/>
      </w:divBdr>
    </w:div>
    <w:div w:id="1218130800">
      <w:bodyDiv w:val="1"/>
      <w:marLeft w:val="0"/>
      <w:marRight w:val="0"/>
      <w:marTop w:val="0"/>
      <w:marBottom w:val="0"/>
      <w:divBdr>
        <w:top w:val="none" w:sz="0" w:space="0" w:color="auto"/>
        <w:left w:val="none" w:sz="0" w:space="0" w:color="auto"/>
        <w:bottom w:val="none" w:sz="0" w:space="0" w:color="auto"/>
        <w:right w:val="none" w:sz="0" w:space="0" w:color="auto"/>
      </w:divBdr>
    </w:div>
    <w:div w:id="1224177755">
      <w:bodyDiv w:val="1"/>
      <w:marLeft w:val="0"/>
      <w:marRight w:val="0"/>
      <w:marTop w:val="0"/>
      <w:marBottom w:val="0"/>
      <w:divBdr>
        <w:top w:val="none" w:sz="0" w:space="0" w:color="auto"/>
        <w:left w:val="none" w:sz="0" w:space="0" w:color="auto"/>
        <w:bottom w:val="none" w:sz="0" w:space="0" w:color="auto"/>
        <w:right w:val="none" w:sz="0" w:space="0" w:color="auto"/>
      </w:divBdr>
      <w:divsChild>
        <w:div w:id="1998194003">
          <w:marLeft w:val="965"/>
          <w:marRight w:val="0"/>
          <w:marTop w:val="77"/>
          <w:marBottom w:val="0"/>
          <w:divBdr>
            <w:top w:val="none" w:sz="0" w:space="0" w:color="auto"/>
            <w:left w:val="none" w:sz="0" w:space="0" w:color="auto"/>
            <w:bottom w:val="none" w:sz="0" w:space="0" w:color="auto"/>
            <w:right w:val="none" w:sz="0" w:space="0" w:color="auto"/>
          </w:divBdr>
        </w:div>
      </w:divsChild>
    </w:div>
    <w:div w:id="1251738853">
      <w:bodyDiv w:val="1"/>
      <w:marLeft w:val="0"/>
      <w:marRight w:val="0"/>
      <w:marTop w:val="0"/>
      <w:marBottom w:val="0"/>
      <w:divBdr>
        <w:top w:val="none" w:sz="0" w:space="0" w:color="auto"/>
        <w:left w:val="none" w:sz="0" w:space="0" w:color="auto"/>
        <w:bottom w:val="none" w:sz="0" w:space="0" w:color="auto"/>
        <w:right w:val="none" w:sz="0" w:space="0" w:color="auto"/>
      </w:divBdr>
      <w:divsChild>
        <w:div w:id="1843230336">
          <w:marLeft w:val="547"/>
          <w:marRight w:val="0"/>
          <w:marTop w:val="0"/>
          <w:marBottom w:val="0"/>
          <w:divBdr>
            <w:top w:val="none" w:sz="0" w:space="0" w:color="auto"/>
            <w:left w:val="none" w:sz="0" w:space="0" w:color="auto"/>
            <w:bottom w:val="none" w:sz="0" w:space="0" w:color="auto"/>
            <w:right w:val="none" w:sz="0" w:space="0" w:color="auto"/>
          </w:divBdr>
        </w:div>
      </w:divsChild>
    </w:div>
    <w:div w:id="1301690413">
      <w:bodyDiv w:val="1"/>
      <w:marLeft w:val="0"/>
      <w:marRight w:val="0"/>
      <w:marTop w:val="0"/>
      <w:marBottom w:val="0"/>
      <w:divBdr>
        <w:top w:val="none" w:sz="0" w:space="0" w:color="auto"/>
        <w:left w:val="none" w:sz="0" w:space="0" w:color="auto"/>
        <w:bottom w:val="none" w:sz="0" w:space="0" w:color="auto"/>
        <w:right w:val="none" w:sz="0" w:space="0" w:color="auto"/>
      </w:divBdr>
    </w:div>
    <w:div w:id="1354842511">
      <w:bodyDiv w:val="1"/>
      <w:marLeft w:val="0"/>
      <w:marRight w:val="0"/>
      <w:marTop w:val="0"/>
      <w:marBottom w:val="0"/>
      <w:divBdr>
        <w:top w:val="none" w:sz="0" w:space="0" w:color="auto"/>
        <w:left w:val="none" w:sz="0" w:space="0" w:color="auto"/>
        <w:bottom w:val="none" w:sz="0" w:space="0" w:color="auto"/>
        <w:right w:val="none" w:sz="0" w:space="0" w:color="auto"/>
      </w:divBdr>
    </w:div>
    <w:div w:id="1359041589">
      <w:bodyDiv w:val="1"/>
      <w:marLeft w:val="0"/>
      <w:marRight w:val="0"/>
      <w:marTop w:val="0"/>
      <w:marBottom w:val="0"/>
      <w:divBdr>
        <w:top w:val="none" w:sz="0" w:space="0" w:color="auto"/>
        <w:left w:val="none" w:sz="0" w:space="0" w:color="auto"/>
        <w:bottom w:val="none" w:sz="0" w:space="0" w:color="auto"/>
        <w:right w:val="none" w:sz="0" w:space="0" w:color="auto"/>
      </w:divBdr>
    </w:div>
    <w:div w:id="1369144312">
      <w:bodyDiv w:val="1"/>
      <w:marLeft w:val="0"/>
      <w:marRight w:val="0"/>
      <w:marTop w:val="0"/>
      <w:marBottom w:val="0"/>
      <w:divBdr>
        <w:top w:val="none" w:sz="0" w:space="0" w:color="auto"/>
        <w:left w:val="none" w:sz="0" w:space="0" w:color="auto"/>
        <w:bottom w:val="none" w:sz="0" w:space="0" w:color="auto"/>
        <w:right w:val="none" w:sz="0" w:space="0" w:color="auto"/>
      </w:divBdr>
      <w:divsChild>
        <w:div w:id="24450932">
          <w:marLeft w:val="0"/>
          <w:marRight w:val="0"/>
          <w:marTop w:val="0"/>
          <w:marBottom w:val="0"/>
          <w:divBdr>
            <w:top w:val="none" w:sz="0" w:space="0" w:color="auto"/>
            <w:left w:val="none" w:sz="0" w:space="0" w:color="auto"/>
            <w:bottom w:val="none" w:sz="0" w:space="0" w:color="auto"/>
            <w:right w:val="none" w:sz="0" w:space="0" w:color="auto"/>
          </w:divBdr>
        </w:div>
        <w:div w:id="52701528">
          <w:marLeft w:val="0"/>
          <w:marRight w:val="0"/>
          <w:marTop w:val="0"/>
          <w:marBottom w:val="0"/>
          <w:divBdr>
            <w:top w:val="none" w:sz="0" w:space="0" w:color="auto"/>
            <w:left w:val="none" w:sz="0" w:space="0" w:color="auto"/>
            <w:bottom w:val="none" w:sz="0" w:space="0" w:color="auto"/>
            <w:right w:val="none" w:sz="0" w:space="0" w:color="auto"/>
          </w:divBdr>
        </w:div>
        <w:div w:id="79715812">
          <w:marLeft w:val="0"/>
          <w:marRight w:val="0"/>
          <w:marTop w:val="0"/>
          <w:marBottom w:val="0"/>
          <w:divBdr>
            <w:top w:val="none" w:sz="0" w:space="0" w:color="auto"/>
            <w:left w:val="none" w:sz="0" w:space="0" w:color="auto"/>
            <w:bottom w:val="none" w:sz="0" w:space="0" w:color="auto"/>
            <w:right w:val="none" w:sz="0" w:space="0" w:color="auto"/>
          </w:divBdr>
        </w:div>
        <w:div w:id="95831944">
          <w:marLeft w:val="0"/>
          <w:marRight w:val="0"/>
          <w:marTop w:val="0"/>
          <w:marBottom w:val="0"/>
          <w:divBdr>
            <w:top w:val="none" w:sz="0" w:space="0" w:color="auto"/>
            <w:left w:val="none" w:sz="0" w:space="0" w:color="auto"/>
            <w:bottom w:val="none" w:sz="0" w:space="0" w:color="auto"/>
            <w:right w:val="none" w:sz="0" w:space="0" w:color="auto"/>
          </w:divBdr>
        </w:div>
        <w:div w:id="165826410">
          <w:marLeft w:val="0"/>
          <w:marRight w:val="0"/>
          <w:marTop w:val="0"/>
          <w:marBottom w:val="0"/>
          <w:divBdr>
            <w:top w:val="none" w:sz="0" w:space="0" w:color="auto"/>
            <w:left w:val="none" w:sz="0" w:space="0" w:color="auto"/>
            <w:bottom w:val="none" w:sz="0" w:space="0" w:color="auto"/>
            <w:right w:val="none" w:sz="0" w:space="0" w:color="auto"/>
          </w:divBdr>
        </w:div>
        <w:div w:id="191383251">
          <w:marLeft w:val="0"/>
          <w:marRight w:val="0"/>
          <w:marTop w:val="0"/>
          <w:marBottom w:val="0"/>
          <w:divBdr>
            <w:top w:val="none" w:sz="0" w:space="0" w:color="auto"/>
            <w:left w:val="none" w:sz="0" w:space="0" w:color="auto"/>
            <w:bottom w:val="none" w:sz="0" w:space="0" w:color="auto"/>
            <w:right w:val="none" w:sz="0" w:space="0" w:color="auto"/>
          </w:divBdr>
        </w:div>
        <w:div w:id="256015469">
          <w:marLeft w:val="0"/>
          <w:marRight w:val="0"/>
          <w:marTop w:val="0"/>
          <w:marBottom w:val="0"/>
          <w:divBdr>
            <w:top w:val="none" w:sz="0" w:space="0" w:color="auto"/>
            <w:left w:val="none" w:sz="0" w:space="0" w:color="auto"/>
            <w:bottom w:val="none" w:sz="0" w:space="0" w:color="auto"/>
            <w:right w:val="none" w:sz="0" w:space="0" w:color="auto"/>
          </w:divBdr>
        </w:div>
        <w:div w:id="273749079">
          <w:marLeft w:val="0"/>
          <w:marRight w:val="0"/>
          <w:marTop w:val="0"/>
          <w:marBottom w:val="0"/>
          <w:divBdr>
            <w:top w:val="none" w:sz="0" w:space="0" w:color="auto"/>
            <w:left w:val="none" w:sz="0" w:space="0" w:color="auto"/>
            <w:bottom w:val="none" w:sz="0" w:space="0" w:color="auto"/>
            <w:right w:val="none" w:sz="0" w:space="0" w:color="auto"/>
          </w:divBdr>
        </w:div>
        <w:div w:id="330107659">
          <w:marLeft w:val="0"/>
          <w:marRight w:val="0"/>
          <w:marTop w:val="0"/>
          <w:marBottom w:val="0"/>
          <w:divBdr>
            <w:top w:val="none" w:sz="0" w:space="0" w:color="auto"/>
            <w:left w:val="none" w:sz="0" w:space="0" w:color="auto"/>
            <w:bottom w:val="none" w:sz="0" w:space="0" w:color="auto"/>
            <w:right w:val="none" w:sz="0" w:space="0" w:color="auto"/>
          </w:divBdr>
        </w:div>
        <w:div w:id="341248334">
          <w:marLeft w:val="0"/>
          <w:marRight w:val="0"/>
          <w:marTop w:val="0"/>
          <w:marBottom w:val="0"/>
          <w:divBdr>
            <w:top w:val="none" w:sz="0" w:space="0" w:color="auto"/>
            <w:left w:val="none" w:sz="0" w:space="0" w:color="auto"/>
            <w:bottom w:val="none" w:sz="0" w:space="0" w:color="auto"/>
            <w:right w:val="none" w:sz="0" w:space="0" w:color="auto"/>
          </w:divBdr>
        </w:div>
        <w:div w:id="387336734">
          <w:marLeft w:val="0"/>
          <w:marRight w:val="0"/>
          <w:marTop w:val="0"/>
          <w:marBottom w:val="0"/>
          <w:divBdr>
            <w:top w:val="none" w:sz="0" w:space="0" w:color="auto"/>
            <w:left w:val="none" w:sz="0" w:space="0" w:color="auto"/>
            <w:bottom w:val="none" w:sz="0" w:space="0" w:color="auto"/>
            <w:right w:val="none" w:sz="0" w:space="0" w:color="auto"/>
          </w:divBdr>
        </w:div>
        <w:div w:id="404227391">
          <w:marLeft w:val="0"/>
          <w:marRight w:val="0"/>
          <w:marTop w:val="0"/>
          <w:marBottom w:val="0"/>
          <w:divBdr>
            <w:top w:val="none" w:sz="0" w:space="0" w:color="auto"/>
            <w:left w:val="none" w:sz="0" w:space="0" w:color="auto"/>
            <w:bottom w:val="none" w:sz="0" w:space="0" w:color="auto"/>
            <w:right w:val="none" w:sz="0" w:space="0" w:color="auto"/>
          </w:divBdr>
        </w:div>
        <w:div w:id="429475007">
          <w:marLeft w:val="0"/>
          <w:marRight w:val="0"/>
          <w:marTop w:val="0"/>
          <w:marBottom w:val="0"/>
          <w:divBdr>
            <w:top w:val="none" w:sz="0" w:space="0" w:color="auto"/>
            <w:left w:val="none" w:sz="0" w:space="0" w:color="auto"/>
            <w:bottom w:val="none" w:sz="0" w:space="0" w:color="auto"/>
            <w:right w:val="none" w:sz="0" w:space="0" w:color="auto"/>
          </w:divBdr>
        </w:div>
        <w:div w:id="436414280">
          <w:marLeft w:val="0"/>
          <w:marRight w:val="0"/>
          <w:marTop w:val="0"/>
          <w:marBottom w:val="0"/>
          <w:divBdr>
            <w:top w:val="none" w:sz="0" w:space="0" w:color="auto"/>
            <w:left w:val="none" w:sz="0" w:space="0" w:color="auto"/>
            <w:bottom w:val="none" w:sz="0" w:space="0" w:color="auto"/>
            <w:right w:val="none" w:sz="0" w:space="0" w:color="auto"/>
          </w:divBdr>
        </w:div>
        <w:div w:id="455415300">
          <w:marLeft w:val="0"/>
          <w:marRight w:val="0"/>
          <w:marTop w:val="0"/>
          <w:marBottom w:val="0"/>
          <w:divBdr>
            <w:top w:val="none" w:sz="0" w:space="0" w:color="auto"/>
            <w:left w:val="none" w:sz="0" w:space="0" w:color="auto"/>
            <w:bottom w:val="none" w:sz="0" w:space="0" w:color="auto"/>
            <w:right w:val="none" w:sz="0" w:space="0" w:color="auto"/>
          </w:divBdr>
        </w:div>
        <w:div w:id="463691711">
          <w:marLeft w:val="0"/>
          <w:marRight w:val="0"/>
          <w:marTop w:val="0"/>
          <w:marBottom w:val="0"/>
          <w:divBdr>
            <w:top w:val="none" w:sz="0" w:space="0" w:color="auto"/>
            <w:left w:val="none" w:sz="0" w:space="0" w:color="auto"/>
            <w:bottom w:val="none" w:sz="0" w:space="0" w:color="auto"/>
            <w:right w:val="none" w:sz="0" w:space="0" w:color="auto"/>
          </w:divBdr>
        </w:div>
        <w:div w:id="464349173">
          <w:marLeft w:val="0"/>
          <w:marRight w:val="0"/>
          <w:marTop w:val="0"/>
          <w:marBottom w:val="0"/>
          <w:divBdr>
            <w:top w:val="none" w:sz="0" w:space="0" w:color="auto"/>
            <w:left w:val="none" w:sz="0" w:space="0" w:color="auto"/>
            <w:bottom w:val="none" w:sz="0" w:space="0" w:color="auto"/>
            <w:right w:val="none" w:sz="0" w:space="0" w:color="auto"/>
          </w:divBdr>
        </w:div>
        <w:div w:id="493380596">
          <w:marLeft w:val="0"/>
          <w:marRight w:val="0"/>
          <w:marTop w:val="0"/>
          <w:marBottom w:val="0"/>
          <w:divBdr>
            <w:top w:val="none" w:sz="0" w:space="0" w:color="auto"/>
            <w:left w:val="none" w:sz="0" w:space="0" w:color="auto"/>
            <w:bottom w:val="none" w:sz="0" w:space="0" w:color="auto"/>
            <w:right w:val="none" w:sz="0" w:space="0" w:color="auto"/>
          </w:divBdr>
        </w:div>
        <w:div w:id="516697920">
          <w:marLeft w:val="0"/>
          <w:marRight w:val="0"/>
          <w:marTop w:val="0"/>
          <w:marBottom w:val="0"/>
          <w:divBdr>
            <w:top w:val="none" w:sz="0" w:space="0" w:color="auto"/>
            <w:left w:val="none" w:sz="0" w:space="0" w:color="auto"/>
            <w:bottom w:val="none" w:sz="0" w:space="0" w:color="auto"/>
            <w:right w:val="none" w:sz="0" w:space="0" w:color="auto"/>
          </w:divBdr>
        </w:div>
        <w:div w:id="558976590">
          <w:marLeft w:val="0"/>
          <w:marRight w:val="0"/>
          <w:marTop w:val="0"/>
          <w:marBottom w:val="0"/>
          <w:divBdr>
            <w:top w:val="none" w:sz="0" w:space="0" w:color="auto"/>
            <w:left w:val="none" w:sz="0" w:space="0" w:color="auto"/>
            <w:bottom w:val="none" w:sz="0" w:space="0" w:color="auto"/>
            <w:right w:val="none" w:sz="0" w:space="0" w:color="auto"/>
          </w:divBdr>
        </w:div>
        <w:div w:id="566188624">
          <w:marLeft w:val="0"/>
          <w:marRight w:val="0"/>
          <w:marTop w:val="0"/>
          <w:marBottom w:val="0"/>
          <w:divBdr>
            <w:top w:val="none" w:sz="0" w:space="0" w:color="auto"/>
            <w:left w:val="none" w:sz="0" w:space="0" w:color="auto"/>
            <w:bottom w:val="none" w:sz="0" w:space="0" w:color="auto"/>
            <w:right w:val="none" w:sz="0" w:space="0" w:color="auto"/>
          </w:divBdr>
        </w:div>
        <w:div w:id="612325988">
          <w:marLeft w:val="0"/>
          <w:marRight w:val="0"/>
          <w:marTop w:val="0"/>
          <w:marBottom w:val="0"/>
          <w:divBdr>
            <w:top w:val="none" w:sz="0" w:space="0" w:color="auto"/>
            <w:left w:val="none" w:sz="0" w:space="0" w:color="auto"/>
            <w:bottom w:val="none" w:sz="0" w:space="0" w:color="auto"/>
            <w:right w:val="none" w:sz="0" w:space="0" w:color="auto"/>
          </w:divBdr>
        </w:div>
        <w:div w:id="639044260">
          <w:marLeft w:val="0"/>
          <w:marRight w:val="0"/>
          <w:marTop w:val="0"/>
          <w:marBottom w:val="0"/>
          <w:divBdr>
            <w:top w:val="none" w:sz="0" w:space="0" w:color="auto"/>
            <w:left w:val="none" w:sz="0" w:space="0" w:color="auto"/>
            <w:bottom w:val="none" w:sz="0" w:space="0" w:color="auto"/>
            <w:right w:val="none" w:sz="0" w:space="0" w:color="auto"/>
          </w:divBdr>
        </w:div>
        <w:div w:id="639846007">
          <w:marLeft w:val="0"/>
          <w:marRight w:val="0"/>
          <w:marTop w:val="0"/>
          <w:marBottom w:val="0"/>
          <w:divBdr>
            <w:top w:val="none" w:sz="0" w:space="0" w:color="auto"/>
            <w:left w:val="none" w:sz="0" w:space="0" w:color="auto"/>
            <w:bottom w:val="none" w:sz="0" w:space="0" w:color="auto"/>
            <w:right w:val="none" w:sz="0" w:space="0" w:color="auto"/>
          </w:divBdr>
        </w:div>
        <w:div w:id="639920297">
          <w:marLeft w:val="0"/>
          <w:marRight w:val="0"/>
          <w:marTop w:val="0"/>
          <w:marBottom w:val="0"/>
          <w:divBdr>
            <w:top w:val="none" w:sz="0" w:space="0" w:color="auto"/>
            <w:left w:val="none" w:sz="0" w:space="0" w:color="auto"/>
            <w:bottom w:val="none" w:sz="0" w:space="0" w:color="auto"/>
            <w:right w:val="none" w:sz="0" w:space="0" w:color="auto"/>
          </w:divBdr>
        </w:div>
        <w:div w:id="650331533">
          <w:marLeft w:val="0"/>
          <w:marRight w:val="0"/>
          <w:marTop w:val="0"/>
          <w:marBottom w:val="0"/>
          <w:divBdr>
            <w:top w:val="none" w:sz="0" w:space="0" w:color="auto"/>
            <w:left w:val="none" w:sz="0" w:space="0" w:color="auto"/>
            <w:bottom w:val="none" w:sz="0" w:space="0" w:color="auto"/>
            <w:right w:val="none" w:sz="0" w:space="0" w:color="auto"/>
          </w:divBdr>
        </w:div>
        <w:div w:id="650908057">
          <w:marLeft w:val="0"/>
          <w:marRight w:val="0"/>
          <w:marTop w:val="0"/>
          <w:marBottom w:val="0"/>
          <w:divBdr>
            <w:top w:val="none" w:sz="0" w:space="0" w:color="auto"/>
            <w:left w:val="none" w:sz="0" w:space="0" w:color="auto"/>
            <w:bottom w:val="none" w:sz="0" w:space="0" w:color="auto"/>
            <w:right w:val="none" w:sz="0" w:space="0" w:color="auto"/>
          </w:divBdr>
        </w:div>
        <w:div w:id="685904172">
          <w:marLeft w:val="0"/>
          <w:marRight w:val="0"/>
          <w:marTop w:val="0"/>
          <w:marBottom w:val="0"/>
          <w:divBdr>
            <w:top w:val="none" w:sz="0" w:space="0" w:color="auto"/>
            <w:left w:val="none" w:sz="0" w:space="0" w:color="auto"/>
            <w:bottom w:val="none" w:sz="0" w:space="0" w:color="auto"/>
            <w:right w:val="none" w:sz="0" w:space="0" w:color="auto"/>
          </w:divBdr>
        </w:div>
        <w:div w:id="714932692">
          <w:marLeft w:val="0"/>
          <w:marRight w:val="0"/>
          <w:marTop w:val="0"/>
          <w:marBottom w:val="0"/>
          <w:divBdr>
            <w:top w:val="none" w:sz="0" w:space="0" w:color="auto"/>
            <w:left w:val="none" w:sz="0" w:space="0" w:color="auto"/>
            <w:bottom w:val="none" w:sz="0" w:space="0" w:color="auto"/>
            <w:right w:val="none" w:sz="0" w:space="0" w:color="auto"/>
          </w:divBdr>
        </w:div>
        <w:div w:id="723874996">
          <w:marLeft w:val="0"/>
          <w:marRight w:val="0"/>
          <w:marTop w:val="0"/>
          <w:marBottom w:val="0"/>
          <w:divBdr>
            <w:top w:val="none" w:sz="0" w:space="0" w:color="auto"/>
            <w:left w:val="none" w:sz="0" w:space="0" w:color="auto"/>
            <w:bottom w:val="none" w:sz="0" w:space="0" w:color="auto"/>
            <w:right w:val="none" w:sz="0" w:space="0" w:color="auto"/>
          </w:divBdr>
        </w:div>
        <w:div w:id="744183174">
          <w:marLeft w:val="0"/>
          <w:marRight w:val="0"/>
          <w:marTop w:val="0"/>
          <w:marBottom w:val="0"/>
          <w:divBdr>
            <w:top w:val="none" w:sz="0" w:space="0" w:color="auto"/>
            <w:left w:val="none" w:sz="0" w:space="0" w:color="auto"/>
            <w:bottom w:val="none" w:sz="0" w:space="0" w:color="auto"/>
            <w:right w:val="none" w:sz="0" w:space="0" w:color="auto"/>
          </w:divBdr>
        </w:div>
        <w:div w:id="786193351">
          <w:marLeft w:val="0"/>
          <w:marRight w:val="0"/>
          <w:marTop w:val="0"/>
          <w:marBottom w:val="0"/>
          <w:divBdr>
            <w:top w:val="none" w:sz="0" w:space="0" w:color="auto"/>
            <w:left w:val="none" w:sz="0" w:space="0" w:color="auto"/>
            <w:bottom w:val="none" w:sz="0" w:space="0" w:color="auto"/>
            <w:right w:val="none" w:sz="0" w:space="0" w:color="auto"/>
          </w:divBdr>
        </w:div>
        <w:div w:id="832842944">
          <w:marLeft w:val="0"/>
          <w:marRight w:val="0"/>
          <w:marTop w:val="0"/>
          <w:marBottom w:val="0"/>
          <w:divBdr>
            <w:top w:val="none" w:sz="0" w:space="0" w:color="auto"/>
            <w:left w:val="none" w:sz="0" w:space="0" w:color="auto"/>
            <w:bottom w:val="none" w:sz="0" w:space="0" w:color="auto"/>
            <w:right w:val="none" w:sz="0" w:space="0" w:color="auto"/>
          </w:divBdr>
        </w:div>
        <w:div w:id="850216055">
          <w:marLeft w:val="0"/>
          <w:marRight w:val="0"/>
          <w:marTop w:val="0"/>
          <w:marBottom w:val="0"/>
          <w:divBdr>
            <w:top w:val="none" w:sz="0" w:space="0" w:color="auto"/>
            <w:left w:val="none" w:sz="0" w:space="0" w:color="auto"/>
            <w:bottom w:val="none" w:sz="0" w:space="0" w:color="auto"/>
            <w:right w:val="none" w:sz="0" w:space="0" w:color="auto"/>
          </w:divBdr>
        </w:div>
        <w:div w:id="862355220">
          <w:marLeft w:val="0"/>
          <w:marRight w:val="0"/>
          <w:marTop w:val="0"/>
          <w:marBottom w:val="0"/>
          <w:divBdr>
            <w:top w:val="none" w:sz="0" w:space="0" w:color="auto"/>
            <w:left w:val="none" w:sz="0" w:space="0" w:color="auto"/>
            <w:bottom w:val="none" w:sz="0" w:space="0" w:color="auto"/>
            <w:right w:val="none" w:sz="0" w:space="0" w:color="auto"/>
          </w:divBdr>
        </w:div>
        <w:div w:id="888150670">
          <w:marLeft w:val="0"/>
          <w:marRight w:val="0"/>
          <w:marTop w:val="0"/>
          <w:marBottom w:val="0"/>
          <w:divBdr>
            <w:top w:val="none" w:sz="0" w:space="0" w:color="auto"/>
            <w:left w:val="none" w:sz="0" w:space="0" w:color="auto"/>
            <w:bottom w:val="none" w:sz="0" w:space="0" w:color="auto"/>
            <w:right w:val="none" w:sz="0" w:space="0" w:color="auto"/>
          </w:divBdr>
        </w:div>
        <w:div w:id="920334177">
          <w:marLeft w:val="0"/>
          <w:marRight w:val="0"/>
          <w:marTop w:val="0"/>
          <w:marBottom w:val="0"/>
          <w:divBdr>
            <w:top w:val="none" w:sz="0" w:space="0" w:color="auto"/>
            <w:left w:val="none" w:sz="0" w:space="0" w:color="auto"/>
            <w:bottom w:val="none" w:sz="0" w:space="0" w:color="auto"/>
            <w:right w:val="none" w:sz="0" w:space="0" w:color="auto"/>
          </w:divBdr>
        </w:div>
        <w:div w:id="929585934">
          <w:marLeft w:val="0"/>
          <w:marRight w:val="0"/>
          <w:marTop w:val="0"/>
          <w:marBottom w:val="0"/>
          <w:divBdr>
            <w:top w:val="none" w:sz="0" w:space="0" w:color="auto"/>
            <w:left w:val="none" w:sz="0" w:space="0" w:color="auto"/>
            <w:bottom w:val="none" w:sz="0" w:space="0" w:color="auto"/>
            <w:right w:val="none" w:sz="0" w:space="0" w:color="auto"/>
          </w:divBdr>
        </w:div>
        <w:div w:id="939920601">
          <w:marLeft w:val="0"/>
          <w:marRight w:val="0"/>
          <w:marTop w:val="0"/>
          <w:marBottom w:val="0"/>
          <w:divBdr>
            <w:top w:val="none" w:sz="0" w:space="0" w:color="auto"/>
            <w:left w:val="none" w:sz="0" w:space="0" w:color="auto"/>
            <w:bottom w:val="none" w:sz="0" w:space="0" w:color="auto"/>
            <w:right w:val="none" w:sz="0" w:space="0" w:color="auto"/>
          </w:divBdr>
        </w:div>
        <w:div w:id="945305805">
          <w:marLeft w:val="0"/>
          <w:marRight w:val="0"/>
          <w:marTop w:val="0"/>
          <w:marBottom w:val="0"/>
          <w:divBdr>
            <w:top w:val="none" w:sz="0" w:space="0" w:color="auto"/>
            <w:left w:val="none" w:sz="0" w:space="0" w:color="auto"/>
            <w:bottom w:val="none" w:sz="0" w:space="0" w:color="auto"/>
            <w:right w:val="none" w:sz="0" w:space="0" w:color="auto"/>
          </w:divBdr>
        </w:div>
        <w:div w:id="946814721">
          <w:marLeft w:val="0"/>
          <w:marRight w:val="0"/>
          <w:marTop w:val="0"/>
          <w:marBottom w:val="0"/>
          <w:divBdr>
            <w:top w:val="none" w:sz="0" w:space="0" w:color="auto"/>
            <w:left w:val="none" w:sz="0" w:space="0" w:color="auto"/>
            <w:bottom w:val="none" w:sz="0" w:space="0" w:color="auto"/>
            <w:right w:val="none" w:sz="0" w:space="0" w:color="auto"/>
          </w:divBdr>
        </w:div>
        <w:div w:id="951788397">
          <w:marLeft w:val="0"/>
          <w:marRight w:val="0"/>
          <w:marTop w:val="0"/>
          <w:marBottom w:val="0"/>
          <w:divBdr>
            <w:top w:val="none" w:sz="0" w:space="0" w:color="auto"/>
            <w:left w:val="none" w:sz="0" w:space="0" w:color="auto"/>
            <w:bottom w:val="none" w:sz="0" w:space="0" w:color="auto"/>
            <w:right w:val="none" w:sz="0" w:space="0" w:color="auto"/>
          </w:divBdr>
        </w:div>
        <w:div w:id="962615716">
          <w:marLeft w:val="0"/>
          <w:marRight w:val="0"/>
          <w:marTop w:val="0"/>
          <w:marBottom w:val="0"/>
          <w:divBdr>
            <w:top w:val="none" w:sz="0" w:space="0" w:color="auto"/>
            <w:left w:val="none" w:sz="0" w:space="0" w:color="auto"/>
            <w:bottom w:val="none" w:sz="0" w:space="0" w:color="auto"/>
            <w:right w:val="none" w:sz="0" w:space="0" w:color="auto"/>
          </w:divBdr>
        </w:div>
        <w:div w:id="979072020">
          <w:marLeft w:val="0"/>
          <w:marRight w:val="0"/>
          <w:marTop w:val="0"/>
          <w:marBottom w:val="0"/>
          <w:divBdr>
            <w:top w:val="none" w:sz="0" w:space="0" w:color="auto"/>
            <w:left w:val="none" w:sz="0" w:space="0" w:color="auto"/>
            <w:bottom w:val="none" w:sz="0" w:space="0" w:color="auto"/>
            <w:right w:val="none" w:sz="0" w:space="0" w:color="auto"/>
          </w:divBdr>
        </w:div>
        <w:div w:id="989600003">
          <w:marLeft w:val="0"/>
          <w:marRight w:val="0"/>
          <w:marTop w:val="0"/>
          <w:marBottom w:val="0"/>
          <w:divBdr>
            <w:top w:val="none" w:sz="0" w:space="0" w:color="auto"/>
            <w:left w:val="none" w:sz="0" w:space="0" w:color="auto"/>
            <w:bottom w:val="none" w:sz="0" w:space="0" w:color="auto"/>
            <w:right w:val="none" w:sz="0" w:space="0" w:color="auto"/>
          </w:divBdr>
        </w:div>
        <w:div w:id="1001815554">
          <w:marLeft w:val="0"/>
          <w:marRight w:val="0"/>
          <w:marTop w:val="0"/>
          <w:marBottom w:val="0"/>
          <w:divBdr>
            <w:top w:val="none" w:sz="0" w:space="0" w:color="auto"/>
            <w:left w:val="none" w:sz="0" w:space="0" w:color="auto"/>
            <w:bottom w:val="none" w:sz="0" w:space="0" w:color="auto"/>
            <w:right w:val="none" w:sz="0" w:space="0" w:color="auto"/>
          </w:divBdr>
        </w:div>
        <w:div w:id="1046682037">
          <w:marLeft w:val="0"/>
          <w:marRight w:val="0"/>
          <w:marTop w:val="0"/>
          <w:marBottom w:val="0"/>
          <w:divBdr>
            <w:top w:val="none" w:sz="0" w:space="0" w:color="auto"/>
            <w:left w:val="none" w:sz="0" w:space="0" w:color="auto"/>
            <w:bottom w:val="none" w:sz="0" w:space="0" w:color="auto"/>
            <w:right w:val="none" w:sz="0" w:space="0" w:color="auto"/>
          </w:divBdr>
        </w:div>
        <w:div w:id="1049919083">
          <w:marLeft w:val="0"/>
          <w:marRight w:val="0"/>
          <w:marTop w:val="0"/>
          <w:marBottom w:val="0"/>
          <w:divBdr>
            <w:top w:val="none" w:sz="0" w:space="0" w:color="auto"/>
            <w:left w:val="none" w:sz="0" w:space="0" w:color="auto"/>
            <w:bottom w:val="none" w:sz="0" w:space="0" w:color="auto"/>
            <w:right w:val="none" w:sz="0" w:space="0" w:color="auto"/>
          </w:divBdr>
        </w:div>
        <w:div w:id="1051736441">
          <w:marLeft w:val="0"/>
          <w:marRight w:val="0"/>
          <w:marTop w:val="0"/>
          <w:marBottom w:val="0"/>
          <w:divBdr>
            <w:top w:val="none" w:sz="0" w:space="0" w:color="auto"/>
            <w:left w:val="none" w:sz="0" w:space="0" w:color="auto"/>
            <w:bottom w:val="none" w:sz="0" w:space="0" w:color="auto"/>
            <w:right w:val="none" w:sz="0" w:space="0" w:color="auto"/>
          </w:divBdr>
        </w:div>
        <w:div w:id="1081412884">
          <w:marLeft w:val="0"/>
          <w:marRight w:val="0"/>
          <w:marTop w:val="0"/>
          <w:marBottom w:val="0"/>
          <w:divBdr>
            <w:top w:val="none" w:sz="0" w:space="0" w:color="auto"/>
            <w:left w:val="none" w:sz="0" w:space="0" w:color="auto"/>
            <w:bottom w:val="none" w:sz="0" w:space="0" w:color="auto"/>
            <w:right w:val="none" w:sz="0" w:space="0" w:color="auto"/>
          </w:divBdr>
        </w:div>
        <w:div w:id="1094596747">
          <w:marLeft w:val="0"/>
          <w:marRight w:val="0"/>
          <w:marTop w:val="0"/>
          <w:marBottom w:val="0"/>
          <w:divBdr>
            <w:top w:val="none" w:sz="0" w:space="0" w:color="auto"/>
            <w:left w:val="none" w:sz="0" w:space="0" w:color="auto"/>
            <w:bottom w:val="none" w:sz="0" w:space="0" w:color="auto"/>
            <w:right w:val="none" w:sz="0" w:space="0" w:color="auto"/>
          </w:divBdr>
        </w:div>
        <w:div w:id="1098795477">
          <w:marLeft w:val="0"/>
          <w:marRight w:val="0"/>
          <w:marTop w:val="0"/>
          <w:marBottom w:val="0"/>
          <w:divBdr>
            <w:top w:val="none" w:sz="0" w:space="0" w:color="auto"/>
            <w:left w:val="none" w:sz="0" w:space="0" w:color="auto"/>
            <w:bottom w:val="none" w:sz="0" w:space="0" w:color="auto"/>
            <w:right w:val="none" w:sz="0" w:space="0" w:color="auto"/>
          </w:divBdr>
        </w:div>
        <w:div w:id="1099789365">
          <w:marLeft w:val="0"/>
          <w:marRight w:val="0"/>
          <w:marTop w:val="0"/>
          <w:marBottom w:val="0"/>
          <w:divBdr>
            <w:top w:val="none" w:sz="0" w:space="0" w:color="auto"/>
            <w:left w:val="none" w:sz="0" w:space="0" w:color="auto"/>
            <w:bottom w:val="none" w:sz="0" w:space="0" w:color="auto"/>
            <w:right w:val="none" w:sz="0" w:space="0" w:color="auto"/>
          </w:divBdr>
        </w:div>
        <w:div w:id="1109010781">
          <w:marLeft w:val="0"/>
          <w:marRight w:val="0"/>
          <w:marTop w:val="0"/>
          <w:marBottom w:val="0"/>
          <w:divBdr>
            <w:top w:val="none" w:sz="0" w:space="0" w:color="auto"/>
            <w:left w:val="none" w:sz="0" w:space="0" w:color="auto"/>
            <w:bottom w:val="none" w:sz="0" w:space="0" w:color="auto"/>
            <w:right w:val="none" w:sz="0" w:space="0" w:color="auto"/>
          </w:divBdr>
        </w:div>
        <w:div w:id="1120876045">
          <w:marLeft w:val="0"/>
          <w:marRight w:val="0"/>
          <w:marTop w:val="0"/>
          <w:marBottom w:val="0"/>
          <w:divBdr>
            <w:top w:val="none" w:sz="0" w:space="0" w:color="auto"/>
            <w:left w:val="none" w:sz="0" w:space="0" w:color="auto"/>
            <w:bottom w:val="none" w:sz="0" w:space="0" w:color="auto"/>
            <w:right w:val="none" w:sz="0" w:space="0" w:color="auto"/>
          </w:divBdr>
        </w:div>
        <w:div w:id="1132331231">
          <w:marLeft w:val="0"/>
          <w:marRight w:val="0"/>
          <w:marTop w:val="0"/>
          <w:marBottom w:val="0"/>
          <w:divBdr>
            <w:top w:val="none" w:sz="0" w:space="0" w:color="auto"/>
            <w:left w:val="none" w:sz="0" w:space="0" w:color="auto"/>
            <w:bottom w:val="none" w:sz="0" w:space="0" w:color="auto"/>
            <w:right w:val="none" w:sz="0" w:space="0" w:color="auto"/>
          </w:divBdr>
        </w:div>
        <w:div w:id="1160199983">
          <w:marLeft w:val="0"/>
          <w:marRight w:val="0"/>
          <w:marTop w:val="0"/>
          <w:marBottom w:val="0"/>
          <w:divBdr>
            <w:top w:val="none" w:sz="0" w:space="0" w:color="auto"/>
            <w:left w:val="none" w:sz="0" w:space="0" w:color="auto"/>
            <w:bottom w:val="none" w:sz="0" w:space="0" w:color="auto"/>
            <w:right w:val="none" w:sz="0" w:space="0" w:color="auto"/>
          </w:divBdr>
        </w:div>
        <w:div w:id="1175265614">
          <w:marLeft w:val="0"/>
          <w:marRight w:val="0"/>
          <w:marTop w:val="0"/>
          <w:marBottom w:val="0"/>
          <w:divBdr>
            <w:top w:val="none" w:sz="0" w:space="0" w:color="auto"/>
            <w:left w:val="none" w:sz="0" w:space="0" w:color="auto"/>
            <w:bottom w:val="none" w:sz="0" w:space="0" w:color="auto"/>
            <w:right w:val="none" w:sz="0" w:space="0" w:color="auto"/>
          </w:divBdr>
        </w:div>
        <w:div w:id="1179391107">
          <w:marLeft w:val="0"/>
          <w:marRight w:val="0"/>
          <w:marTop w:val="0"/>
          <w:marBottom w:val="0"/>
          <w:divBdr>
            <w:top w:val="none" w:sz="0" w:space="0" w:color="auto"/>
            <w:left w:val="none" w:sz="0" w:space="0" w:color="auto"/>
            <w:bottom w:val="none" w:sz="0" w:space="0" w:color="auto"/>
            <w:right w:val="none" w:sz="0" w:space="0" w:color="auto"/>
          </w:divBdr>
        </w:div>
        <w:div w:id="1199586686">
          <w:marLeft w:val="0"/>
          <w:marRight w:val="0"/>
          <w:marTop w:val="0"/>
          <w:marBottom w:val="0"/>
          <w:divBdr>
            <w:top w:val="none" w:sz="0" w:space="0" w:color="auto"/>
            <w:left w:val="none" w:sz="0" w:space="0" w:color="auto"/>
            <w:bottom w:val="none" w:sz="0" w:space="0" w:color="auto"/>
            <w:right w:val="none" w:sz="0" w:space="0" w:color="auto"/>
          </w:divBdr>
        </w:div>
        <w:div w:id="1209956816">
          <w:marLeft w:val="0"/>
          <w:marRight w:val="0"/>
          <w:marTop w:val="0"/>
          <w:marBottom w:val="0"/>
          <w:divBdr>
            <w:top w:val="none" w:sz="0" w:space="0" w:color="auto"/>
            <w:left w:val="none" w:sz="0" w:space="0" w:color="auto"/>
            <w:bottom w:val="none" w:sz="0" w:space="0" w:color="auto"/>
            <w:right w:val="none" w:sz="0" w:space="0" w:color="auto"/>
          </w:divBdr>
        </w:div>
        <w:div w:id="1221939388">
          <w:marLeft w:val="0"/>
          <w:marRight w:val="0"/>
          <w:marTop w:val="0"/>
          <w:marBottom w:val="0"/>
          <w:divBdr>
            <w:top w:val="none" w:sz="0" w:space="0" w:color="auto"/>
            <w:left w:val="none" w:sz="0" w:space="0" w:color="auto"/>
            <w:bottom w:val="none" w:sz="0" w:space="0" w:color="auto"/>
            <w:right w:val="none" w:sz="0" w:space="0" w:color="auto"/>
          </w:divBdr>
        </w:div>
        <w:div w:id="1227835950">
          <w:marLeft w:val="0"/>
          <w:marRight w:val="0"/>
          <w:marTop w:val="0"/>
          <w:marBottom w:val="0"/>
          <w:divBdr>
            <w:top w:val="none" w:sz="0" w:space="0" w:color="auto"/>
            <w:left w:val="none" w:sz="0" w:space="0" w:color="auto"/>
            <w:bottom w:val="none" w:sz="0" w:space="0" w:color="auto"/>
            <w:right w:val="none" w:sz="0" w:space="0" w:color="auto"/>
          </w:divBdr>
        </w:div>
        <w:div w:id="1233465331">
          <w:marLeft w:val="0"/>
          <w:marRight w:val="0"/>
          <w:marTop w:val="0"/>
          <w:marBottom w:val="0"/>
          <w:divBdr>
            <w:top w:val="none" w:sz="0" w:space="0" w:color="auto"/>
            <w:left w:val="none" w:sz="0" w:space="0" w:color="auto"/>
            <w:bottom w:val="none" w:sz="0" w:space="0" w:color="auto"/>
            <w:right w:val="none" w:sz="0" w:space="0" w:color="auto"/>
          </w:divBdr>
        </w:div>
        <w:div w:id="1264262624">
          <w:marLeft w:val="0"/>
          <w:marRight w:val="0"/>
          <w:marTop w:val="0"/>
          <w:marBottom w:val="0"/>
          <w:divBdr>
            <w:top w:val="none" w:sz="0" w:space="0" w:color="auto"/>
            <w:left w:val="none" w:sz="0" w:space="0" w:color="auto"/>
            <w:bottom w:val="none" w:sz="0" w:space="0" w:color="auto"/>
            <w:right w:val="none" w:sz="0" w:space="0" w:color="auto"/>
          </w:divBdr>
        </w:div>
        <w:div w:id="1265724191">
          <w:marLeft w:val="0"/>
          <w:marRight w:val="0"/>
          <w:marTop w:val="0"/>
          <w:marBottom w:val="0"/>
          <w:divBdr>
            <w:top w:val="none" w:sz="0" w:space="0" w:color="auto"/>
            <w:left w:val="none" w:sz="0" w:space="0" w:color="auto"/>
            <w:bottom w:val="none" w:sz="0" w:space="0" w:color="auto"/>
            <w:right w:val="none" w:sz="0" w:space="0" w:color="auto"/>
          </w:divBdr>
        </w:div>
        <w:div w:id="1290277663">
          <w:marLeft w:val="0"/>
          <w:marRight w:val="0"/>
          <w:marTop w:val="0"/>
          <w:marBottom w:val="0"/>
          <w:divBdr>
            <w:top w:val="none" w:sz="0" w:space="0" w:color="auto"/>
            <w:left w:val="none" w:sz="0" w:space="0" w:color="auto"/>
            <w:bottom w:val="none" w:sz="0" w:space="0" w:color="auto"/>
            <w:right w:val="none" w:sz="0" w:space="0" w:color="auto"/>
          </w:divBdr>
        </w:div>
        <w:div w:id="1307467425">
          <w:marLeft w:val="0"/>
          <w:marRight w:val="0"/>
          <w:marTop w:val="0"/>
          <w:marBottom w:val="0"/>
          <w:divBdr>
            <w:top w:val="none" w:sz="0" w:space="0" w:color="auto"/>
            <w:left w:val="none" w:sz="0" w:space="0" w:color="auto"/>
            <w:bottom w:val="none" w:sz="0" w:space="0" w:color="auto"/>
            <w:right w:val="none" w:sz="0" w:space="0" w:color="auto"/>
          </w:divBdr>
        </w:div>
        <w:div w:id="1307590113">
          <w:marLeft w:val="0"/>
          <w:marRight w:val="0"/>
          <w:marTop w:val="0"/>
          <w:marBottom w:val="0"/>
          <w:divBdr>
            <w:top w:val="none" w:sz="0" w:space="0" w:color="auto"/>
            <w:left w:val="none" w:sz="0" w:space="0" w:color="auto"/>
            <w:bottom w:val="none" w:sz="0" w:space="0" w:color="auto"/>
            <w:right w:val="none" w:sz="0" w:space="0" w:color="auto"/>
          </w:divBdr>
        </w:div>
        <w:div w:id="1325015884">
          <w:marLeft w:val="0"/>
          <w:marRight w:val="0"/>
          <w:marTop w:val="0"/>
          <w:marBottom w:val="0"/>
          <w:divBdr>
            <w:top w:val="none" w:sz="0" w:space="0" w:color="auto"/>
            <w:left w:val="none" w:sz="0" w:space="0" w:color="auto"/>
            <w:bottom w:val="none" w:sz="0" w:space="0" w:color="auto"/>
            <w:right w:val="none" w:sz="0" w:space="0" w:color="auto"/>
          </w:divBdr>
        </w:div>
        <w:div w:id="1332828020">
          <w:marLeft w:val="0"/>
          <w:marRight w:val="0"/>
          <w:marTop w:val="0"/>
          <w:marBottom w:val="0"/>
          <w:divBdr>
            <w:top w:val="none" w:sz="0" w:space="0" w:color="auto"/>
            <w:left w:val="none" w:sz="0" w:space="0" w:color="auto"/>
            <w:bottom w:val="none" w:sz="0" w:space="0" w:color="auto"/>
            <w:right w:val="none" w:sz="0" w:space="0" w:color="auto"/>
          </w:divBdr>
        </w:div>
        <w:div w:id="1340155891">
          <w:marLeft w:val="0"/>
          <w:marRight w:val="0"/>
          <w:marTop w:val="0"/>
          <w:marBottom w:val="0"/>
          <w:divBdr>
            <w:top w:val="none" w:sz="0" w:space="0" w:color="auto"/>
            <w:left w:val="none" w:sz="0" w:space="0" w:color="auto"/>
            <w:bottom w:val="none" w:sz="0" w:space="0" w:color="auto"/>
            <w:right w:val="none" w:sz="0" w:space="0" w:color="auto"/>
          </w:divBdr>
        </w:div>
        <w:div w:id="1350529371">
          <w:marLeft w:val="0"/>
          <w:marRight w:val="0"/>
          <w:marTop w:val="0"/>
          <w:marBottom w:val="0"/>
          <w:divBdr>
            <w:top w:val="none" w:sz="0" w:space="0" w:color="auto"/>
            <w:left w:val="none" w:sz="0" w:space="0" w:color="auto"/>
            <w:bottom w:val="none" w:sz="0" w:space="0" w:color="auto"/>
            <w:right w:val="none" w:sz="0" w:space="0" w:color="auto"/>
          </w:divBdr>
        </w:div>
        <w:div w:id="1351377779">
          <w:marLeft w:val="0"/>
          <w:marRight w:val="0"/>
          <w:marTop w:val="0"/>
          <w:marBottom w:val="0"/>
          <w:divBdr>
            <w:top w:val="none" w:sz="0" w:space="0" w:color="auto"/>
            <w:left w:val="none" w:sz="0" w:space="0" w:color="auto"/>
            <w:bottom w:val="none" w:sz="0" w:space="0" w:color="auto"/>
            <w:right w:val="none" w:sz="0" w:space="0" w:color="auto"/>
          </w:divBdr>
        </w:div>
        <w:div w:id="1406992921">
          <w:marLeft w:val="0"/>
          <w:marRight w:val="0"/>
          <w:marTop w:val="0"/>
          <w:marBottom w:val="0"/>
          <w:divBdr>
            <w:top w:val="none" w:sz="0" w:space="0" w:color="auto"/>
            <w:left w:val="none" w:sz="0" w:space="0" w:color="auto"/>
            <w:bottom w:val="none" w:sz="0" w:space="0" w:color="auto"/>
            <w:right w:val="none" w:sz="0" w:space="0" w:color="auto"/>
          </w:divBdr>
        </w:div>
        <w:div w:id="1414204286">
          <w:marLeft w:val="0"/>
          <w:marRight w:val="0"/>
          <w:marTop w:val="0"/>
          <w:marBottom w:val="0"/>
          <w:divBdr>
            <w:top w:val="none" w:sz="0" w:space="0" w:color="auto"/>
            <w:left w:val="none" w:sz="0" w:space="0" w:color="auto"/>
            <w:bottom w:val="none" w:sz="0" w:space="0" w:color="auto"/>
            <w:right w:val="none" w:sz="0" w:space="0" w:color="auto"/>
          </w:divBdr>
        </w:div>
        <w:div w:id="1435705369">
          <w:marLeft w:val="0"/>
          <w:marRight w:val="0"/>
          <w:marTop w:val="0"/>
          <w:marBottom w:val="0"/>
          <w:divBdr>
            <w:top w:val="none" w:sz="0" w:space="0" w:color="auto"/>
            <w:left w:val="none" w:sz="0" w:space="0" w:color="auto"/>
            <w:bottom w:val="none" w:sz="0" w:space="0" w:color="auto"/>
            <w:right w:val="none" w:sz="0" w:space="0" w:color="auto"/>
          </w:divBdr>
        </w:div>
        <w:div w:id="1469736703">
          <w:marLeft w:val="0"/>
          <w:marRight w:val="0"/>
          <w:marTop w:val="0"/>
          <w:marBottom w:val="0"/>
          <w:divBdr>
            <w:top w:val="none" w:sz="0" w:space="0" w:color="auto"/>
            <w:left w:val="none" w:sz="0" w:space="0" w:color="auto"/>
            <w:bottom w:val="none" w:sz="0" w:space="0" w:color="auto"/>
            <w:right w:val="none" w:sz="0" w:space="0" w:color="auto"/>
          </w:divBdr>
        </w:div>
        <w:div w:id="1491825990">
          <w:marLeft w:val="0"/>
          <w:marRight w:val="0"/>
          <w:marTop w:val="0"/>
          <w:marBottom w:val="0"/>
          <w:divBdr>
            <w:top w:val="none" w:sz="0" w:space="0" w:color="auto"/>
            <w:left w:val="none" w:sz="0" w:space="0" w:color="auto"/>
            <w:bottom w:val="none" w:sz="0" w:space="0" w:color="auto"/>
            <w:right w:val="none" w:sz="0" w:space="0" w:color="auto"/>
          </w:divBdr>
        </w:div>
        <w:div w:id="1504470350">
          <w:marLeft w:val="0"/>
          <w:marRight w:val="0"/>
          <w:marTop w:val="0"/>
          <w:marBottom w:val="0"/>
          <w:divBdr>
            <w:top w:val="none" w:sz="0" w:space="0" w:color="auto"/>
            <w:left w:val="none" w:sz="0" w:space="0" w:color="auto"/>
            <w:bottom w:val="none" w:sz="0" w:space="0" w:color="auto"/>
            <w:right w:val="none" w:sz="0" w:space="0" w:color="auto"/>
          </w:divBdr>
        </w:div>
        <w:div w:id="1521043275">
          <w:marLeft w:val="0"/>
          <w:marRight w:val="0"/>
          <w:marTop w:val="0"/>
          <w:marBottom w:val="0"/>
          <w:divBdr>
            <w:top w:val="none" w:sz="0" w:space="0" w:color="auto"/>
            <w:left w:val="none" w:sz="0" w:space="0" w:color="auto"/>
            <w:bottom w:val="none" w:sz="0" w:space="0" w:color="auto"/>
            <w:right w:val="none" w:sz="0" w:space="0" w:color="auto"/>
          </w:divBdr>
        </w:div>
        <w:div w:id="1530221029">
          <w:marLeft w:val="0"/>
          <w:marRight w:val="0"/>
          <w:marTop w:val="0"/>
          <w:marBottom w:val="0"/>
          <w:divBdr>
            <w:top w:val="none" w:sz="0" w:space="0" w:color="auto"/>
            <w:left w:val="none" w:sz="0" w:space="0" w:color="auto"/>
            <w:bottom w:val="none" w:sz="0" w:space="0" w:color="auto"/>
            <w:right w:val="none" w:sz="0" w:space="0" w:color="auto"/>
          </w:divBdr>
        </w:div>
        <w:div w:id="1608654956">
          <w:marLeft w:val="0"/>
          <w:marRight w:val="0"/>
          <w:marTop w:val="0"/>
          <w:marBottom w:val="0"/>
          <w:divBdr>
            <w:top w:val="none" w:sz="0" w:space="0" w:color="auto"/>
            <w:left w:val="none" w:sz="0" w:space="0" w:color="auto"/>
            <w:bottom w:val="none" w:sz="0" w:space="0" w:color="auto"/>
            <w:right w:val="none" w:sz="0" w:space="0" w:color="auto"/>
          </w:divBdr>
        </w:div>
        <w:div w:id="1612124790">
          <w:marLeft w:val="0"/>
          <w:marRight w:val="0"/>
          <w:marTop w:val="0"/>
          <w:marBottom w:val="0"/>
          <w:divBdr>
            <w:top w:val="none" w:sz="0" w:space="0" w:color="auto"/>
            <w:left w:val="none" w:sz="0" w:space="0" w:color="auto"/>
            <w:bottom w:val="none" w:sz="0" w:space="0" w:color="auto"/>
            <w:right w:val="none" w:sz="0" w:space="0" w:color="auto"/>
          </w:divBdr>
        </w:div>
        <w:div w:id="1665938164">
          <w:marLeft w:val="0"/>
          <w:marRight w:val="0"/>
          <w:marTop w:val="0"/>
          <w:marBottom w:val="0"/>
          <w:divBdr>
            <w:top w:val="none" w:sz="0" w:space="0" w:color="auto"/>
            <w:left w:val="none" w:sz="0" w:space="0" w:color="auto"/>
            <w:bottom w:val="none" w:sz="0" w:space="0" w:color="auto"/>
            <w:right w:val="none" w:sz="0" w:space="0" w:color="auto"/>
          </w:divBdr>
        </w:div>
        <w:div w:id="1691100724">
          <w:marLeft w:val="0"/>
          <w:marRight w:val="0"/>
          <w:marTop w:val="0"/>
          <w:marBottom w:val="0"/>
          <w:divBdr>
            <w:top w:val="none" w:sz="0" w:space="0" w:color="auto"/>
            <w:left w:val="none" w:sz="0" w:space="0" w:color="auto"/>
            <w:bottom w:val="none" w:sz="0" w:space="0" w:color="auto"/>
            <w:right w:val="none" w:sz="0" w:space="0" w:color="auto"/>
          </w:divBdr>
        </w:div>
        <w:div w:id="1707829842">
          <w:marLeft w:val="0"/>
          <w:marRight w:val="0"/>
          <w:marTop w:val="0"/>
          <w:marBottom w:val="0"/>
          <w:divBdr>
            <w:top w:val="none" w:sz="0" w:space="0" w:color="auto"/>
            <w:left w:val="none" w:sz="0" w:space="0" w:color="auto"/>
            <w:bottom w:val="none" w:sz="0" w:space="0" w:color="auto"/>
            <w:right w:val="none" w:sz="0" w:space="0" w:color="auto"/>
          </w:divBdr>
        </w:div>
        <w:div w:id="1712223635">
          <w:marLeft w:val="0"/>
          <w:marRight w:val="0"/>
          <w:marTop w:val="0"/>
          <w:marBottom w:val="0"/>
          <w:divBdr>
            <w:top w:val="none" w:sz="0" w:space="0" w:color="auto"/>
            <w:left w:val="none" w:sz="0" w:space="0" w:color="auto"/>
            <w:bottom w:val="none" w:sz="0" w:space="0" w:color="auto"/>
            <w:right w:val="none" w:sz="0" w:space="0" w:color="auto"/>
          </w:divBdr>
        </w:div>
        <w:div w:id="1749382904">
          <w:marLeft w:val="0"/>
          <w:marRight w:val="0"/>
          <w:marTop w:val="0"/>
          <w:marBottom w:val="0"/>
          <w:divBdr>
            <w:top w:val="none" w:sz="0" w:space="0" w:color="auto"/>
            <w:left w:val="none" w:sz="0" w:space="0" w:color="auto"/>
            <w:bottom w:val="none" w:sz="0" w:space="0" w:color="auto"/>
            <w:right w:val="none" w:sz="0" w:space="0" w:color="auto"/>
          </w:divBdr>
        </w:div>
        <w:div w:id="1761172274">
          <w:marLeft w:val="0"/>
          <w:marRight w:val="0"/>
          <w:marTop w:val="0"/>
          <w:marBottom w:val="0"/>
          <w:divBdr>
            <w:top w:val="none" w:sz="0" w:space="0" w:color="auto"/>
            <w:left w:val="none" w:sz="0" w:space="0" w:color="auto"/>
            <w:bottom w:val="none" w:sz="0" w:space="0" w:color="auto"/>
            <w:right w:val="none" w:sz="0" w:space="0" w:color="auto"/>
          </w:divBdr>
        </w:div>
        <w:div w:id="1792673390">
          <w:marLeft w:val="0"/>
          <w:marRight w:val="0"/>
          <w:marTop w:val="0"/>
          <w:marBottom w:val="0"/>
          <w:divBdr>
            <w:top w:val="none" w:sz="0" w:space="0" w:color="auto"/>
            <w:left w:val="none" w:sz="0" w:space="0" w:color="auto"/>
            <w:bottom w:val="none" w:sz="0" w:space="0" w:color="auto"/>
            <w:right w:val="none" w:sz="0" w:space="0" w:color="auto"/>
          </w:divBdr>
        </w:div>
        <w:div w:id="1795323912">
          <w:marLeft w:val="0"/>
          <w:marRight w:val="0"/>
          <w:marTop w:val="0"/>
          <w:marBottom w:val="0"/>
          <w:divBdr>
            <w:top w:val="none" w:sz="0" w:space="0" w:color="auto"/>
            <w:left w:val="none" w:sz="0" w:space="0" w:color="auto"/>
            <w:bottom w:val="none" w:sz="0" w:space="0" w:color="auto"/>
            <w:right w:val="none" w:sz="0" w:space="0" w:color="auto"/>
          </w:divBdr>
        </w:div>
        <w:div w:id="1806197242">
          <w:marLeft w:val="0"/>
          <w:marRight w:val="0"/>
          <w:marTop w:val="0"/>
          <w:marBottom w:val="0"/>
          <w:divBdr>
            <w:top w:val="none" w:sz="0" w:space="0" w:color="auto"/>
            <w:left w:val="none" w:sz="0" w:space="0" w:color="auto"/>
            <w:bottom w:val="none" w:sz="0" w:space="0" w:color="auto"/>
            <w:right w:val="none" w:sz="0" w:space="0" w:color="auto"/>
          </w:divBdr>
        </w:div>
        <w:div w:id="1866475418">
          <w:marLeft w:val="0"/>
          <w:marRight w:val="0"/>
          <w:marTop w:val="0"/>
          <w:marBottom w:val="0"/>
          <w:divBdr>
            <w:top w:val="none" w:sz="0" w:space="0" w:color="auto"/>
            <w:left w:val="none" w:sz="0" w:space="0" w:color="auto"/>
            <w:bottom w:val="none" w:sz="0" w:space="0" w:color="auto"/>
            <w:right w:val="none" w:sz="0" w:space="0" w:color="auto"/>
          </w:divBdr>
        </w:div>
        <w:div w:id="1869177334">
          <w:marLeft w:val="0"/>
          <w:marRight w:val="0"/>
          <w:marTop w:val="0"/>
          <w:marBottom w:val="0"/>
          <w:divBdr>
            <w:top w:val="none" w:sz="0" w:space="0" w:color="auto"/>
            <w:left w:val="none" w:sz="0" w:space="0" w:color="auto"/>
            <w:bottom w:val="none" w:sz="0" w:space="0" w:color="auto"/>
            <w:right w:val="none" w:sz="0" w:space="0" w:color="auto"/>
          </w:divBdr>
        </w:div>
        <w:div w:id="1909151423">
          <w:marLeft w:val="0"/>
          <w:marRight w:val="0"/>
          <w:marTop w:val="0"/>
          <w:marBottom w:val="0"/>
          <w:divBdr>
            <w:top w:val="none" w:sz="0" w:space="0" w:color="auto"/>
            <w:left w:val="none" w:sz="0" w:space="0" w:color="auto"/>
            <w:bottom w:val="none" w:sz="0" w:space="0" w:color="auto"/>
            <w:right w:val="none" w:sz="0" w:space="0" w:color="auto"/>
          </w:divBdr>
        </w:div>
        <w:div w:id="191550718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9946055">
          <w:marLeft w:val="0"/>
          <w:marRight w:val="0"/>
          <w:marTop w:val="0"/>
          <w:marBottom w:val="0"/>
          <w:divBdr>
            <w:top w:val="none" w:sz="0" w:space="0" w:color="auto"/>
            <w:left w:val="none" w:sz="0" w:space="0" w:color="auto"/>
            <w:bottom w:val="none" w:sz="0" w:space="0" w:color="auto"/>
            <w:right w:val="none" w:sz="0" w:space="0" w:color="auto"/>
          </w:divBdr>
        </w:div>
        <w:div w:id="1945841102">
          <w:marLeft w:val="0"/>
          <w:marRight w:val="0"/>
          <w:marTop w:val="0"/>
          <w:marBottom w:val="0"/>
          <w:divBdr>
            <w:top w:val="none" w:sz="0" w:space="0" w:color="auto"/>
            <w:left w:val="none" w:sz="0" w:space="0" w:color="auto"/>
            <w:bottom w:val="none" w:sz="0" w:space="0" w:color="auto"/>
            <w:right w:val="none" w:sz="0" w:space="0" w:color="auto"/>
          </w:divBdr>
        </w:div>
        <w:div w:id="1952589932">
          <w:marLeft w:val="0"/>
          <w:marRight w:val="0"/>
          <w:marTop w:val="0"/>
          <w:marBottom w:val="0"/>
          <w:divBdr>
            <w:top w:val="none" w:sz="0" w:space="0" w:color="auto"/>
            <w:left w:val="none" w:sz="0" w:space="0" w:color="auto"/>
            <w:bottom w:val="none" w:sz="0" w:space="0" w:color="auto"/>
            <w:right w:val="none" w:sz="0" w:space="0" w:color="auto"/>
          </w:divBdr>
        </w:div>
        <w:div w:id="1989438084">
          <w:marLeft w:val="0"/>
          <w:marRight w:val="0"/>
          <w:marTop w:val="0"/>
          <w:marBottom w:val="0"/>
          <w:divBdr>
            <w:top w:val="none" w:sz="0" w:space="0" w:color="auto"/>
            <w:left w:val="none" w:sz="0" w:space="0" w:color="auto"/>
            <w:bottom w:val="none" w:sz="0" w:space="0" w:color="auto"/>
            <w:right w:val="none" w:sz="0" w:space="0" w:color="auto"/>
          </w:divBdr>
        </w:div>
        <w:div w:id="2044163766">
          <w:marLeft w:val="0"/>
          <w:marRight w:val="0"/>
          <w:marTop w:val="0"/>
          <w:marBottom w:val="0"/>
          <w:divBdr>
            <w:top w:val="none" w:sz="0" w:space="0" w:color="auto"/>
            <w:left w:val="none" w:sz="0" w:space="0" w:color="auto"/>
            <w:bottom w:val="none" w:sz="0" w:space="0" w:color="auto"/>
            <w:right w:val="none" w:sz="0" w:space="0" w:color="auto"/>
          </w:divBdr>
        </w:div>
        <w:div w:id="2088914106">
          <w:marLeft w:val="0"/>
          <w:marRight w:val="0"/>
          <w:marTop w:val="0"/>
          <w:marBottom w:val="0"/>
          <w:divBdr>
            <w:top w:val="none" w:sz="0" w:space="0" w:color="auto"/>
            <w:left w:val="none" w:sz="0" w:space="0" w:color="auto"/>
            <w:bottom w:val="none" w:sz="0" w:space="0" w:color="auto"/>
            <w:right w:val="none" w:sz="0" w:space="0" w:color="auto"/>
          </w:divBdr>
        </w:div>
        <w:div w:id="2090736586">
          <w:marLeft w:val="0"/>
          <w:marRight w:val="0"/>
          <w:marTop w:val="0"/>
          <w:marBottom w:val="0"/>
          <w:divBdr>
            <w:top w:val="none" w:sz="0" w:space="0" w:color="auto"/>
            <w:left w:val="none" w:sz="0" w:space="0" w:color="auto"/>
            <w:bottom w:val="none" w:sz="0" w:space="0" w:color="auto"/>
            <w:right w:val="none" w:sz="0" w:space="0" w:color="auto"/>
          </w:divBdr>
        </w:div>
        <w:div w:id="2130778851">
          <w:marLeft w:val="0"/>
          <w:marRight w:val="0"/>
          <w:marTop w:val="0"/>
          <w:marBottom w:val="0"/>
          <w:divBdr>
            <w:top w:val="none" w:sz="0" w:space="0" w:color="auto"/>
            <w:left w:val="none" w:sz="0" w:space="0" w:color="auto"/>
            <w:bottom w:val="none" w:sz="0" w:space="0" w:color="auto"/>
            <w:right w:val="none" w:sz="0" w:space="0" w:color="auto"/>
          </w:divBdr>
        </w:div>
      </w:divsChild>
    </w:div>
    <w:div w:id="1376465117">
      <w:bodyDiv w:val="1"/>
      <w:marLeft w:val="0"/>
      <w:marRight w:val="0"/>
      <w:marTop w:val="0"/>
      <w:marBottom w:val="0"/>
      <w:divBdr>
        <w:top w:val="none" w:sz="0" w:space="0" w:color="auto"/>
        <w:left w:val="none" w:sz="0" w:space="0" w:color="auto"/>
        <w:bottom w:val="none" w:sz="0" w:space="0" w:color="auto"/>
        <w:right w:val="none" w:sz="0" w:space="0" w:color="auto"/>
      </w:divBdr>
    </w:div>
    <w:div w:id="1407268855">
      <w:bodyDiv w:val="1"/>
      <w:marLeft w:val="0"/>
      <w:marRight w:val="0"/>
      <w:marTop w:val="0"/>
      <w:marBottom w:val="0"/>
      <w:divBdr>
        <w:top w:val="none" w:sz="0" w:space="0" w:color="auto"/>
        <w:left w:val="none" w:sz="0" w:space="0" w:color="auto"/>
        <w:bottom w:val="none" w:sz="0" w:space="0" w:color="auto"/>
        <w:right w:val="none" w:sz="0" w:space="0" w:color="auto"/>
      </w:divBdr>
      <w:divsChild>
        <w:div w:id="646396507">
          <w:marLeft w:val="0"/>
          <w:marRight w:val="0"/>
          <w:marTop w:val="0"/>
          <w:marBottom w:val="0"/>
          <w:divBdr>
            <w:top w:val="none" w:sz="0" w:space="0" w:color="auto"/>
            <w:left w:val="none" w:sz="0" w:space="0" w:color="auto"/>
            <w:bottom w:val="none" w:sz="0" w:space="0" w:color="auto"/>
            <w:right w:val="none" w:sz="0" w:space="0" w:color="auto"/>
          </w:divBdr>
        </w:div>
        <w:div w:id="1381712525">
          <w:marLeft w:val="0"/>
          <w:marRight w:val="0"/>
          <w:marTop w:val="0"/>
          <w:marBottom w:val="0"/>
          <w:divBdr>
            <w:top w:val="none" w:sz="0" w:space="0" w:color="auto"/>
            <w:left w:val="none" w:sz="0" w:space="0" w:color="auto"/>
            <w:bottom w:val="none" w:sz="0" w:space="0" w:color="auto"/>
            <w:right w:val="none" w:sz="0" w:space="0" w:color="auto"/>
          </w:divBdr>
        </w:div>
        <w:div w:id="1399326790">
          <w:marLeft w:val="0"/>
          <w:marRight w:val="0"/>
          <w:marTop w:val="0"/>
          <w:marBottom w:val="0"/>
          <w:divBdr>
            <w:top w:val="none" w:sz="0" w:space="0" w:color="auto"/>
            <w:left w:val="none" w:sz="0" w:space="0" w:color="auto"/>
            <w:bottom w:val="none" w:sz="0" w:space="0" w:color="auto"/>
            <w:right w:val="none" w:sz="0" w:space="0" w:color="auto"/>
          </w:divBdr>
        </w:div>
        <w:div w:id="1563832075">
          <w:marLeft w:val="0"/>
          <w:marRight w:val="0"/>
          <w:marTop w:val="0"/>
          <w:marBottom w:val="0"/>
          <w:divBdr>
            <w:top w:val="none" w:sz="0" w:space="0" w:color="auto"/>
            <w:left w:val="none" w:sz="0" w:space="0" w:color="auto"/>
            <w:bottom w:val="none" w:sz="0" w:space="0" w:color="auto"/>
            <w:right w:val="none" w:sz="0" w:space="0" w:color="auto"/>
          </w:divBdr>
        </w:div>
        <w:div w:id="1727605772">
          <w:marLeft w:val="0"/>
          <w:marRight w:val="0"/>
          <w:marTop w:val="0"/>
          <w:marBottom w:val="0"/>
          <w:divBdr>
            <w:top w:val="none" w:sz="0" w:space="0" w:color="auto"/>
            <w:left w:val="none" w:sz="0" w:space="0" w:color="auto"/>
            <w:bottom w:val="none" w:sz="0" w:space="0" w:color="auto"/>
            <w:right w:val="none" w:sz="0" w:space="0" w:color="auto"/>
          </w:divBdr>
        </w:div>
      </w:divsChild>
    </w:div>
    <w:div w:id="1419253260">
      <w:bodyDiv w:val="1"/>
      <w:marLeft w:val="0"/>
      <w:marRight w:val="0"/>
      <w:marTop w:val="0"/>
      <w:marBottom w:val="0"/>
      <w:divBdr>
        <w:top w:val="none" w:sz="0" w:space="0" w:color="auto"/>
        <w:left w:val="none" w:sz="0" w:space="0" w:color="auto"/>
        <w:bottom w:val="none" w:sz="0" w:space="0" w:color="auto"/>
        <w:right w:val="none" w:sz="0" w:space="0" w:color="auto"/>
      </w:divBdr>
      <w:divsChild>
        <w:div w:id="538519770">
          <w:marLeft w:val="0"/>
          <w:marRight w:val="0"/>
          <w:marTop w:val="0"/>
          <w:marBottom w:val="0"/>
          <w:divBdr>
            <w:top w:val="none" w:sz="0" w:space="0" w:color="auto"/>
            <w:left w:val="none" w:sz="0" w:space="0" w:color="auto"/>
            <w:bottom w:val="none" w:sz="0" w:space="0" w:color="auto"/>
            <w:right w:val="none" w:sz="0" w:space="0" w:color="auto"/>
          </w:divBdr>
        </w:div>
        <w:div w:id="885147014">
          <w:marLeft w:val="0"/>
          <w:marRight w:val="0"/>
          <w:marTop w:val="0"/>
          <w:marBottom w:val="0"/>
          <w:divBdr>
            <w:top w:val="none" w:sz="0" w:space="0" w:color="auto"/>
            <w:left w:val="none" w:sz="0" w:space="0" w:color="auto"/>
            <w:bottom w:val="none" w:sz="0" w:space="0" w:color="auto"/>
            <w:right w:val="none" w:sz="0" w:space="0" w:color="auto"/>
          </w:divBdr>
        </w:div>
      </w:divsChild>
    </w:div>
    <w:div w:id="1432163461">
      <w:bodyDiv w:val="1"/>
      <w:marLeft w:val="0"/>
      <w:marRight w:val="0"/>
      <w:marTop w:val="0"/>
      <w:marBottom w:val="0"/>
      <w:divBdr>
        <w:top w:val="none" w:sz="0" w:space="0" w:color="auto"/>
        <w:left w:val="none" w:sz="0" w:space="0" w:color="auto"/>
        <w:bottom w:val="none" w:sz="0" w:space="0" w:color="auto"/>
        <w:right w:val="none" w:sz="0" w:space="0" w:color="auto"/>
      </w:divBdr>
    </w:div>
    <w:div w:id="1435981268">
      <w:bodyDiv w:val="1"/>
      <w:marLeft w:val="0"/>
      <w:marRight w:val="0"/>
      <w:marTop w:val="0"/>
      <w:marBottom w:val="0"/>
      <w:divBdr>
        <w:top w:val="none" w:sz="0" w:space="0" w:color="auto"/>
        <w:left w:val="none" w:sz="0" w:space="0" w:color="auto"/>
        <w:bottom w:val="none" w:sz="0" w:space="0" w:color="auto"/>
        <w:right w:val="none" w:sz="0" w:space="0" w:color="auto"/>
      </w:divBdr>
    </w:div>
    <w:div w:id="1437359273">
      <w:bodyDiv w:val="1"/>
      <w:marLeft w:val="0"/>
      <w:marRight w:val="0"/>
      <w:marTop w:val="0"/>
      <w:marBottom w:val="0"/>
      <w:divBdr>
        <w:top w:val="none" w:sz="0" w:space="0" w:color="auto"/>
        <w:left w:val="none" w:sz="0" w:space="0" w:color="auto"/>
        <w:bottom w:val="none" w:sz="0" w:space="0" w:color="auto"/>
        <w:right w:val="none" w:sz="0" w:space="0" w:color="auto"/>
      </w:divBdr>
    </w:div>
    <w:div w:id="1447625631">
      <w:bodyDiv w:val="1"/>
      <w:marLeft w:val="0"/>
      <w:marRight w:val="0"/>
      <w:marTop w:val="0"/>
      <w:marBottom w:val="0"/>
      <w:divBdr>
        <w:top w:val="none" w:sz="0" w:space="0" w:color="auto"/>
        <w:left w:val="none" w:sz="0" w:space="0" w:color="auto"/>
        <w:bottom w:val="none" w:sz="0" w:space="0" w:color="auto"/>
        <w:right w:val="none" w:sz="0" w:space="0" w:color="auto"/>
      </w:divBdr>
    </w:div>
    <w:div w:id="1458644919">
      <w:bodyDiv w:val="1"/>
      <w:marLeft w:val="0"/>
      <w:marRight w:val="0"/>
      <w:marTop w:val="0"/>
      <w:marBottom w:val="0"/>
      <w:divBdr>
        <w:top w:val="none" w:sz="0" w:space="0" w:color="auto"/>
        <w:left w:val="none" w:sz="0" w:space="0" w:color="auto"/>
        <w:bottom w:val="none" w:sz="0" w:space="0" w:color="auto"/>
        <w:right w:val="none" w:sz="0" w:space="0" w:color="auto"/>
      </w:divBdr>
      <w:divsChild>
        <w:div w:id="12734524">
          <w:marLeft w:val="0"/>
          <w:marRight w:val="0"/>
          <w:marTop w:val="0"/>
          <w:marBottom w:val="0"/>
          <w:divBdr>
            <w:top w:val="none" w:sz="0" w:space="0" w:color="auto"/>
            <w:left w:val="none" w:sz="0" w:space="0" w:color="auto"/>
            <w:bottom w:val="none" w:sz="0" w:space="0" w:color="auto"/>
            <w:right w:val="none" w:sz="0" w:space="0" w:color="auto"/>
          </w:divBdr>
        </w:div>
        <w:div w:id="97214444">
          <w:marLeft w:val="0"/>
          <w:marRight w:val="0"/>
          <w:marTop w:val="0"/>
          <w:marBottom w:val="0"/>
          <w:divBdr>
            <w:top w:val="none" w:sz="0" w:space="0" w:color="auto"/>
            <w:left w:val="none" w:sz="0" w:space="0" w:color="auto"/>
            <w:bottom w:val="none" w:sz="0" w:space="0" w:color="auto"/>
            <w:right w:val="none" w:sz="0" w:space="0" w:color="auto"/>
          </w:divBdr>
        </w:div>
        <w:div w:id="458691917">
          <w:marLeft w:val="0"/>
          <w:marRight w:val="0"/>
          <w:marTop w:val="0"/>
          <w:marBottom w:val="0"/>
          <w:divBdr>
            <w:top w:val="none" w:sz="0" w:space="0" w:color="auto"/>
            <w:left w:val="none" w:sz="0" w:space="0" w:color="auto"/>
            <w:bottom w:val="none" w:sz="0" w:space="0" w:color="auto"/>
            <w:right w:val="none" w:sz="0" w:space="0" w:color="auto"/>
          </w:divBdr>
        </w:div>
        <w:div w:id="1021052188">
          <w:marLeft w:val="0"/>
          <w:marRight w:val="0"/>
          <w:marTop w:val="0"/>
          <w:marBottom w:val="0"/>
          <w:divBdr>
            <w:top w:val="none" w:sz="0" w:space="0" w:color="auto"/>
            <w:left w:val="none" w:sz="0" w:space="0" w:color="auto"/>
            <w:bottom w:val="none" w:sz="0" w:space="0" w:color="auto"/>
            <w:right w:val="none" w:sz="0" w:space="0" w:color="auto"/>
          </w:divBdr>
        </w:div>
        <w:div w:id="1092362822">
          <w:marLeft w:val="0"/>
          <w:marRight w:val="0"/>
          <w:marTop w:val="0"/>
          <w:marBottom w:val="0"/>
          <w:divBdr>
            <w:top w:val="none" w:sz="0" w:space="0" w:color="auto"/>
            <w:left w:val="none" w:sz="0" w:space="0" w:color="auto"/>
            <w:bottom w:val="none" w:sz="0" w:space="0" w:color="auto"/>
            <w:right w:val="none" w:sz="0" w:space="0" w:color="auto"/>
          </w:divBdr>
        </w:div>
        <w:div w:id="1731418314">
          <w:marLeft w:val="0"/>
          <w:marRight w:val="0"/>
          <w:marTop w:val="0"/>
          <w:marBottom w:val="0"/>
          <w:divBdr>
            <w:top w:val="none" w:sz="0" w:space="0" w:color="auto"/>
            <w:left w:val="none" w:sz="0" w:space="0" w:color="auto"/>
            <w:bottom w:val="none" w:sz="0" w:space="0" w:color="auto"/>
            <w:right w:val="none" w:sz="0" w:space="0" w:color="auto"/>
          </w:divBdr>
        </w:div>
        <w:div w:id="1990207710">
          <w:marLeft w:val="0"/>
          <w:marRight w:val="0"/>
          <w:marTop w:val="0"/>
          <w:marBottom w:val="0"/>
          <w:divBdr>
            <w:top w:val="none" w:sz="0" w:space="0" w:color="auto"/>
            <w:left w:val="none" w:sz="0" w:space="0" w:color="auto"/>
            <w:bottom w:val="none" w:sz="0" w:space="0" w:color="auto"/>
            <w:right w:val="none" w:sz="0" w:space="0" w:color="auto"/>
          </w:divBdr>
        </w:div>
        <w:div w:id="2012755752">
          <w:marLeft w:val="0"/>
          <w:marRight w:val="0"/>
          <w:marTop w:val="0"/>
          <w:marBottom w:val="0"/>
          <w:divBdr>
            <w:top w:val="none" w:sz="0" w:space="0" w:color="auto"/>
            <w:left w:val="none" w:sz="0" w:space="0" w:color="auto"/>
            <w:bottom w:val="none" w:sz="0" w:space="0" w:color="auto"/>
            <w:right w:val="none" w:sz="0" w:space="0" w:color="auto"/>
          </w:divBdr>
        </w:div>
        <w:div w:id="2038507507">
          <w:marLeft w:val="0"/>
          <w:marRight w:val="0"/>
          <w:marTop w:val="0"/>
          <w:marBottom w:val="0"/>
          <w:divBdr>
            <w:top w:val="none" w:sz="0" w:space="0" w:color="auto"/>
            <w:left w:val="none" w:sz="0" w:space="0" w:color="auto"/>
            <w:bottom w:val="none" w:sz="0" w:space="0" w:color="auto"/>
            <w:right w:val="none" w:sz="0" w:space="0" w:color="auto"/>
          </w:divBdr>
        </w:div>
      </w:divsChild>
    </w:div>
    <w:div w:id="1459881592">
      <w:bodyDiv w:val="1"/>
      <w:marLeft w:val="0"/>
      <w:marRight w:val="0"/>
      <w:marTop w:val="0"/>
      <w:marBottom w:val="0"/>
      <w:divBdr>
        <w:top w:val="none" w:sz="0" w:space="0" w:color="auto"/>
        <w:left w:val="none" w:sz="0" w:space="0" w:color="auto"/>
        <w:bottom w:val="none" w:sz="0" w:space="0" w:color="auto"/>
        <w:right w:val="none" w:sz="0" w:space="0" w:color="auto"/>
      </w:divBdr>
    </w:div>
    <w:div w:id="1467042859">
      <w:bodyDiv w:val="1"/>
      <w:marLeft w:val="0"/>
      <w:marRight w:val="0"/>
      <w:marTop w:val="0"/>
      <w:marBottom w:val="0"/>
      <w:divBdr>
        <w:top w:val="none" w:sz="0" w:space="0" w:color="auto"/>
        <w:left w:val="none" w:sz="0" w:space="0" w:color="auto"/>
        <w:bottom w:val="none" w:sz="0" w:space="0" w:color="auto"/>
        <w:right w:val="none" w:sz="0" w:space="0" w:color="auto"/>
      </w:divBdr>
    </w:div>
    <w:div w:id="1512988264">
      <w:bodyDiv w:val="1"/>
      <w:marLeft w:val="0"/>
      <w:marRight w:val="0"/>
      <w:marTop w:val="0"/>
      <w:marBottom w:val="0"/>
      <w:divBdr>
        <w:top w:val="none" w:sz="0" w:space="0" w:color="auto"/>
        <w:left w:val="none" w:sz="0" w:space="0" w:color="auto"/>
        <w:bottom w:val="none" w:sz="0" w:space="0" w:color="auto"/>
        <w:right w:val="none" w:sz="0" w:space="0" w:color="auto"/>
      </w:divBdr>
    </w:div>
    <w:div w:id="1547831683">
      <w:bodyDiv w:val="1"/>
      <w:marLeft w:val="0"/>
      <w:marRight w:val="0"/>
      <w:marTop w:val="0"/>
      <w:marBottom w:val="0"/>
      <w:divBdr>
        <w:top w:val="none" w:sz="0" w:space="0" w:color="auto"/>
        <w:left w:val="none" w:sz="0" w:space="0" w:color="auto"/>
        <w:bottom w:val="none" w:sz="0" w:space="0" w:color="auto"/>
        <w:right w:val="none" w:sz="0" w:space="0" w:color="auto"/>
      </w:divBdr>
    </w:div>
    <w:div w:id="1573278195">
      <w:bodyDiv w:val="1"/>
      <w:marLeft w:val="0"/>
      <w:marRight w:val="0"/>
      <w:marTop w:val="0"/>
      <w:marBottom w:val="0"/>
      <w:divBdr>
        <w:top w:val="none" w:sz="0" w:space="0" w:color="auto"/>
        <w:left w:val="none" w:sz="0" w:space="0" w:color="auto"/>
        <w:bottom w:val="none" w:sz="0" w:space="0" w:color="auto"/>
        <w:right w:val="none" w:sz="0" w:space="0" w:color="auto"/>
      </w:divBdr>
    </w:div>
    <w:div w:id="1579513241">
      <w:bodyDiv w:val="1"/>
      <w:marLeft w:val="0"/>
      <w:marRight w:val="0"/>
      <w:marTop w:val="0"/>
      <w:marBottom w:val="0"/>
      <w:divBdr>
        <w:top w:val="none" w:sz="0" w:space="0" w:color="auto"/>
        <w:left w:val="none" w:sz="0" w:space="0" w:color="auto"/>
        <w:bottom w:val="none" w:sz="0" w:space="0" w:color="auto"/>
        <w:right w:val="none" w:sz="0" w:space="0" w:color="auto"/>
      </w:divBdr>
    </w:div>
    <w:div w:id="1590043604">
      <w:bodyDiv w:val="1"/>
      <w:marLeft w:val="0"/>
      <w:marRight w:val="0"/>
      <w:marTop w:val="0"/>
      <w:marBottom w:val="0"/>
      <w:divBdr>
        <w:top w:val="none" w:sz="0" w:space="0" w:color="auto"/>
        <w:left w:val="none" w:sz="0" w:space="0" w:color="auto"/>
        <w:bottom w:val="none" w:sz="0" w:space="0" w:color="auto"/>
        <w:right w:val="none" w:sz="0" w:space="0" w:color="auto"/>
      </w:divBdr>
      <w:divsChild>
        <w:div w:id="143470837">
          <w:marLeft w:val="0"/>
          <w:marRight w:val="0"/>
          <w:marTop w:val="0"/>
          <w:marBottom w:val="0"/>
          <w:divBdr>
            <w:top w:val="none" w:sz="0" w:space="0" w:color="auto"/>
            <w:left w:val="none" w:sz="0" w:space="0" w:color="auto"/>
            <w:bottom w:val="none" w:sz="0" w:space="0" w:color="auto"/>
            <w:right w:val="none" w:sz="0" w:space="0" w:color="auto"/>
          </w:divBdr>
        </w:div>
        <w:div w:id="344286523">
          <w:marLeft w:val="0"/>
          <w:marRight w:val="0"/>
          <w:marTop w:val="0"/>
          <w:marBottom w:val="0"/>
          <w:divBdr>
            <w:top w:val="none" w:sz="0" w:space="0" w:color="auto"/>
            <w:left w:val="none" w:sz="0" w:space="0" w:color="auto"/>
            <w:bottom w:val="none" w:sz="0" w:space="0" w:color="auto"/>
            <w:right w:val="none" w:sz="0" w:space="0" w:color="auto"/>
          </w:divBdr>
        </w:div>
        <w:div w:id="1103378839">
          <w:marLeft w:val="0"/>
          <w:marRight w:val="0"/>
          <w:marTop w:val="0"/>
          <w:marBottom w:val="0"/>
          <w:divBdr>
            <w:top w:val="none" w:sz="0" w:space="0" w:color="auto"/>
            <w:left w:val="none" w:sz="0" w:space="0" w:color="auto"/>
            <w:bottom w:val="none" w:sz="0" w:space="0" w:color="auto"/>
            <w:right w:val="none" w:sz="0" w:space="0" w:color="auto"/>
          </w:divBdr>
        </w:div>
        <w:div w:id="1147623766">
          <w:marLeft w:val="0"/>
          <w:marRight w:val="0"/>
          <w:marTop w:val="0"/>
          <w:marBottom w:val="0"/>
          <w:divBdr>
            <w:top w:val="none" w:sz="0" w:space="0" w:color="auto"/>
            <w:left w:val="none" w:sz="0" w:space="0" w:color="auto"/>
            <w:bottom w:val="none" w:sz="0" w:space="0" w:color="auto"/>
            <w:right w:val="none" w:sz="0" w:space="0" w:color="auto"/>
          </w:divBdr>
        </w:div>
        <w:div w:id="1529873956">
          <w:marLeft w:val="0"/>
          <w:marRight w:val="0"/>
          <w:marTop w:val="0"/>
          <w:marBottom w:val="0"/>
          <w:divBdr>
            <w:top w:val="none" w:sz="0" w:space="0" w:color="auto"/>
            <w:left w:val="none" w:sz="0" w:space="0" w:color="auto"/>
            <w:bottom w:val="none" w:sz="0" w:space="0" w:color="auto"/>
            <w:right w:val="none" w:sz="0" w:space="0" w:color="auto"/>
          </w:divBdr>
        </w:div>
      </w:divsChild>
    </w:div>
    <w:div w:id="1593973524">
      <w:bodyDiv w:val="1"/>
      <w:marLeft w:val="0"/>
      <w:marRight w:val="0"/>
      <w:marTop w:val="0"/>
      <w:marBottom w:val="0"/>
      <w:divBdr>
        <w:top w:val="none" w:sz="0" w:space="0" w:color="auto"/>
        <w:left w:val="none" w:sz="0" w:space="0" w:color="auto"/>
        <w:bottom w:val="none" w:sz="0" w:space="0" w:color="auto"/>
        <w:right w:val="none" w:sz="0" w:space="0" w:color="auto"/>
      </w:divBdr>
      <w:divsChild>
        <w:div w:id="1108308305">
          <w:marLeft w:val="0"/>
          <w:marRight w:val="0"/>
          <w:marTop w:val="0"/>
          <w:marBottom w:val="0"/>
          <w:divBdr>
            <w:top w:val="none" w:sz="0" w:space="0" w:color="auto"/>
            <w:left w:val="none" w:sz="0" w:space="0" w:color="auto"/>
            <w:bottom w:val="none" w:sz="0" w:space="0" w:color="auto"/>
            <w:right w:val="none" w:sz="0" w:space="0" w:color="auto"/>
          </w:divBdr>
        </w:div>
        <w:div w:id="1731465747">
          <w:marLeft w:val="0"/>
          <w:marRight w:val="0"/>
          <w:marTop w:val="0"/>
          <w:marBottom w:val="0"/>
          <w:divBdr>
            <w:top w:val="none" w:sz="0" w:space="0" w:color="auto"/>
            <w:left w:val="none" w:sz="0" w:space="0" w:color="auto"/>
            <w:bottom w:val="none" w:sz="0" w:space="0" w:color="auto"/>
            <w:right w:val="none" w:sz="0" w:space="0" w:color="auto"/>
          </w:divBdr>
        </w:div>
      </w:divsChild>
    </w:div>
    <w:div w:id="1594776812">
      <w:bodyDiv w:val="1"/>
      <w:marLeft w:val="0"/>
      <w:marRight w:val="0"/>
      <w:marTop w:val="0"/>
      <w:marBottom w:val="0"/>
      <w:divBdr>
        <w:top w:val="none" w:sz="0" w:space="0" w:color="auto"/>
        <w:left w:val="none" w:sz="0" w:space="0" w:color="auto"/>
        <w:bottom w:val="none" w:sz="0" w:space="0" w:color="auto"/>
        <w:right w:val="none" w:sz="0" w:space="0" w:color="auto"/>
      </w:divBdr>
    </w:div>
    <w:div w:id="1608846458">
      <w:bodyDiv w:val="1"/>
      <w:marLeft w:val="0"/>
      <w:marRight w:val="0"/>
      <w:marTop w:val="0"/>
      <w:marBottom w:val="0"/>
      <w:divBdr>
        <w:top w:val="none" w:sz="0" w:space="0" w:color="auto"/>
        <w:left w:val="none" w:sz="0" w:space="0" w:color="auto"/>
        <w:bottom w:val="none" w:sz="0" w:space="0" w:color="auto"/>
        <w:right w:val="none" w:sz="0" w:space="0" w:color="auto"/>
      </w:divBdr>
      <w:divsChild>
        <w:div w:id="124662516">
          <w:marLeft w:val="547"/>
          <w:marRight w:val="0"/>
          <w:marTop w:val="0"/>
          <w:marBottom w:val="0"/>
          <w:divBdr>
            <w:top w:val="none" w:sz="0" w:space="0" w:color="auto"/>
            <w:left w:val="none" w:sz="0" w:space="0" w:color="auto"/>
            <w:bottom w:val="none" w:sz="0" w:space="0" w:color="auto"/>
            <w:right w:val="none" w:sz="0" w:space="0" w:color="auto"/>
          </w:divBdr>
        </w:div>
      </w:divsChild>
    </w:div>
    <w:div w:id="1610502085">
      <w:bodyDiv w:val="1"/>
      <w:marLeft w:val="0"/>
      <w:marRight w:val="0"/>
      <w:marTop w:val="0"/>
      <w:marBottom w:val="0"/>
      <w:divBdr>
        <w:top w:val="none" w:sz="0" w:space="0" w:color="auto"/>
        <w:left w:val="none" w:sz="0" w:space="0" w:color="auto"/>
        <w:bottom w:val="none" w:sz="0" w:space="0" w:color="auto"/>
        <w:right w:val="none" w:sz="0" w:space="0" w:color="auto"/>
      </w:divBdr>
    </w:div>
    <w:div w:id="1615747037">
      <w:bodyDiv w:val="1"/>
      <w:marLeft w:val="0"/>
      <w:marRight w:val="0"/>
      <w:marTop w:val="0"/>
      <w:marBottom w:val="0"/>
      <w:divBdr>
        <w:top w:val="none" w:sz="0" w:space="0" w:color="auto"/>
        <w:left w:val="none" w:sz="0" w:space="0" w:color="auto"/>
        <w:bottom w:val="none" w:sz="0" w:space="0" w:color="auto"/>
        <w:right w:val="none" w:sz="0" w:space="0" w:color="auto"/>
      </w:divBdr>
      <w:divsChild>
        <w:div w:id="248738536">
          <w:marLeft w:val="965"/>
          <w:marRight w:val="0"/>
          <w:marTop w:val="96"/>
          <w:marBottom w:val="0"/>
          <w:divBdr>
            <w:top w:val="none" w:sz="0" w:space="0" w:color="auto"/>
            <w:left w:val="none" w:sz="0" w:space="0" w:color="auto"/>
            <w:bottom w:val="none" w:sz="0" w:space="0" w:color="auto"/>
            <w:right w:val="none" w:sz="0" w:space="0" w:color="auto"/>
          </w:divBdr>
        </w:div>
      </w:divsChild>
    </w:div>
    <w:div w:id="1618482766">
      <w:bodyDiv w:val="1"/>
      <w:marLeft w:val="0"/>
      <w:marRight w:val="0"/>
      <w:marTop w:val="0"/>
      <w:marBottom w:val="0"/>
      <w:divBdr>
        <w:top w:val="none" w:sz="0" w:space="0" w:color="auto"/>
        <w:left w:val="none" w:sz="0" w:space="0" w:color="auto"/>
        <w:bottom w:val="none" w:sz="0" w:space="0" w:color="auto"/>
        <w:right w:val="none" w:sz="0" w:space="0" w:color="auto"/>
      </w:divBdr>
      <w:divsChild>
        <w:div w:id="357705353">
          <w:marLeft w:val="0"/>
          <w:marRight w:val="0"/>
          <w:marTop w:val="0"/>
          <w:marBottom w:val="0"/>
          <w:divBdr>
            <w:top w:val="none" w:sz="0" w:space="0" w:color="auto"/>
            <w:left w:val="none" w:sz="0" w:space="0" w:color="auto"/>
            <w:bottom w:val="none" w:sz="0" w:space="0" w:color="auto"/>
            <w:right w:val="none" w:sz="0" w:space="0" w:color="auto"/>
          </w:divBdr>
        </w:div>
        <w:div w:id="446776626">
          <w:marLeft w:val="0"/>
          <w:marRight w:val="0"/>
          <w:marTop w:val="0"/>
          <w:marBottom w:val="0"/>
          <w:divBdr>
            <w:top w:val="none" w:sz="0" w:space="0" w:color="auto"/>
            <w:left w:val="none" w:sz="0" w:space="0" w:color="auto"/>
            <w:bottom w:val="none" w:sz="0" w:space="0" w:color="auto"/>
            <w:right w:val="none" w:sz="0" w:space="0" w:color="auto"/>
          </w:divBdr>
        </w:div>
        <w:div w:id="570695906">
          <w:marLeft w:val="0"/>
          <w:marRight w:val="0"/>
          <w:marTop w:val="0"/>
          <w:marBottom w:val="0"/>
          <w:divBdr>
            <w:top w:val="none" w:sz="0" w:space="0" w:color="auto"/>
            <w:left w:val="none" w:sz="0" w:space="0" w:color="auto"/>
            <w:bottom w:val="none" w:sz="0" w:space="0" w:color="auto"/>
            <w:right w:val="none" w:sz="0" w:space="0" w:color="auto"/>
          </w:divBdr>
        </w:div>
        <w:div w:id="885260600">
          <w:marLeft w:val="0"/>
          <w:marRight w:val="0"/>
          <w:marTop w:val="0"/>
          <w:marBottom w:val="0"/>
          <w:divBdr>
            <w:top w:val="none" w:sz="0" w:space="0" w:color="auto"/>
            <w:left w:val="none" w:sz="0" w:space="0" w:color="auto"/>
            <w:bottom w:val="none" w:sz="0" w:space="0" w:color="auto"/>
            <w:right w:val="none" w:sz="0" w:space="0" w:color="auto"/>
          </w:divBdr>
        </w:div>
        <w:div w:id="1374689808">
          <w:marLeft w:val="0"/>
          <w:marRight w:val="0"/>
          <w:marTop w:val="0"/>
          <w:marBottom w:val="0"/>
          <w:divBdr>
            <w:top w:val="none" w:sz="0" w:space="0" w:color="auto"/>
            <w:left w:val="none" w:sz="0" w:space="0" w:color="auto"/>
            <w:bottom w:val="none" w:sz="0" w:space="0" w:color="auto"/>
            <w:right w:val="none" w:sz="0" w:space="0" w:color="auto"/>
          </w:divBdr>
        </w:div>
        <w:div w:id="1470199004">
          <w:marLeft w:val="0"/>
          <w:marRight w:val="0"/>
          <w:marTop w:val="0"/>
          <w:marBottom w:val="0"/>
          <w:divBdr>
            <w:top w:val="none" w:sz="0" w:space="0" w:color="auto"/>
            <w:left w:val="none" w:sz="0" w:space="0" w:color="auto"/>
            <w:bottom w:val="none" w:sz="0" w:space="0" w:color="auto"/>
            <w:right w:val="none" w:sz="0" w:space="0" w:color="auto"/>
          </w:divBdr>
        </w:div>
      </w:divsChild>
    </w:div>
    <w:div w:id="1623727273">
      <w:bodyDiv w:val="1"/>
      <w:marLeft w:val="0"/>
      <w:marRight w:val="0"/>
      <w:marTop w:val="0"/>
      <w:marBottom w:val="0"/>
      <w:divBdr>
        <w:top w:val="none" w:sz="0" w:space="0" w:color="auto"/>
        <w:left w:val="none" w:sz="0" w:space="0" w:color="auto"/>
        <w:bottom w:val="none" w:sz="0" w:space="0" w:color="auto"/>
        <w:right w:val="none" w:sz="0" w:space="0" w:color="auto"/>
      </w:divBdr>
      <w:divsChild>
        <w:div w:id="2119063027">
          <w:marLeft w:val="965"/>
          <w:marRight w:val="0"/>
          <w:marTop w:val="77"/>
          <w:marBottom w:val="0"/>
          <w:divBdr>
            <w:top w:val="none" w:sz="0" w:space="0" w:color="auto"/>
            <w:left w:val="none" w:sz="0" w:space="0" w:color="auto"/>
            <w:bottom w:val="none" w:sz="0" w:space="0" w:color="auto"/>
            <w:right w:val="none" w:sz="0" w:space="0" w:color="auto"/>
          </w:divBdr>
        </w:div>
      </w:divsChild>
    </w:div>
    <w:div w:id="1659457987">
      <w:bodyDiv w:val="1"/>
      <w:marLeft w:val="0"/>
      <w:marRight w:val="0"/>
      <w:marTop w:val="0"/>
      <w:marBottom w:val="0"/>
      <w:divBdr>
        <w:top w:val="none" w:sz="0" w:space="0" w:color="auto"/>
        <w:left w:val="none" w:sz="0" w:space="0" w:color="auto"/>
        <w:bottom w:val="none" w:sz="0" w:space="0" w:color="auto"/>
        <w:right w:val="none" w:sz="0" w:space="0" w:color="auto"/>
      </w:divBdr>
    </w:div>
    <w:div w:id="1681279232">
      <w:bodyDiv w:val="1"/>
      <w:marLeft w:val="0"/>
      <w:marRight w:val="0"/>
      <w:marTop w:val="0"/>
      <w:marBottom w:val="0"/>
      <w:divBdr>
        <w:top w:val="none" w:sz="0" w:space="0" w:color="auto"/>
        <w:left w:val="none" w:sz="0" w:space="0" w:color="auto"/>
        <w:bottom w:val="none" w:sz="0" w:space="0" w:color="auto"/>
        <w:right w:val="none" w:sz="0" w:space="0" w:color="auto"/>
      </w:divBdr>
    </w:div>
    <w:div w:id="1691637396">
      <w:bodyDiv w:val="1"/>
      <w:marLeft w:val="0"/>
      <w:marRight w:val="0"/>
      <w:marTop w:val="0"/>
      <w:marBottom w:val="0"/>
      <w:divBdr>
        <w:top w:val="none" w:sz="0" w:space="0" w:color="auto"/>
        <w:left w:val="none" w:sz="0" w:space="0" w:color="auto"/>
        <w:bottom w:val="none" w:sz="0" w:space="0" w:color="auto"/>
        <w:right w:val="none" w:sz="0" w:space="0" w:color="auto"/>
      </w:divBdr>
      <w:divsChild>
        <w:div w:id="1841769094">
          <w:marLeft w:val="965"/>
          <w:marRight w:val="0"/>
          <w:marTop w:val="77"/>
          <w:marBottom w:val="0"/>
          <w:divBdr>
            <w:top w:val="none" w:sz="0" w:space="0" w:color="auto"/>
            <w:left w:val="none" w:sz="0" w:space="0" w:color="auto"/>
            <w:bottom w:val="none" w:sz="0" w:space="0" w:color="auto"/>
            <w:right w:val="none" w:sz="0" w:space="0" w:color="auto"/>
          </w:divBdr>
        </w:div>
      </w:divsChild>
    </w:div>
    <w:div w:id="1693725076">
      <w:bodyDiv w:val="1"/>
      <w:marLeft w:val="0"/>
      <w:marRight w:val="0"/>
      <w:marTop w:val="0"/>
      <w:marBottom w:val="0"/>
      <w:divBdr>
        <w:top w:val="none" w:sz="0" w:space="0" w:color="auto"/>
        <w:left w:val="none" w:sz="0" w:space="0" w:color="auto"/>
        <w:bottom w:val="none" w:sz="0" w:space="0" w:color="auto"/>
        <w:right w:val="none" w:sz="0" w:space="0" w:color="auto"/>
      </w:divBdr>
    </w:div>
    <w:div w:id="1702824222">
      <w:bodyDiv w:val="1"/>
      <w:marLeft w:val="0"/>
      <w:marRight w:val="0"/>
      <w:marTop w:val="0"/>
      <w:marBottom w:val="0"/>
      <w:divBdr>
        <w:top w:val="none" w:sz="0" w:space="0" w:color="auto"/>
        <w:left w:val="none" w:sz="0" w:space="0" w:color="auto"/>
        <w:bottom w:val="none" w:sz="0" w:space="0" w:color="auto"/>
        <w:right w:val="none" w:sz="0" w:space="0" w:color="auto"/>
      </w:divBdr>
    </w:div>
    <w:div w:id="1710110794">
      <w:bodyDiv w:val="1"/>
      <w:marLeft w:val="0"/>
      <w:marRight w:val="0"/>
      <w:marTop w:val="0"/>
      <w:marBottom w:val="0"/>
      <w:divBdr>
        <w:top w:val="none" w:sz="0" w:space="0" w:color="auto"/>
        <w:left w:val="none" w:sz="0" w:space="0" w:color="auto"/>
        <w:bottom w:val="none" w:sz="0" w:space="0" w:color="auto"/>
        <w:right w:val="none" w:sz="0" w:space="0" w:color="auto"/>
      </w:divBdr>
    </w:div>
    <w:div w:id="1767581931">
      <w:bodyDiv w:val="1"/>
      <w:marLeft w:val="0"/>
      <w:marRight w:val="0"/>
      <w:marTop w:val="0"/>
      <w:marBottom w:val="0"/>
      <w:divBdr>
        <w:top w:val="none" w:sz="0" w:space="0" w:color="auto"/>
        <w:left w:val="none" w:sz="0" w:space="0" w:color="auto"/>
        <w:bottom w:val="none" w:sz="0" w:space="0" w:color="auto"/>
        <w:right w:val="none" w:sz="0" w:space="0" w:color="auto"/>
      </w:divBdr>
    </w:div>
    <w:div w:id="1768841506">
      <w:bodyDiv w:val="1"/>
      <w:marLeft w:val="0"/>
      <w:marRight w:val="0"/>
      <w:marTop w:val="0"/>
      <w:marBottom w:val="0"/>
      <w:divBdr>
        <w:top w:val="none" w:sz="0" w:space="0" w:color="auto"/>
        <w:left w:val="none" w:sz="0" w:space="0" w:color="auto"/>
        <w:bottom w:val="none" w:sz="0" w:space="0" w:color="auto"/>
        <w:right w:val="none" w:sz="0" w:space="0" w:color="auto"/>
      </w:divBdr>
    </w:div>
    <w:div w:id="1779332276">
      <w:bodyDiv w:val="1"/>
      <w:marLeft w:val="0"/>
      <w:marRight w:val="0"/>
      <w:marTop w:val="0"/>
      <w:marBottom w:val="0"/>
      <w:divBdr>
        <w:top w:val="none" w:sz="0" w:space="0" w:color="auto"/>
        <w:left w:val="none" w:sz="0" w:space="0" w:color="auto"/>
        <w:bottom w:val="none" w:sz="0" w:space="0" w:color="auto"/>
        <w:right w:val="none" w:sz="0" w:space="0" w:color="auto"/>
      </w:divBdr>
    </w:div>
    <w:div w:id="1779789806">
      <w:bodyDiv w:val="1"/>
      <w:marLeft w:val="0"/>
      <w:marRight w:val="0"/>
      <w:marTop w:val="0"/>
      <w:marBottom w:val="0"/>
      <w:divBdr>
        <w:top w:val="none" w:sz="0" w:space="0" w:color="auto"/>
        <w:left w:val="none" w:sz="0" w:space="0" w:color="auto"/>
        <w:bottom w:val="none" w:sz="0" w:space="0" w:color="auto"/>
        <w:right w:val="none" w:sz="0" w:space="0" w:color="auto"/>
      </w:divBdr>
      <w:divsChild>
        <w:div w:id="352850027">
          <w:marLeft w:val="0"/>
          <w:marRight w:val="0"/>
          <w:marTop w:val="0"/>
          <w:marBottom w:val="0"/>
          <w:divBdr>
            <w:top w:val="none" w:sz="0" w:space="0" w:color="auto"/>
            <w:left w:val="none" w:sz="0" w:space="0" w:color="auto"/>
            <w:bottom w:val="none" w:sz="0" w:space="0" w:color="auto"/>
            <w:right w:val="none" w:sz="0" w:space="0" w:color="auto"/>
          </w:divBdr>
        </w:div>
        <w:div w:id="877860702">
          <w:marLeft w:val="0"/>
          <w:marRight w:val="0"/>
          <w:marTop w:val="0"/>
          <w:marBottom w:val="0"/>
          <w:divBdr>
            <w:top w:val="none" w:sz="0" w:space="0" w:color="auto"/>
            <w:left w:val="none" w:sz="0" w:space="0" w:color="auto"/>
            <w:bottom w:val="none" w:sz="0" w:space="0" w:color="auto"/>
            <w:right w:val="none" w:sz="0" w:space="0" w:color="auto"/>
          </w:divBdr>
        </w:div>
        <w:div w:id="1463621265">
          <w:marLeft w:val="0"/>
          <w:marRight w:val="0"/>
          <w:marTop w:val="0"/>
          <w:marBottom w:val="0"/>
          <w:divBdr>
            <w:top w:val="none" w:sz="0" w:space="0" w:color="auto"/>
            <w:left w:val="none" w:sz="0" w:space="0" w:color="auto"/>
            <w:bottom w:val="none" w:sz="0" w:space="0" w:color="auto"/>
            <w:right w:val="none" w:sz="0" w:space="0" w:color="auto"/>
          </w:divBdr>
        </w:div>
        <w:div w:id="1587569326">
          <w:marLeft w:val="0"/>
          <w:marRight w:val="0"/>
          <w:marTop w:val="0"/>
          <w:marBottom w:val="0"/>
          <w:divBdr>
            <w:top w:val="none" w:sz="0" w:space="0" w:color="auto"/>
            <w:left w:val="none" w:sz="0" w:space="0" w:color="auto"/>
            <w:bottom w:val="none" w:sz="0" w:space="0" w:color="auto"/>
            <w:right w:val="none" w:sz="0" w:space="0" w:color="auto"/>
          </w:divBdr>
        </w:div>
        <w:div w:id="1898277636">
          <w:marLeft w:val="0"/>
          <w:marRight w:val="0"/>
          <w:marTop w:val="0"/>
          <w:marBottom w:val="0"/>
          <w:divBdr>
            <w:top w:val="none" w:sz="0" w:space="0" w:color="auto"/>
            <w:left w:val="none" w:sz="0" w:space="0" w:color="auto"/>
            <w:bottom w:val="none" w:sz="0" w:space="0" w:color="auto"/>
            <w:right w:val="none" w:sz="0" w:space="0" w:color="auto"/>
          </w:divBdr>
        </w:div>
        <w:div w:id="2083216580">
          <w:marLeft w:val="0"/>
          <w:marRight w:val="0"/>
          <w:marTop w:val="0"/>
          <w:marBottom w:val="0"/>
          <w:divBdr>
            <w:top w:val="none" w:sz="0" w:space="0" w:color="auto"/>
            <w:left w:val="none" w:sz="0" w:space="0" w:color="auto"/>
            <w:bottom w:val="none" w:sz="0" w:space="0" w:color="auto"/>
            <w:right w:val="none" w:sz="0" w:space="0" w:color="auto"/>
          </w:divBdr>
        </w:div>
      </w:divsChild>
    </w:div>
    <w:div w:id="1781533290">
      <w:bodyDiv w:val="1"/>
      <w:marLeft w:val="0"/>
      <w:marRight w:val="0"/>
      <w:marTop w:val="0"/>
      <w:marBottom w:val="0"/>
      <w:divBdr>
        <w:top w:val="none" w:sz="0" w:space="0" w:color="auto"/>
        <w:left w:val="none" w:sz="0" w:space="0" w:color="auto"/>
        <w:bottom w:val="none" w:sz="0" w:space="0" w:color="auto"/>
        <w:right w:val="none" w:sz="0" w:space="0" w:color="auto"/>
      </w:divBdr>
    </w:div>
    <w:div w:id="1806269721">
      <w:bodyDiv w:val="1"/>
      <w:marLeft w:val="0"/>
      <w:marRight w:val="0"/>
      <w:marTop w:val="0"/>
      <w:marBottom w:val="0"/>
      <w:divBdr>
        <w:top w:val="none" w:sz="0" w:space="0" w:color="auto"/>
        <w:left w:val="none" w:sz="0" w:space="0" w:color="auto"/>
        <w:bottom w:val="none" w:sz="0" w:space="0" w:color="auto"/>
        <w:right w:val="none" w:sz="0" w:space="0" w:color="auto"/>
      </w:divBdr>
    </w:div>
    <w:div w:id="1810242891">
      <w:bodyDiv w:val="1"/>
      <w:marLeft w:val="0"/>
      <w:marRight w:val="0"/>
      <w:marTop w:val="0"/>
      <w:marBottom w:val="0"/>
      <w:divBdr>
        <w:top w:val="none" w:sz="0" w:space="0" w:color="auto"/>
        <w:left w:val="none" w:sz="0" w:space="0" w:color="auto"/>
        <w:bottom w:val="none" w:sz="0" w:space="0" w:color="auto"/>
        <w:right w:val="none" w:sz="0" w:space="0" w:color="auto"/>
      </w:divBdr>
    </w:div>
    <w:div w:id="1822498458">
      <w:bodyDiv w:val="1"/>
      <w:marLeft w:val="0"/>
      <w:marRight w:val="0"/>
      <w:marTop w:val="0"/>
      <w:marBottom w:val="0"/>
      <w:divBdr>
        <w:top w:val="none" w:sz="0" w:space="0" w:color="auto"/>
        <w:left w:val="none" w:sz="0" w:space="0" w:color="auto"/>
        <w:bottom w:val="none" w:sz="0" w:space="0" w:color="auto"/>
        <w:right w:val="none" w:sz="0" w:space="0" w:color="auto"/>
      </w:divBdr>
      <w:divsChild>
        <w:div w:id="85856743">
          <w:marLeft w:val="0"/>
          <w:marRight w:val="0"/>
          <w:marTop w:val="0"/>
          <w:marBottom w:val="0"/>
          <w:divBdr>
            <w:top w:val="none" w:sz="0" w:space="0" w:color="auto"/>
            <w:left w:val="none" w:sz="0" w:space="0" w:color="auto"/>
            <w:bottom w:val="none" w:sz="0" w:space="0" w:color="auto"/>
            <w:right w:val="none" w:sz="0" w:space="0" w:color="auto"/>
          </w:divBdr>
        </w:div>
        <w:div w:id="162668121">
          <w:marLeft w:val="0"/>
          <w:marRight w:val="0"/>
          <w:marTop w:val="0"/>
          <w:marBottom w:val="0"/>
          <w:divBdr>
            <w:top w:val="none" w:sz="0" w:space="0" w:color="auto"/>
            <w:left w:val="none" w:sz="0" w:space="0" w:color="auto"/>
            <w:bottom w:val="none" w:sz="0" w:space="0" w:color="auto"/>
            <w:right w:val="none" w:sz="0" w:space="0" w:color="auto"/>
          </w:divBdr>
        </w:div>
        <w:div w:id="908224466">
          <w:marLeft w:val="0"/>
          <w:marRight w:val="0"/>
          <w:marTop w:val="0"/>
          <w:marBottom w:val="0"/>
          <w:divBdr>
            <w:top w:val="none" w:sz="0" w:space="0" w:color="auto"/>
            <w:left w:val="none" w:sz="0" w:space="0" w:color="auto"/>
            <w:bottom w:val="none" w:sz="0" w:space="0" w:color="auto"/>
            <w:right w:val="none" w:sz="0" w:space="0" w:color="auto"/>
          </w:divBdr>
        </w:div>
        <w:div w:id="1543903440">
          <w:marLeft w:val="0"/>
          <w:marRight w:val="0"/>
          <w:marTop w:val="0"/>
          <w:marBottom w:val="0"/>
          <w:divBdr>
            <w:top w:val="none" w:sz="0" w:space="0" w:color="auto"/>
            <w:left w:val="none" w:sz="0" w:space="0" w:color="auto"/>
            <w:bottom w:val="none" w:sz="0" w:space="0" w:color="auto"/>
            <w:right w:val="none" w:sz="0" w:space="0" w:color="auto"/>
          </w:divBdr>
        </w:div>
        <w:div w:id="1600068151">
          <w:marLeft w:val="0"/>
          <w:marRight w:val="0"/>
          <w:marTop w:val="0"/>
          <w:marBottom w:val="0"/>
          <w:divBdr>
            <w:top w:val="none" w:sz="0" w:space="0" w:color="auto"/>
            <w:left w:val="none" w:sz="0" w:space="0" w:color="auto"/>
            <w:bottom w:val="none" w:sz="0" w:space="0" w:color="auto"/>
            <w:right w:val="none" w:sz="0" w:space="0" w:color="auto"/>
          </w:divBdr>
        </w:div>
        <w:div w:id="1863743540">
          <w:marLeft w:val="0"/>
          <w:marRight w:val="0"/>
          <w:marTop w:val="0"/>
          <w:marBottom w:val="0"/>
          <w:divBdr>
            <w:top w:val="none" w:sz="0" w:space="0" w:color="auto"/>
            <w:left w:val="none" w:sz="0" w:space="0" w:color="auto"/>
            <w:bottom w:val="none" w:sz="0" w:space="0" w:color="auto"/>
            <w:right w:val="none" w:sz="0" w:space="0" w:color="auto"/>
          </w:divBdr>
        </w:div>
        <w:div w:id="2074036452">
          <w:marLeft w:val="0"/>
          <w:marRight w:val="0"/>
          <w:marTop w:val="0"/>
          <w:marBottom w:val="0"/>
          <w:divBdr>
            <w:top w:val="none" w:sz="0" w:space="0" w:color="auto"/>
            <w:left w:val="none" w:sz="0" w:space="0" w:color="auto"/>
            <w:bottom w:val="none" w:sz="0" w:space="0" w:color="auto"/>
            <w:right w:val="none" w:sz="0" w:space="0" w:color="auto"/>
          </w:divBdr>
        </w:div>
        <w:div w:id="2084837378">
          <w:marLeft w:val="0"/>
          <w:marRight w:val="0"/>
          <w:marTop w:val="0"/>
          <w:marBottom w:val="0"/>
          <w:divBdr>
            <w:top w:val="none" w:sz="0" w:space="0" w:color="auto"/>
            <w:left w:val="none" w:sz="0" w:space="0" w:color="auto"/>
            <w:bottom w:val="none" w:sz="0" w:space="0" w:color="auto"/>
            <w:right w:val="none" w:sz="0" w:space="0" w:color="auto"/>
          </w:divBdr>
        </w:div>
      </w:divsChild>
    </w:div>
    <w:div w:id="1826553992">
      <w:bodyDiv w:val="1"/>
      <w:marLeft w:val="0"/>
      <w:marRight w:val="0"/>
      <w:marTop w:val="0"/>
      <w:marBottom w:val="0"/>
      <w:divBdr>
        <w:top w:val="none" w:sz="0" w:space="0" w:color="auto"/>
        <w:left w:val="none" w:sz="0" w:space="0" w:color="auto"/>
        <w:bottom w:val="none" w:sz="0" w:space="0" w:color="auto"/>
        <w:right w:val="none" w:sz="0" w:space="0" w:color="auto"/>
      </w:divBdr>
    </w:div>
    <w:div w:id="1832137398">
      <w:bodyDiv w:val="1"/>
      <w:marLeft w:val="0"/>
      <w:marRight w:val="0"/>
      <w:marTop w:val="0"/>
      <w:marBottom w:val="0"/>
      <w:divBdr>
        <w:top w:val="none" w:sz="0" w:space="0" w:color="auto"/>
        <w:left w:val="none" w:sz="0" w:space="0" w:color="auto"/>
        <w:bottom w:val="none" w:sz="0" w:space="0" w:color="auto"/>
        <w:right w:val="none" w:sz="0" w:space="0" w:color="auto"/>
      </w:divBdr>
    </w:div>
    <w:div w:id="1852792631">
      <w:bodyDiv w:val="1"/>
      <w:marLeft w:val="0"/>
      <w:marRight w:val="0"/>
      <w:marTop w:val="0"/>
      <w:marBottom w:val="0"/>
      <w:divBdr>
        <w:top w:val="none" w:sz="0" w:space="0" w:color="auto"/>
        <w:left w:val="none" w:sz="0" w:space="0" w:color="auto"/>
        <w:bottom w:val="none" w:sz="0" w:space="0" w:color="auto"/>
        <w:right w:val="none" w:sz="0" w:space="0" w:color="auto"/>
      </w:divBdr>
    </w:div>
    <w:div w:id="1895852532">
      <w:bodyDiv w:val="1"/>
      <w:marLeft w:val="0"/>
      <w:marRight w:val="0"/>
      <w:marTop w:val="0"/>
      <w:marBottom w:val="0"/>
      <w:divBdr>
        <w:top w:val="none" w:sz="0" w:space="0" w:color="auto"/>
        <w:left w:val="none" w:sz="0" w:space="0" w:color="auto"/>
        <w:bottom w:val="none" w:sz="0" w:space="0" w:color="auto"/>
        <w:right w:val="none" w:sz="0" w:space="0" w:color="auto"/>
      </w:divBdr>
    </w:div>
    <w:div w:id="1913392659">
      <w:bodyDiv w:val="1"/>
      <w:marLeft w:val="0"/>
      <w:marRight w:val="0"/>
      <w:marTop w:val="0"/>
      <w:marBottom w:val="0"/>
      <w:divBdr>
        <w:top w:val="none" w:sz="0" w:space="0" w:color="auto"/>
        <w:left w:val="none" w:sz="0" w:space="0" w:color="auto"/>
        <w:bottom w:val="none" w:sz="0" w:space="0" w:color="auto"/>
        <w:right w:val="none" w:sz="0" w:space="0" w:color="auto"/>
      </w:divBdr>
    </w:div>
    <w:div w:id="1914662257">
      <w:bodyDiv w:val="1"/>
      <w:marLeft w:val="0"/>
      <w:marRight w:val="0"/>
      <w:marTop w:val="0"/>
      <w:marBottom w:val="0"/>
      <w:divBdr>
        <w:top w:val="none" w:sz="0" w:space="0" w:color="auto"/>
        <w:left w:val="none" w:sz="0" w:space="0" w:color="auto"/>
        <w:bottom w:val="none" w:sz="0" w:space="0" w:color="auto"/>
        <w:right w:val="none" w:sz="0" w:space="0" w:color="auto"/>
      </w:divBdr>
    </w:div>
    <w:div w:id="1919901533">
      <w:bodyDiv w:val="1"/>
      <w:marLeft w:val="0"/>
      <w:marRight w:val="0"/>
      <w:marTop w:val="0"/>
      <w:marBottom w:val="0"/>
      <w:divBdr>
        <w:top w:val="none" w:sz="0" w:space="0" w:color="auto"/>
        <w:left w:val="none" w:sz="0" w:space="0" w:color="auto"/>
        <w:bottom w:val="none" w:sz="0" w:space="0" w:color="auto"/>
        <w:right w:val="none" w:sz="0" w:space="0" w:color="auto"/>
      </w:divBdr>
    </w:div>
    <w:div w:id="1933971694">
      <w:bodyDiv w:val="1"/>
      <w:marLeft w:val="0"/>
      <w:marRight w:val="0"/>
      <w:marTop w:val="0"/>
      <w:marBottom w:val="0"/>
      <w:divBdr>
        <w:top w:val="none" w:sz="0" w:space="0" w:color="auto"/>
        <w:left w:val="none" w:sz="0" w:space="0" w:color="auto"/>
        <w:bottom w:val="none" w:sz="0" w:space="0" w:color="auto"/>
        <w:right w:val="none" w:sz="0" w:space="0" w:color="auto"/>
      </w:divBdr>
    </w:div>
    <w:div w:id="1942637397">
      <w:bodyDiv w:val="1"/>
      <w:marLeft w:val="0"/>
      <w:marRight w:val="0"/>
      <w:marTop w:val="0"/>
      <w:marBottom w:val="0"/>
      <w:divBdr>
        <w:top w:val="none" w:sz="0" w:space="0" w:color="auto"/>
        <w:left w:val="none" w:sz="0" w:space="0" w:color="auto"/>
        <w:bottom w:val="none" w:sz="0" w:space="0" w:color="auto"/>
        <w:right w:val="none" w:sz="0" w:space="0" w:color="auto"/>
      </w:divBdr>
      <w:divsChild>
        <w:div w:id="56125604">
          <w:marLeft w:val="0"/>
          <w:marRight w:val="0"/>
          <w:marTop w:val="0"/>
          <w:marBottom w:val="0"/>
          <w:divBdr>
            <w:top w:val="none" w:sz="0" w:space="0" w:color="auto"/>
            <w:left w:val="none" w:sz="0" w:space="0" w:color="auto"/>
            <w:bottom w:val="none" w:sz="0" w:space="0" w:color="auto"/>
            <w:right w:val="none" w:sz="0" w:space="0" w:color="auto"/>
          </w:divBdr>
        </w:div>
        <w:div w:id="78672038">
          <w:marLeft w:val="0"/>
          <w:marRight w:val="0"/>
          <w:marTop w:val="0"/>
          <w:marBottom w:val="0"/>
          <w:divBdr>
            <w:top w:val="none" w:sz="0" w:space="0" w:color="auto"/>
            <w:left w:val="none" w:sz="0" w:space="0" w:color="auto"/>
            <w:bottom w:val="none" w:sz="0" w:space="0" w:color="auto"/>
            <w:right w:val="none" w:sz="0" w:space="0" w:color="auto"/>
          </w:divBdr>
        </w:div>
        <w:div w:id="684285107">
          <w:marLeft w:val="0"/>
          <w:marRight w:val="0"/>
          <w:marTop w:val="0"/>
          <w:marBottom w:val="0"/>
          <w:divBdr>
            <w:top w:val="none" w:sz="0" w:space="0" w:color="auto"/>
            <w:left w:val="none" w:sz="0" w:space="0" w:color="auto"/>
            <w:bottom w:val="none" w:sz="0" w:space="0" w:color="auto"/>
            <w:right w:val="none" w:sz="0" w:space="0" w:color="auto"/>
          </w:divBdr>
        </w:div>
        <w:div w:id="727267160">
          <w:marLeft w:val="0"/>
          <w:marRight w:val="0"/>
          <w:marTop w:val="0"/>
          <w:marBottom w:val="0"/>
          <w:divBdr>
            <w:top w:val="none" w:sz="0" w:space="0" w:color="auto"/>
            <w:left w:val="none" w:sz="0" w:space="0" w:color="auto"/>
            <w:bottom w:val="none" w:sz="0" w:space="0" w:color="auto"/>
            <w:right w:val="none" w:sz="0" w:space="0" w:color="auto"/>
          </w:divBdr>
        </w:div>
        <w:div w:id="888078824">
          <w:marLeft w:val="0"/>
          <w:marRight w:val="0"/>
          <w:marTop w:val="0"/>
          <w:marBottom w:val="0"/>
          <w:divBdr>
            <w:top w:val="none" w:sz="0" w:space="0" w:color="auto"/>
            <w:left w:val="none" w:sz="0" w:space="0" w:color="auto"/>
            <w:bottom w:val="none" w:sz="0" w:space="0" w:color="auto"/>
            <w:right w:val="none" w:sz="0" w:space="0" w:color="auto"/>
          </w:divBdr>
        </w:div>
        <w:div w:id="992490952">
          <w:marLeft w:val="0"/>
          <w:marRight w:val="0"/>
          <w:marTop w:val="0"/>
          <w:marBottom w:val="0"/>
          <w:divBdr>
            <w:top w:val="none" w:sz="0" w:space="0" w:color="auto"/>
            <w:left w:val="none" w:sz="0" w:space="0" w:color="auto"/>
            <w:bottom w:val="none" w:sz="0" w:space="0" w:color="auto"/>
            <w:right w:val="none" w:sz="0" w:space="0" w:color="auto"/>
          </w:divBdr>
        </w:div>
        <w:div w:id="1004742968">
          <w:marLeft w:val="0"/>
          <w:marRight w:val="0"/>
          <w:marTop w:val="0"/>
          <w:marBottom w:val="0"/>
          <w:divBdr>
            <w:top w:val="none" w:sz="0" w:space="0" w:color="auto"/>
            <w:left w:val="none" w:sz="0" w:space="0" w:color="auto"/>
            <w:bottom w:val="none" w:sz="0" w:space="0" w:color="auto"/>
            <w:right w:val="none" w:sz="0" w:space="0" w:color="auto"/>
          </w:divBdr>
        </w:div>
        <w:div w:id="1340499386">
          <w:marLeft w:val="0"/>
          <w:marRight w:val="0"/>
          <w:marTop w:val="0"/>
          <w:marBottom w:val="0"/>
          <w:divBdr>
            <w:top w:val="none" w:sz="0" w:space="0" w:color="auto"/>
            <w:left w:val="none" w:sz="0" w:space="0" w:color="auto"/>
            <w:bottom w:val="none" w:sz="0" w:space="0" w:color="auto"/>
            <w:right w:val="none" w:sz="0" w:space="0" w:color="auto"/>
          </w:divBdr>
        </w:div>
        <w:div w:id="1362248330">
          <w:marLeft w:val="0"/>
          <w:marRight w:val="0"/>
          <w:marTop w:val="0"/>
          <w:marBottom w:val="0"/>
          <w:divBdr>
            <w:top w:val="none" w:sz="0" w:space="0" w:color="auto"/>
            <w:left w:val="none" w:sz="0" w:space="0" w:color="auto"/>
            <w:bottom w:val="none" w:sz="0" w:space="0" w:color="auto"/>
            <w:right w:val="none" w:sz="0" w:space="0" w:color="auto"/>
          </w:divBdr>
        </w:div>
      </w:divsChild>
    </w:div>
    <w:div w:id="1961716777">
      <w:bodyDiv w:val="1"/>
      <w:marLeft w:val="0"/>
      <w:marRight w:val="0"/>
      <w:marTop w:val="0"/>
      <w:marBottom w:val="0"/>
      <w:divBdr>
        <w:top w:val="none" w:sz="0" w:space="0" w:color="auto"/>
        <w:left w:val="none" w:sz="0" w:space="0" w:color="auto"/>
        <w:bottom w:val="none" w:sz="0" w:space="0" w:color="auto"/>
        <w:right w:val="none" w:sz="0" w:space="0" w:color="auto"/>
      </w:divBdr>
    </w:div>
    <w:div w:id="1966153578">
      <w:bodyDiv w:val="1"/>
      <w:marLeft w:val="0"/>
      <w:marRight w:val="0"/>
      <w:marTop w:val="0"/>
      <w:marBottom w:val="0"/>
      <w:divBdr>
        <w:top w:val="none" w:sz="0" w:space="0" w:color="auto"/>
        <w:left w:val="none" w:sz="0" w:space="0" w:color="auto"/>
        <w:bottom w:val="none" w:sz="0" w:space="0" w:color="auto"/>
        <w:right w:val="none" w:sz="0" w:space="0" w:color="auto"/>
      </w:divBdr>
    </w:div>
    <w:div w:id="1982035218">
      <w:bodyDiv w:val="1"/>
      <w:marLeft w:val="0"/>
      <w:marRight w:val="0"/>
      <w:marTop w:val="0"/>
      <w:marBottom w:val="0"/>
      <w:divBdr>
        <w:top w:val="none" w:sz="0" w:space="0" w:color="auto"/>
        <w:left w:val="none" w:sz="0" w:space="0" w:color="auto"/>
        <w:bottom w:val="none" w:sz="0" w:space="0" w:color="auto"/>
        <w:right w:val="none" w:sz="0" w:space="0" w:color="auto"/>
      </w:divBdr>
    </w:div>
    <w:div w:id="1984768030">
      <w:bodyDiv w:val="1"/>
      <w:marLeft w:val="0"/>
      <w:marRight w:val="0"/>
      <w:marTop w:val="0"/>
      <w:marBottom w:val="0"/>
      <w:divBdr>
        <w:top w:val="none" w:sz="0" w:space="0" w:color="auto"/>
        <w:left w:val="none" w:sz="0" w:space="0" w:color="auto"/>
        <w:bottom w:val="none" w:sz="0" w:space="0" w:color="auto"/>
        <w:right w:val="none" w:sz="0" w:space="0" w:color="auto"/>
      </w:divBdr>
    </w:div>
    <w:div w:id="2014019542">
      <w:bodyDiv w:val="1"/>
      <w:marLeft w:val="0"/>
      <w:marRight w:val="0"/>
      <w:marTop w:val="0"/>
      <w:marBottom w:val="0"/>
      <w:divBdr>
        <w:top w:val="none" w:sz="0" w:space="0" w:color="auto"/>
        <w:left w:val="none" w:sz="0" w:space="0" w:color="auto"/>
        <w:bottom w:val="none" w:sz="0" w:space="0" w:color="auto"/>
        <w:right w:val="none" w:sz="0" w:space="0" w:color="auto"/>
      </w:divBdr>
    </w:div>
    <w:div w:id="2014985525">
      <w:bodyDiv w:val="1"/>
      <w:marLeft w:val="0"/>
      <w:marRight w:val="0"/>
      <w:marTop w:val="0"/>
      <w:marBottom w:val="0"/>
      <w:divBdr>
        <w:top w:val="none" w:sz="0" w:space="0" w:color="auto"/>
        <w:left w:val="none" w:sz="0" w:space="0" w:color="auto"/>
        <w:bottom w:val="none" w:sz="0" w:space="0" w:color="auto"/>
        <w:right w:val="none" w:sz="0" w:space="0" w:color="auto"/>
      </w:divBdr>
    </w:div>
    <w:div w:id="2033723441">
      <w:bodyDiv w:val="1"/>
      <w:marLeft w:val="0"/>
      <w:marRight w:val="0"/>
      <w:marTop w:val="0"/>
      <w:marBottom w:val="0"/>
      <w:divBdr>
        <w:top w:val="none" w:sz="0" w:space="0" w:color="auto"/>
        <w:left w:val="none" w:sz="0" w:space="0" w:color="auto"/>
        <w:bottom w:val="none" w:sz="0" w:space="0" w:color="auto"/>
        <w:right w:val="none" w:sz="0" w:space="0" w:color="auto"/>
      </w:divBdr>
      <w:divsChild>
        <w:div w:id="155733920">
          <w:marLeft w:val="0"/>
          <w:marRight w:val="0"/>
          <w:marTop w:val="0"/>
          <w:marBottom w:val="0"/>
          <w:divBdr>
            <w:top w:val="none" w:sz="0" w:space="0" w:color="auto"/>
            <w:left w:val="none" w:sz="0" w:space="0" w:color="auto"/>
            <w:bottom w:val="none" w:sz="0" w:space="0" w:color="auto"/>
            <w:right w:val="none" w:sz="0" w:space="0" w:color="auto"/>
          </w:divBdr>
        </w:div>
        <w:div w:id="240137137">
          <w:marLeft w:val="0"/>
          <w:marRight w:val="0"/>
          <w:marTop w:val="0"/>
          <w:marBottom w:val="0"/>
          <w:divBdr>
            <w:top w:val="none" w:sz="0" w:space="0" w:color="auto"/>
            <w:left w:val="none" w:sz="0" w:space="0" w:color="auto"/>
            <w:bottom w:val="none" w:sz="0" w:space="0" w:color="auto"/>
            <w:right w:val="none" w:sz="0" w:space="0" w:color="auto"/>
          </w:divBdr>
        </w:div>
        <w:div w:id="428241487">
          <w:marLeft w:val="0"/>
          <w:marRight w:val="0"/>
          <w:marTop w:val="0"/>
          <w:marBottom w:val="0"/>
          <w:divBdr>
            <w:top w:val="none" w:sz="0" w:space="0" w:color="auto"/>
            <w:left w:val="none" w:sz="0" w:space="0" w:color="auto"/>
            <w:bottom w:val="none" w:sz="0" w:space="0" w:color="auto"/>
            <w:right w:val="none" w:sz="0" w:space="0" w:color="auto"/>
          </w:divBdr>
        </w:div>
        <w:div w:id="835807387">
          <w:marLeft w:val="0"/>
          <w:marRight w:val="0"/>
          <w:marTop w:val="0"/>
          <w:marBottom w:val="0"/>
          <w:divBdr>
            <w:top w:val="none" w:sz="0" w:space="0" w:color="auto"/>
            <w:left w:val="none" w:sz="0" w:space="0" w:color="auto"/>
            <w:bottom w:val="none" w:sz="0" w:space="0" w:color="auto"/>
            <w:right w:val="none" w:sz="0" w:space="0" w:color="auto"/>
          </w:divBdr>
        </w:div>
        <w:div w:id="876042093">
          <w:marLeft w:val="0"/>
          <w:marRight w:val="0"/>
          <w:marTop w:val="0"/>
          <w:marBottom w:val="0"/>
          <w:divBdr>
            <w:top w:val="none" w:sz="0" w:space="0" w:color="auto"/>
            <w:left w:val="none" w:sz="0" w:space="0" w:color="auto"/>
            <w:bottom w:val="none" w:sz="0" w:space="0" w:color="auto"/>
            <w:right w:val="none" w:sz="0" w:space="0" w:color="auto"/>
          </w:divBdr>
        </w:div>
        <w:div w:id="1009521409">
          <w:marLeft w:val="0"/>
          <w:marRight w:val="0"/>
          <w:marTop w:val="0"/>
          <w:marBottom w:val="0"/>
          <w:divBdr>
            <w:top w:val="none" w:sz="0" w:space="0" w:color="auto"/>
            <w:left w:val="none" w:sz="0" w:space="0" w:color="auto"/>
            <w:bottom w:val="none" w:sz="0" w:space="0" w:color="auto"/>
            <w:right w:val="none" w:sz="0" w:space="0" w:color="auto"/>
          </w:divBdr>
        </w:div>
        <w:div w:id="1202521541">
          <w:marLeft w:val="0"/>
          <w:marRight w:val="0"/>
          <w:marTop w:val="0"/>
          <w:marBottom w:val="0"/>
          <w:divBdr>
            <w:top w:val="none" w:sz="0" w:space="0" w:color="auto"/>
            <w:left w:val="none" w:sz="0" w:space="0" w:color="auto"/>
            <w:bottom w:val="none" w:sz="0" w:space="0" w:color="auto"/>
            <w:right w:val="none" w:sz="0" w:space="0" w:color="auto"/>
          </w:divBdr>
        </w:div>
        <w:div w:id="1220479726">
          <w:marLeft w:val="0"/>
          <w:marRight w:val="0"/>
          <w:marTop w:val="0"/>
          <w:marBottom w:val="0"/>
          <w:divBdr>
            <w:top w:val="none" w:sz="0" w:space="0" w:color="auto"/>
            <w:left w:val="none" w:sz="0" w:space="0" w:color="auto"/>
            <w:bottom w:val="none" w:sz="0" w:space="0" w:color="auto"/>
            <w:right w:val="none" w:sz="0" w:space="0" w:color="auto"/>
          </w:divBdr>
        </w:div>
        <w:div w:id="1231885777">
          <w:marLeft w:val="0"/>
          <w:marRight w:val="0"/>
          <w:marTop w:val="0"/>
          <w:marBottom w:val="0"/>
          <w:divBdr>
            <w:top w:val="none" w:sz="0" w:space="0" w:color="auto"/>
            <w:left w:val="none" w:sz="0" w:space="0" w:color="auto"/>
            <w:bottom w:val="none" w:sz="0" w:space="0" w:color="auto"/>
            <w:right w:val="none" w:sz="0" w:space="0" w:color="auto"/>
          </w:divBdr>
        </w:div>
        <w:div w:id="1245451808">
          <w:marLeft w:val="0"/>
          <w:marRight w:val="0"/>
          <w:marTop w:val="0"/>
          <w:marBottom w:val="0"/>
          <w:divBdr>
            <w:top w:val="none" w:sz="0" w:space="0" w:color="auto"/>
            <w:left w:val="none" w:sz="0" w:space="0" w:color="auto"/>
            <w:bottom w:val="none" w:sz="0" w:space="0" w:color="auto"/>
            <w:right w:val="none" w:sz="0" w:space="0" w:color="auto"/>
          </w:divBdr>
        </w:div>
        <w:div w:id="1405297784">
          <w:marLeft w:val="0"/>
          <w:marRight w:val="0"/>
          <w:marTop w:val="0"/>
          <w:marBottom w:val="0"/>
          <w:divBdr>
            <w:top w:val="none" w:sz="0" w:space="0" w:color="auto"/>
            <w:left w:val="none" w:sz="0" w:space="0" w:color="auto"/>
            <w:bottom w:val="none" w:sz="0" w:space="0" w:color="auto"/>
            <w:right w:val="none" w:sz="0" w:space="0" w:color="auto"/>
          </w:divBdr>
        </w:div>
        <w:div w:id="1669207162">
          <w:marLeft w:val="0"/>
          <w:marRight w:val="0"/>
          <w:marTop w:val="0"/>
          <w:marBottom w:val="0"/>
          <w:divBdr>
            <w:top w:val="none" w:sz="0" w:space="0" w:color="auto"/>
            <w:left w:val="none" w:sz="0" w:space="0" w:color="auto"/>
            <w:bottom w:val="none" w:sz="0" w:space="0" w:color="auto"/>
            <w:right w:val="none" w:sz="0" w:space="0" w:color="auto"/>
          </w:divBdr>
        </w:div>
        <w:div w:id="1826697935">
          <w:marLeft w:val="0"/>
          <w:marRight w:val="0"/>
          <w:marTop w:val="0"/>
          <w:marBottom w:val="0"/>
          <w:divBdr>
            <w:top w:val="none" w:sz="0" w:space="0" w:color="auto"/>
            <w:left w:val="none" w:sz="0" w:space="0" w:color="auto"/>
            <w:bottom w:val="none" w:sz="0" w:space="0" w:color="auto"/>
            <w:right w:val="none" w:sz="0" w:space="0" w:color="auto"/>
          </w:divBdr>
        </w:div>
      </w:divsChild>
    </w:div>
    <w:div w:id="2033920210">
      <w:bodyDiv w:val="1"/>
      <w:marLeft w:val="0"/>
      <w:marRight w:val="0"/>
      <w:marTop w:val="0"/>
      <w:marBottom w:val="0"/>
      <w:divBdr>
        <w:top w:val="none" w:sz="0" w:space="0" w:color="auto"/>
        <w:left w:val="none" w:sz="0" w:space="0" w:color="auto"/>
        <w:bottom w:val="none" w:sz="0" w:space="0" w:color="auto"/>
        <w:right w:val="none" w:sz="0" w:space="0" w:color="auto"/>
      </w:divBdr>
    </w:div>
    <w:div w:id="2041466593">
      <w:bodyDiv w:val="1"/>
      <w:marLeft w:val="0"/>
      <w:marRight w:val="0"/>
      <w:marTop w:val="0"/>
      <w:marBottom w:val="0"/>
      <w:divBdr>
        <w:top w:val="none" w:sz="0" w:space="0" w:color="auto"/>
        <w:left w:val="none" w:sz="0" w:space="0" w:color="auto"/>
        <w:bottom w:val="none" w:sz="0" w:space="0" w:color="auto"/>
        <w:right w:val="none" w:sz="0" w:space="0" w:color="auto"/>
      </w:divBdr>
    </w:div>
    <w:div w:id="2041709598">
      <w:bodyDiv w:val="1"/>
      <w:marLeft w:val="0"/>
      <w:marRight w:val="0"/>
      <w:marTop w:val="0"/>
      <w:marBottom w:val="0"/>
      <w:divBdr>
        <w:top w:val="none" w:sz="0" w:space="0" w:color="auto"/>
        <w:left w:val="none" w:sz="0" w:space="0" w:color="auto"/>
        <w:bottom w:val="none" w:sz="0" w:space="0" w:color="auto"/>
        <w:right w:val="none" w:sz="0" w:space="0" w:color="auto"/>
      </w:divBdr>
    </w:div>
    <w:div w:id="2067139398">
      <w:bodyDiv w:val="1"/>
      <w:marLeft w:val="0"/>
      <w:marRight w:val="0"/>
      <w:marTop w:val="0"/>
      <w:marBottom w:val="0"/>
      <w:divBdr>
        <w:top w:val="none" w:sz="0" w:space="0" w:color="auto"/>
        <w:left w:val="none" w:sz="0" w:space="0" w:color="auto"/>
        <w:bottom w:val="none" w:sz="0" w:space="0" w:color="auto"/>
        <w:right w:val="none" w:sz="0" w:space="0" w:color="auto"/>
      </w:divBdr>
    </w:div>
    <w:div w:id="2075085655">
      <w:bodyDiv w:val="1"/>
      <w:marLeft w:val="0"/>
      <w:marRight w:val="0"/>
      <w:marTop w:val="0"/>
      <w:marBottom w:val="0"/>
      <w:divBdr>
        <w:top w:val="none" w:sz="0" w:space="0" w:color="auto"/>
        <w:left w:val="none" w:sz="0" w:space="0" w:color="auto"/>
        <w:bottom w:val="none" w:sz="0" w:space="0" w:color="auto"/>
        <w:right w:val="none" w:sz="0" w:space="0" w:color="auto"/>
      </w:divBdr>
    </w:div>
    <w:div w:id="2083015839">
      <w:bodyDiv w:val="1"/>
      <w:marLeft w:val="0"/>
      <w:marRight w:val="0"/>
      <w:marTop w:val="0"/>
      <w:marBottom w:val="0"/>
      <w:divBdr>
        <w:top w:val="none" w:sz="0" w:space="0" w:color="auto"/>
        <w:left w:val="none" w:sz="0" w:space="0" w:color="auto"/>
        <w:bottom w:val="none" w:sz="0" w:space="0" w:color="auto"/>
        <w:right w:val="none" w:sz="0" w:space="0" w:color="auto"/>
      </w:divBdr>
      <w:divsChild>
        <w:div w:id="1898468925">
          <w:marLeft w:val="922"/>
          <w:marRight w:val="0"/>
          <w:marTop w:val="0"/>
          <w:marBottom w:val="120"/>
          <w:divBdr>
            <w:top w:val="none" w:sz="0" w:space="0" w:color="auto"/>
            <w:left w:val="none" w:sz="0" w:space="0" w:color="auto"/>
            <w:bottom w:val="none" w:sz="0" w:space="0" w:color="auto"/>
            <w:right w:val="none" w:sz="0" w:space="0" w:color="auto"/>
          </w:divBdr>
        </w:div>
      </w:divsChild>
    </w:div>
    <w:div w:id="2084792281">
      <w:bodyDiv w:val="1"/>
      <w:marLeft w:val="0"/>
      <w:marRight w:val="0"/>
      <w:marTop w:val="0"/>
      <w:marBottom w:val="0"/>
      <w:divBdr>
        <w:top w:val="none" w:sz="0" w:space="0" w:color="auto"/>
        <w:left w:val="none" w:sz="0" w:space="0" w:color="auto"/>
        <w:bottom w:val="none" w:sz="0" w:space="0" w:color="auto"/>
        <w:right w:val="none" w:sz="0" w:space="0" w:color="auto"/>
      </w:divBdr>
    </w:div>
    <w:div w:id="2088729195">
      <w:bodyDiv w:val="1"/>
      <w:marLeft w:val="0"/>
      <w:marRight w:val="0"/>
      <w:marTop w:val="0"/>
      <w:marBottom w:val="0"/>
      <w:divBdr>
        <w:top w:val="none" w:sz="0" w:space="0" w:color="auto"/>
        <w:left w:val="none" w:sz="0" w:space="0" w:color="auto"/>
        <w:bottom w:val="none" w:sz="0" w:space="0" w:color="auto"/>
        <w:right w:val="none" w:sz="0" w:space="0" w:color="auto"/>
      </w:divBdr>
    </w:div>
    <w:div w:id="2093699603">
      <w:bodyDiv w:val="1"/>
      <w:marLeft w:val="0"/>
      <w:marRight w:val="0"/>
      <w:marTop w:val="0"/>
      <w:marBottom w:val="0"/>
      <w:divBdr>
        <w:top w:val="none" w:sz="0" w:space="0" w:color="auto"/>
        <w:left w:val="none" w:sz="0" w:space="0" w:color="auto"/>
        <w:bottom w:val="none" w:sz="0" w:space="0" w:color="auto"/>
        <w:right w:val="none" w:sz="0" w:space="0" w:color="auto"/>
      </w:divBdr>
    </w:div>
    <w:div w:id="2116290061">
      <w:bodyDiv w:val="1"/>
      <w:marLeft w:val="0"/>
      <w:marRight w:val="0"/>
      <w:marTop w:val="0"/>
      <w:marBottom w:val="0"/>
      <w:divBdr>
        <w:top w:val="none" w:sz="0" w:space="0" w:color="auto"/>
        <w:left w:val="none" w:sz="0" w:space="0" w:color="auto"/>
        <w:bottom w:val="none" w:sz="0" w:space="0" w:color="auto"/>
        <w:right w:val="none" w:sz="0" w:space="0" w:color="auto"/>
      </w:divBdr>
    </w:div>
    <w:div w:id="2129468200">
      <w:bodyDiv w:val="1"/>
      <w:marLeft w:val="0"/>
      <w:marRight w:val="0"/>
      <w:marTop w:val="0"/>
      <w:marBottom w:val="0"/>
      <w:divBdr>
        <w:top w:val="none" w:sz="0" w:space="0" w:color="auto"/>
        <w:left w:val="none" w:sz="0" w:space="0" w:color="auto"/>
        <w:bottom w:val="none" w:sz="0" w:space="0" w:color="auto"/>
        <w:right w:val="none" w:sz="0" w:space="0" w:color="auto"/>
      </w:divBdr>
    </w:div>
    <w:div w:id="2143837446">
      <w:bodyDiv w:val="1"/>
      <w:marLeft w:val="0"/>
      <w:marRight w:val="0"/>
      <w:marTop w:val="0"/>
      <w:marBottom w:val="0"/>
      <w:divBdr>
        <w:top w:val="none" w:sz="0" w:space="0" w:color="auto"/>
        <w:left w:val="none" w:sz="0" w:space="0" w:color="auto"/>
        <w:bottom w:val="none" w:sz="0" w:space="0" w:color="auto"/>
        <w:right w:val="none" w:sz="0" w:space="0" w:color="auto"/>
      </w:divBdr>
      <w:divsChild>
        <w:div w:id="945967710">
          <w:marLeft w:val="0"/>
          <w:marRight w:val="0"/>
          <w:marTop w:val="0"/>
          <w:marBottom w:val="0"/>
          <w:divBdr>
            <w:top w:val="none" w:sz="0" w:space="0" w:color="auto"/>
            <w:left w:val="none" w:sz="0" w:space="0" w:color="auto"/>
            <w:bottom w:val="none" w:sz="0" w:space="0" w:color="auto"/>
            <w:right w:val="none" w:sz="0" w:space="0" w:color="auto"/>
          </w:divBdr>
        </w:div>
        <w:div w:id="1105734250">
          <w:marLeft w:val="0"/>
          <w:marRight w:val="0"/>
          <w:marTop w:val="0"/>
          <w:marBottom w:val="0"/>
          <w:divBdr>
            <w:top w:val="none" w:sz="0" w:space="0" w:color="auto"/>
            <w:left w:val="none" w:sz="0" w:space="0" w:color="auto"/>
            <w:bottom w:val="none" w:sz="0" w:space="0" w:color="auto"/>
            <w:right w:val="none" w:sz="0" w:space="0" w:color="auto"/>
          </w:divBdr>
        </w:div>
        <w:div w:id="1964723300">
          <w:marLeft w:val="0"/>
          <w:marRight w:val="0"/>
          <w:marTop w:val="0"/>
          <w:marBottom w:val="0"/>
          <w:divBdr>
            <w:top w:val="none" w:sz="0" w:space="0" w:color="auto"/>
            <w:left w:val="none" w:sz="0" w:space="0" w:color="auto"/>
            <w:bottom w:val="none" w:sz="0" w:space="0" w:color="auto"/>
            <w:right w:val="none" w:sz="0" w:space="0" w:color="auto"/>
          </w:divBdr>
        </w:div>
      </w:divsChild>
    </w:div>
    <w:div w:id="2145345024">
      <w:bodyDiv w:val="1"/>
      <w:marLeft w:val="0"/>
      <w:marRight w:val="0"/>
      <w:marTop w:val="0"/>
      <w:marBottom w:val="0"/>
      <w:divBdr>
        <w:top w:val="none" w:sz="0" w:space="0" w:color="auto"/>
        <w:left w:val="none" w:sz="0" w:space="0" w:color="auto"/>
        <w:bottom w:val="none" w:sz="0" w:space="0" w:color="auto"/>
        <w:right w:val="none" w:sz="0" w:space="0" w:color="auto"/>
      </w:divBdr>
      <w:divsChild>
        <w:div w:id="1048533565">
          <w:marLeft w:val="965"/>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diagramData" Target="diagrams/data1.xml"/><Relationship Id="rId55" Type="http://schemas.openxmlformats.org/officeDocument/2006/relationships/diagramData" Target="diagrams/data2.xml"/><Relationship Id="rId63" Type="http://schemas.openxmlformats.org/officeDocument/2006/relationships/diagramColors" Target="diagrams/colors3.xml"/><Relationship Id="rId68" Type="http://schemas.openxmlformats.org/officeDocument/2006/relationships/footer" Target="footer4.xml"/><Relationship Id="rId76" Type="http://schemas.openxmlformats.org/officeDocument/2006/relationships/image" Target="media/image4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diagramColors" Target="diagrams/colors1.xml"/><Relationship Id="rId58" Type="http://schemas.openxmlformats.org/officeDocument/2006/relationships/diagramColors" Target="diagrams/colors2.xml"/><Relationship Id="rId66" Type="http://schemas.openxmlformats.org/officeDocument/2006/relationships/footer" Target="footer3.xml"/><Relationship Id="rId74" Type="http://schemas.openxmlformats.org/officeDocument/2006/relationships/image" Target="media/image46.png"/><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diagramLayout" Target="diagrams/layout3.xml"/><Relationship Id="rId82" Type="http://schemas.openxmlformats.org/officeDocument/2006/relationships/hyperlink" Target="http://www.territorialcooperation.eu/keep/"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diagramLayout" Target="diagrams/layout2.xml"/><Relationship Id="rId64" Type="http://schemas.microsoft.com/office/2007/relationships/diagramDrawing" Target="diagrams/drawing3.xml"/><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diagramLayout" Target="diagrams/layout1.xml"/><Relationship Id="rId72" Type="http://schemas.openxmlformats.org/officeDocument/2006/relationships/image" Target="media/image44.png"/><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microsoft.com/office/2007/relationships/diagramDrawing" Target="diagrams/drawing2.xml"/><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54" Type="http://schemas.microsoft.com/office/2007/relationships/diagramDrawing" Target="diagrams/drawing1.xml"/><Relationship Id="rId62" Type="http://schemas.openxmlformats.org/officeDocument/2006/relationships/diagramQuickStyle" Target="diagrams/quickStyle3.xml"/><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interreg.gr/" TargetMode="External"/><Relationship Id="rId57" Type="http://schemas.openxmlformats.org/officeDocument/2006/relationships/diagramQuickStyle" Target="diagrams/quickStyle2.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diagramQuickStyle" Target="diagrams/quickStyle1.xml"/><Relationship Id="rId60" Type="http://schemas.openxmlformats.org/officeDocument/2006/relationships/diagramData" Target="diagrams/data3.xml"/><Relationship Id="rId65" Type="http://schemas.openxmlformats.org/officeDocument/2006/relationships/header" Target="header1.xml"/><Relationship Id="rId73" Type="http://schemas.openxmlformats.org/officeDocument/2006/relationships/image" Target="media/image45.png"/><Relationship Id="rId78" Type="http://schemas.openxmlformats.org/officeDocument/2006/relationships/header" Target="header3.xml"/><Relationship Id="rId81"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www.blacksea-commission.org/_convention.asp" TargetMode="External"/><Relationship Id="rId1" Type="http://schemas.openxmlformats.org/officeDocument/2006/relationships/hyperlink" Target="http://eeas.europa.eu/eastern/index_en.htm"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4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40.jpe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0B6A35-6D72-A248-810B-7F87BB89C855}" type="doc">
      <dgm:prSet loTypeId="urn:microsoft.com/office/officeart/2005/8/layout/hierarchy6" loCatId="" qsTypeId="urn:microsoft.com/office/officeart/2005/8/quickstyle/simple3" qsCatId="simple" csTypeId="urn:microsoft.com/office/officeart/2005/8/colors/accent4_2" csCatId="accent4" phldr="1"/>
      <dgm:spPr/>
    </dgm:pt>
    <dgm:pt modelId="{794E57AE-0EFB-9B45-BE13-787BAC2774B7}">
      <dgm:prSet phldrT="[Texte]" custT="1"/>
      <dgm:spPr>
        <a:xfrm>
          <a:off x="1852147" y="221735"/>
          <a:ext cx="3987463" cy="3143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sz="1200" b="1" dirty="0" smtClean="0">
              <a:solidFill>
                <a:srgbClr val="000000"/>
              </a:solidFill>
              <a:latin typeface="Calisto MT"/>
              <a:ea typeface="+mn-ea"/>
              <a:cs typeface="+mn-cs"/>
            </a:rPr>
            <a:t>10 thematic objectives (TO)</a:t>
          </a:r>
          <a:endParaRPr lang="en-GB" sz="1200" b="1" dirty="0">
            <a:solidFill>
              <a:srgbClr val="000000"/>
            </a:solidFill>
            <a:latin typeface="Calisto MT"/>
            <a:ea typeface="+mn-ea"/>
            <a:cs typeface="+mn-cs"/>
          </a:endParaRPr>
        </a:p>
      </dgm:t>
    </dgm:pt>
    <dgm:pt modelId="{59C4BD04-14FB-004D-A726-16C25EC905A2}" type="parTrans" cxnId="{878D5087-5111-9C43-91A6-2890569CB5F9}">
      <dgm:prSet/>
      <dgm:spPr/>
      <dgm:t>
        <a:bodyPr/>
        <a:lstStyle/>
        <a:p>
          <a:endParaRPr lang="en-GB"/>
        </a:p>
      </dgm:t>
    </dgm:pt>
    <dgm:pt modelId="{25CDEEBE-46C8-EC40-8413-A6611765D544}" type="sibTrans" cxnId="{878D5087-5111-9C43-91A6-2890569CB5F9}">
      <dgm:prSet/>
      <dgm:spPr/>
      <dgm:t>
        <a:bodyPr/>
        <a:lstStyle/>
        <a:p>
          <a:endParaRPr lang="en-GB"/>
        </a:p>
      </dgm:t>
    </dgm:pt>
    <dgm:pt modelId="{CF104854-1FD0-944C-B61B-5281710A687D}">
      <dgm:prSet phldrT="[Texte]" custT="1"/>
      <dgm:spPr>
        <a:xfrm>
          <a:off x="0" y="1667867"/>
          <a:ext cx="5972810" cy="737951"/>
        </a:xfrm>
        <a:solidFill>
          <a:srgbClr val="C1AD79">
            <a:tint val="40000"/>
            <a:hueOff val="0"/>
            <a:satOff val="0"/>
            <a:lumOff val="0"/>
            <a:alphaOff val="0"/>
          </a:srgbClr>
        </a:solidFill>
        <a:ln>
          <a:noFill/>
        </a:ln>
        <a:effectLst/>
      </dgm:spPr>
      <dgm:t>
        <a:bodyPr/>
        <a:lstStyle/>
        <a:p>
          <a:r>
            <a:rPr lang="en-GB" sz="1200" b="1" dirty="0" smtClean="0">
              <a:solidFill>
                <a:srgbClr val="000000">
                  <a:hueOff val="0"/>
                  <a:satOff val="0"/>
                  <a:lumOff val="0"/>
                  <a:alphaOff val="0"/>
                </a:srgbClr>
              </a:solidFill>
              <a:latin typeface="Calisto MT"/>
              <a:ea typeface="+mn-ea"/>
              <a:cs typeface="+mn-cs"/>
            </a:rPr>
            <a:t>Outcome of consultations</a:t>
          </a:r>
          <a:endParaRPr lang="en-GB" sz="1200" b="1" dirty="0">
            <a:solidFill>
              <a:srgbClr val="000000">
                <a:hueOff val="0"/>
                <a:satOff val="0"/>
                <a:lumOff val="0"/>
                <a:alphaOff val="0"/>
              </a:srgbClr>
            </a:solidFill>
            <a:latin typeface="Calisto MT"/>
            <a:ea typeface="+mn-ea"/>
            <a:cs typeface="+mn-cs"/>
          </a:endParaRPr>
        </a:p>
      </dgm:t>
    </dgm:pt>
    <dgm:pt modelId="{4133E703-3EA4-5D43-B47F-C7BA9BD89523}" type="parTrans" cxnId="{C12AED9A-A577-5C4D-856A-6948EED19EA7}">
      <dgm:prSet/>
      <dgm:spPr/>
      <dgm:t>
        <a:bodyPr/>
        <a:lstStyle/>
        <a:p>
          <a:endParaRPr lang="en-GB"/>
        </a:p>
      </dgm:t>
    </dgm:pt>
    <dgm:pt modelId="{4A6A43BF-44A5-CA43-B115-D222C58A0AFA}" type="sibTrans" cxnId="{C12AED9A-A577-5C4D-856A-6948EED19EA7}">
      <dgm:prSet/>
      <dgm:spPr/>
      <dgm:t>
        <a:bodyPr/>
        <a:lstStyle/>
        <a:p>
          <a:endParaRPr lang="en-GB"/>
        </a:p>
      </dgm:t>
    </dgm:pt>
    <dgm:pt modelId="{28AF0E3E-381F-2A45-AEC4-FE989A06A7CF}">
      <dgm:prSet phldrT="[Texte]" custT="1"/>
      <dgm:spPr>
        <a:xfrm>
          <a:off x="0" y="2459383"/>
          <a:ext cx="5972810" cy="737948"/>
        </a:xfrm>
        <a:solidFill>
          <a:srgbClr val="C1AD79">
            <a:tint val="40000"/>
            <a:hueOff val="0"/>
            <a:satOff val="0"/>
            <a:lumOff val="0"/>
            <a:alphaOff val="0"/>
          </a:srgbClr>
        </a:solidFill>
        <a:ln>
          <a:noFill/>
        </a:ln>
        <a:effectLst/>
      </dgm:spPr>
      <dgm:t>
        <a:bodyPr/>
        <a:lstStyle/>
        <a:p>
          <a:r>
            <a:rPr lang="en-GB" sz="1200" b="1" dirty="0" smtClean="0">
              <a:solidFill>
                <a:srgbClr val="000000">
                  <a:hueOff val="0"/>
                  <a:satOff val="0"/>
                  <a:lumOff val="0"/>
                  <a:alphaOff val="0"/>
                </a:srgbClr>
              </a:solidFill>
              <a:latin typeface="Calisto MT"/>
              <a:ea typeface="+mn-ea"/>
              <a:cs typeface="+mn-cs"/>
            </a:rPr>
            <a:t>Outcome of coherence analysis with other EU programmes</a:t>
          </a:r>
          <a:endParaRPr lang="en-GB" sz="1200" b="1" dirty="0">
            <a:solidFill>
              <a:srgbClr val="000000">
                <a:hueOff val="0"/>
                <a:satOff val="0"/>
                <a:lumOff val="0"/>
                <a:alphaOff val="0"/>
              </a:srgbClr>
            </a:solidFill>
            <a:latin typeface="Calisto MT"/>
            <a:ea typeface="+mn-ea"/>
            <a:cs typeface="+mn-cs"/>
          </a:endParaRPr>
        </a:p>
      </dgm:t>
    </dgm:pt>
    <dgm:pt modelId="{5072DC63-273D-3E4A-ADD4-C365070F72F4}" type="parTrans" cxnId="{2CBB5679-7AAE-694E-BED0-9F9F4A93A786}">
      <dgm:prSet/>
      <dgm:spPr/>
      <dgm:t>
        <a:bodyPr/>
        <a:lstStyle/>
        <a:p>
          <a:endParaRPr lang="en-GB"/>
        </a:p>
      </dgm:t>
    </dgm:pt>
    <dgm:pt modelId="{2B4C9F49-8525-E044-96FE-DDDBD3148473}" type="sibTrans" cxnId="{2CBB5679-7AAE-694E-BED0-9F9F4A93A786}">
      <dgm:prSet/>
      <dgm:spPr/>
      <dgm:t>
        <a:bodyPr/>
        <a:lstStyle/>
        <a:p>
          <a:endParaRPr lang="en-GB"/>
        </a:p>
      </dgm:t>
    </dgm:pt>
    <dgm:pt modelId="{63AAC6C1-E571-684E-95DE-98C023CD0707}">
      <dgm:prSet phldrT="[Texte]" custT="1"/>
      <dgm:spPr>
        <a:xfrm>
          <a:off x="0" y="834071"/>
          <a:ext cx="5972810" cy="780230"/>
        </a:xfrm>
        <a:solidFill>
          <a:srgbClr val="C1AD79">
            <a:tint val="40000"/>
            <a:hueOff val="0"/>
            <a:satOff val="0"/>
            <a:lumOff val="0"/>
            <a:alphaOff val="0"/>
          </a:srgbClr>
        </a:solidFill>
        <a:ln>
          <a:noFill/>
        </a:ln>
        <a:effectLst/>
      </dgm:spPr>
      <dgm:t>
        <a:bodyPr/>
        <a:lstStyle/>
        <a:p>
          <a:r>
            <a:rPr lang="en-GB" sz="1200" b="1" dirty="0" smtClean="0">
              <a:solidFill>
                <a:srgbClr val="000000">
                  <a:hueOff val="0"/>
                  <a:satOff val="0"/>
                  <a:lumOff val="0"/>
                  <a:alphaOff val="0"/>
                </a:srgbClr>
              </a:solidFill>
              <a:latin typeface="Calisto MT"/>
              <a:ea typeface="+mn-ea"/>
              <a:cs typeface="+mn-cs"/>
            </a:rPr>
            <a:t>Outcome of SWOT + past experience analyses</a:t>
          </a:r>
          <a:endParaRPr lang="en-GB" sz="1200" b="1" dirty="0">
            <a:solidFill>
              <a:srgbClr val="000000">
                <a:hueOff val="0"/>
                <a:satOff val="0"/>
                <a:lumOff val="0"/>
                <a:alphaOff val="0"/>
              </a:srgbClr>
            </a:solidFill>
            <a:latin typeface="Calisto MT"/>
            <a:ea typeface="+mn-ea"/>
            <a:cs typeface="+mn-cs"/>
          </a:endParaRPr>
        </a:p>
      </dgm:t>
    </dgm:pt>
    <dgm:pt modelId="{D8DBD89C-D012-BE40-A8D6-56834B033BF5}" type="parTrans" cxnId="{E75B4CE0-7C9E-2747-850D-04287052E347}">
      <dgm:prSet/>
      <dgm:spPr/>
      <dgm:t>
        <a:bodyPr/>
        <a:lstStyle/>
        <a:p>
          <a:endParaRPr lang="en-GB"/>
        </a:p>
      </dgm:t>
    </dgm:pt>
    <dgm:pt modelId="{C144CC3A-61F7-7D4A-8A36-65544824BEB9}" type="sibTrans" cxnId="{E75B4CE0-7C9E-2747-850D-04287052E347}">
      <dgm:prSet/>
      <dgm:spPr/>
      <dgm:t>
        <a:bodyPr/>
        <a:lstStyle/>
        <a:p>
          <a:endParaRPr lang="en-GB"/>
        </a:p>
      </dgm:t>
    </dgm:pt>
    <dgm:pt modelId="{6A23C257-3DBA-8E4D-B0BF-E7E3E7E9336E}">
      <dgm:prSet phldrT="[Texte]" custT="1"/>
      <dgm:spPr>
        <a:xfrm>
          <a:off x="0" y="0"/>
          <a:ext cx="5972810" cy="779206"/>
        </a:xfrm>
        <a:solidFill>
          <a:srgbClr val="C1AD79">
            <a:tint val="40000"/>
            <a:hueOff val="0"/>
            <a:satOff val="0"/>
            <a:lumOff val="0"/>
            <a:alphaOff val="0"/>
          </a:srgbClr>
        </a:solidFill>
        <a:ln>
          <a:noFill/>
        </a:ln>
        <a:effectLst/>
      </dgm:spPr>
      <dgm:t>
        <a:bodyPr/>
        <a:lstStyle/>
        <a:p>
          <a:r>
            <a:rPr lang="en-GB" sz="1200" b="1" dirty="0" smtClean="0">
              <a:solidFill>
                <a:srgbClr val="000000">
                  <a:hueOff val="0"/>
                  <a:satOff val="0"/>
                  <a:lumOff val="0"/>
                  <a:alphaOff val="0"/>
                </a:srgbClr>
              </a:solidFill>
              <a:latin typeface="Calisto MT"/>
              <a:ea typeface="+mn-ea"/>
              <a:cs typeface="+mn-cs"/>
            </a:rPr>
            <a:t>ENI</a:t>
          </a:r>
          <a:r>
            <a:rPr lang="en-GB" sz="1200" dirty="0" smtClean="0">
              <a:solidFill>
                <a:srgbClr val="000000">
                  <a:hueOff val="0"/>
                  <a:satOff val="0"/>
                  <a:lumOff val="0"/>
                  <a:alphaOff val="0"/>
                </a:srgbClr>
              </a:solidFill>
              <a:latin typeface="Calisto MT"/>
              <a:ea typeface="+mn-ea"/>
              <a:cs typeface="+mn-cs"/>
            </a:rPr>
            <a:t> </a:t>
          </a:r>
          <a:r>
            <a:rPr lang="en-GB" sz="1200" b="1" dirty="0" smtClean="0">
              <a:solidFill>
                <a:srgbClr val="000000">
                  <a:hueOff val="0"/>
                  <a:satOff val="0"/>
                  <a:lumOff val="0"/>
                  <a:alphaOff val="0"/>
                </a:srgbClr>
              </a:solidFill>
              <a:latin typeface="Calisto MT"/>
              <a:ea typeface="+mn-ea"/>
              <a:cs typeface="+mn-cs"/>
            </a:rPr>
            <a:t>CBC</a:t>
          </a:r>
          <a:r>
            <a:rPr lang="en-GB" sz="1200" dirty="0" smtClean="0">
              <a:solidFill>
                <a:srgbClr val="000000">
                  <a:hueOff val="0"/>
                  <a:satOff val="0"/>
                  <a:lumOff val="0"/>
                  <a:alphaOff val="0"/>
                </a:srgbClr>
              </a:solidFill>
              <a:latin typeface="Calisto MT"/>
              <a:ea typeface="+mn-ea"/>
              <a:cs typeface="+mn-cs"/>
            </a:rPr>
            <a:t> </a:t>
          </a:r>
          <a:r>
            <a:rPr lang="en-GB" sz="1200" b="1" dirty="0" smtClean="0">
              <a:solidFill>
                <a:srgbClr val="000000">
                  <a:hueOff val="0"/>
                  <a:satOff val="0"/>
                  <a:lumOff val="0"/>
                  <a:alphaOff val="0"/>
                </a:srgbClr>
              </a:solidFill>
              <a:latin typeface="Calisto MT"/>
              <a:ea typeface="+mn-ea"/>
              <a:cs typeface="+mn-cs"/>
            </a:rPr>
            <a:t>strategy</a:t>
          </a:r>
          <a:endParaRPr lang="en-GB" sz="1200" b="1" dirty="0">
            <a:solidFill>
              <a:srgbClr val="000000">
                <a:hueOff val="0"/>
                <a:satOff val="0"/>
                <a:lumOff val="0"/>
                <a:alphaOff val="0"/>
              </a:srgbClr>
            </a:solidFill>
            <a:latin typeface="Calisto MT"/>
            <a:ea typeface="+mn-ea"/>
            <a:cs typeface="+mn-cs"/>
          </a:endParaRPr>
        </a:p>
      </dgm:t>
    </dgm:pt>
    <dgm:pt modelId="{0D5D20AA-3FCE-F243-BE00-A014747404B4}" type="parTrans" cxnId="{0820A9F3-CB0D-124A-8776-1D824F938320}">
      <dgm:prSet/>
      <dgm:spPr/>
      <dgm:t>
        <a:bodyPr/>
        <a:lstStyle/>
        <a:p>
          <a:endParaRPr lang="en-GB"/>
        </a:p>
      </dgm:t>
    </dgm:pt>
    <dgm:pt modelId="{C9C4D2EC-9C87-A74E-8AE7-3C642727691B}" type="sibTrans" cxnId="{0820A9F3-CB0D-124A-8776-1D824F938320}">
      <dgm:prSet/>
      <dgm:spPr/>
      <dgm:t>
        <a:bodyPr/>
        <a:lstStyle/>
        <a:p>
          <a:endParaRPr lang="en-GB"/>
        </a:p>
      </dgm:t>
    </dgm:pt>
    <dgm:pt modelId="{62C4499E-50D9-DC4D-90FF-D26D3BE63DA1}">
      <dgm:prSet phldrT="[Texte]"/>
      <dgm:spPr>
        <a:xfrm>
          <a:off x="2321589" y="1108459"/>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dirty="0" smtClean="0">
              <a:solidFill>
                <a:srgbClr val="000000"/>
              </a:solidFill>
              <a:latin typeface="Calisto MT"/>
              <a:ea typeface="+mn-ea"/>
              <a:cs typeface="+mn-cs"/>
            </a:rPr>
            <a:t>TO2</a:t>
          </a:r>
          <a:r>
            <a:rPr lang="en-GB" dirty="0" smtClean="0">
              <a:solidFill>
                <a:srgbClr val="000000"/>
              </a:solidFill>
              <a:latin typeface="Calisto MT"/>
              <a:ea typeface="+mn-ea"/>
              <a:cs typeface="+mn-cs"/>
            </a:rPr>
            <a:t> </a:t>
          </a:r>
          <a:endParaRPr lang="en-GB" dirty="0">
            <a:solidFill>
              <a:srgbClr val="000000"/>
            </a:solidFill>
            <a:latin typeface="Calisto MT"/>
            <a:ea typeface="+mn-ea"/>
            <a:cs typeface="+mn-cs"/>
          </a:endParaRPr>
        </a:p>
      </dgm:t>
    </dgm:pt>
    <dgm:pt modelId="{DF490825-C7A5-2B40-A557-46C0EC1C8C52}" type="parTrans" cxnId="{89D6AB6F-7B28-BD47-8D5F-0F4FD40FB630}">
      <dgm:prSet/>
      <dgm:spPr>
        <a:xfrm>
          <a:off x="2522457" y="536058"/>
          <a:ext cx="1323421" cy="572400"/>
        </a:xfrm>
        <a:noFill/>
        <a:ln w="31750" cap="flat" cmpd="sng" algn="ctr">
          <a:solidFill>
            <a:srgbClr val="C1AD79">
              <a:shade val="60000"/>
              <a:hueOff val="0"/>
              <a:satOff val="0"/>
              <a:lumOff val="0"/>
              <a:alphaOff val="0"/>
            </a:srgbClr>
          </a:solidFill>
          <a:prstDash val="solid"/>
        </a:ln>
        <a:effectLst/>
      </dgm:spPr>
      <dgm:t>
        <a:bodyPr/>
        <a:lstStyle/>
        <a:p>
          <a:endParaRPr lang="en-GB"/>
        </a:p>
      </dgm:t>
    </dgm:pt>
    <dgm:pt modelId="{6755B884-DD4E-5447-968E-B0A2C2E69C68}" type="sibTrans" cxnId="{89D6AB6F-7B28-BD47-8D5F-0F4FD40FB630}">
      <dgm:prSet/>
      <dgm:spPr/>
      <dgm:t>
        <a:bodyPr/>
        <a:lstStyle/>
        <a:p>
          <a:endParaRPr lang="en-GB"/>
        </a:p>
      </dgm:t>
    </dgm:pt>
    <dgm:pt modelId="{9EEABB3A-9DF3-7140-8EED-2052069C50D4}">
      <dgm:prSet phldrT="[Texte]"/>
      <dgm:spPr>
        <a:xfrm>
          <a:off x="2843191" y="1108459"/>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dirty="0" smtClean="0">
              <a:solidFill>
                <a:srgbClr val="000000"/>
              </a:solidFill>
              <a:latin typeface="Calisto MT"/>
              <a:ea typeface="+mn-ea"/>
              <a:cs typeface="+mn-cs"/>
            </a:rPr>
            <a:t>TO3</a:t>
          </a:r>
          <a:endParaRPr lang="en-GB" b="1" dirty="0">
            <a:solidFill>
              <a:srgbClr val="000000"/>
            </a:solidFill>
            <a:latin typeface="Calisto MT"/>
            <a:ea typeface="+mn-ea"/>
            <a:cs typeface="+mn-cs"/>
          </a:endParaRPr>
        </a:p>
      </dgm:t>
    </dgm:pt>
    <dgm:pt modelId="{4CD9C9A4-DD32-1B4A-A3E3-F6314ABD9D58}" type="parTrans" cxnId="{7DB2AAC3-47AA-8941-8D44-AA991674F5F0}">
      <dgm:prSet/>
      <dgm:spPr>
        <a:xfrm>
          <a:off x="3044058" y="536058"/>
          <a:ext cx="801820" cy="572400"/>
        </a:xfrm>
        <a:noFill/>
        <a:ln w="31750" cap="flat" cmpd="sng" algn="ctr">
          <a:solidFill>
            <a:srgbClr val="C1AD79">
              <a:shade val="60000"/>
              <a:hueOff val="0"/>
              <a:satOff val="0"/>
              <a:lumOff val="0"/>
              <a:alphaOff val="0"/>
            </a:srgbClr>
          </a:solidFill>
          <a:prstDash val="solid"/>
        </a:ln>
        <a:effectLst/>
      </dgm:spPr>
      <dgm:t>
        <a:bodyPr/>
        <a:lstStyle/>
        <a:p>
          <a:endParaRPr lang="en-GB"/>
        </a:p>
      </dgm:t>
    </dgm:pt>
    <dgm:pt modelId="{F9AB1582-1BF4-9B4D-A3D7-CAC5BDB34F30}" type="sibTrans" cxnId="{7DB2AAC3-47AA-8941-8D44-AA991674F5F0}">
      <dgm:prSet/>
      <dgm:spPr/>
      <dgm:t>
        <a:bodyPr/>
        <a:lstStyle/>
        <a:p>
          <a:endParaRPr lang="en-GB"/>
        </a:p>
      </dgm:t>
    </dgm:pt>
    <dgm:pt modelId="{546B15FE-F68C-9840-A23F-29CFE8426A8D}">
      <dgm:prSet phldrT="[Texte]"/>
      <dgm:spPr>
        <a:xfrm>
          <a:off x="3364796" y="1108459"/>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u="none" dirty="0" smtClean="0">
              <a:solidFill>
                <a:srgbClr val="000000"/>
              </a:solidFill>
              <a:latin typeface="Calisto MT"/>
              <a:ea typeface="+mn-ea"/>
              <a:cs typeface="+mn-cs"/>
            </a:rPr>
            <a:t>TO4</a:t>
          </a:r>
          <a:endParaRPr lang="en-GB" b="1" u="none" dirty="0">
            <a:solidFill>
              <a:srgbClr val="000000"/>
            </a:solidFill>
            <a:latin typeface="Calisto MT"/>
            <a:ea typeface="+mn-ea"/>
            <a:cs typeface="+mn-cs"/>
          </a:endParaRPr>
        </a:p>
      </dgm:t>
    </dgm:pt>
    <dgm:pt modelId="{0E83D78C-A27C-DD43-A65D-6D4F3D0D162D}" type="parTrans" cxnId="{C85C84C7-C237-0C49-9ADD-41590BA64DEA}">
      <dgm:prSet/>
      <dgm:spPr>
        <a:xfrm>
          <a:off x="3565664" y="536058"/>
          <a:ext cx="280214" cy="572400"/>
        </a:xfrm>
        <a:noFill/>
        <a:ln w="31750" cap="flat" cmpd="sng" algn="ctr">
          <a:solidFill>
            <a:srgbClr val="C1AD79">
              <a:shade val="60000"/>
              <a:hueOff val="0"/>
              <a:satOff val="0"/>
              <a:lumOff val="0"/>
              <a:alphaOff val="0"/>
            </a:srgbClr>
          </a:solidFill>
          <a:prstDash val="solid"/>
        </a:ln>
        <a:effectLst/>
      </dgm:spPr>
      <dgm:t>
        <a:bodyPr/>
        <a:lstStyle/>
        <a:p>
          <a:endParaRPr lang="en-GB"/>
        </a:p>
      </dgm:t>
    </dgm:pt>
    <dgm:pt modelId="{C56DC434-8F59-A748-8990-0E933CBFA8AE}" type="sibTrans" cxnId="{C85C84C7-C237-0C49-9ADD-41590BA64DEA}">
      <dgm:prSet/>
      <dgm:spPr/>
      <dgm:t>
        <a:bodyPr/>
        <a:lstStyle/>
        <a:p>
          <a:endParaRPr lang="en-GB"/>
        </a:p>
      </dgm:t>
    </dgm:pt>
    <dgm:pt modelId="{C82DB12A-C808-794A-ACBA-17F20650D07F}">
      <dgm:prSet phldrT="[Texte]"/>
      <dgm:spPr>
        <a:xfrm>
          <a:off x="1799988" y="1108459"/>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u="none" dirty="0" smtClean="0">
              <a:solidFill>
                <a:srgbClr val="000000"/>
              </a:solidFill>
              <a:latin typeface="Calisto MT"/>
              <a:ea typeface="+mn-ea"/>
              <a:cs typeface="+mn-cs"/>
            </a:rPr>
            <a:t>TO1</a:t>
          </a:r>
          <a:endParaRPr lang="en-GB" b="1" u="none" dirty="0">
            <a:solidFill>
              <a:srgbClr val="000000"/>
            </a:solidFill>
            <a:latin typeface="Calisto MT"/>
            <a:ea typeface="+mn-ea"/>
            <a:cs typeface="+mn-cs"/>
          </a:endParaRPr>
        </a:p>
      </dgm:t>
    </dgm:pt>
    <dgm:pt modelId="{31A825A8-0D20-0544-B656-63A7BB501149}" type="parTrans" cxnId="{774D06D9-3FB5-C94B-8B54-2AAF695DEBDE}">
      <dgm:prSet/>
      <dgm:spPr>
        <a:xfrm>
          <a:off x="2000855" y="536058"/>
          <a:ext cx="1845023" cy="572400"/>
        </a:xfrm>
        <a:noFill/>
        <a:ln w="31750" cap="flat" cmpd="sng" algn="ctr">
          <a:solidFill>
            <a:srgbClr val="C1AD79">
              <a:shade val="60000"/>
              <a:hueOff val="0"/>
              <a:satOff val="0"/>
              <a:lumOff val="0"/>
              <a:alphaOff val="0"/>
            </a:srgbClr>
          </a:solidFill>
          <a:prstDash val="solid"/>
        </a:ln>
        <a:effectLst/>
      </dgm:spPr>
      <dgm:t>
        <a:bodyPr/>
        <a:lstStyle/>
        <a:p>
          <a:endParaRPr lang="en-GB"/>
        </a:p>
      </dgm:t>
    </dgm:pt>
    <dgm:pt modelId="{7C316EB4-E777-204F-8603-274EDA840C47}" type="sibTrans" cxnId="{774D06D9-3FB5-C94B-8B54-2AAF695DEBDE}">
      <dgm:prSet/>
      <dgm:spPr/>
      <dgm:t>
        <a:bodyPr/>
        <a:lstStyle/>
        <a:p>
          <a:endParaRPr lang="en-GB"/>
        </a:p>
      </dgm:t>
    </dgm:pt>
    <dgm:pt modelId="{095B5F75-A839-6C41-8880-E2A75A14D33A}">
      <dgm:prSet phldrT="[Texte]"/>
      <dgm:spPr>
        <a:xfrm>
          <a:off x="3886398" y="1108459"/>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dirty="0" smtClean="0">
              <a:solidFill>
                <a:srgbClr val="000000"/>
              </a:solidFill>
              <a:latin typeface="Calisto MT"/>
              <a:ea typeface="+mn-ea"/>
              <a:cs typeface="+mn-cs"/>
            </a:rPr>
            <a:t>TO5</a:t>
          </a:r>
          <a:endParaRPr lang="en-GB" dirty="0">
            <a:solidFill>
              <a:srgbClr val="000000"/>
            </a:solidFill>
            <a:latin typeface="Calisto MT"/>
            <a:ea typeface="+mn-ea"/>
            <a:cs typeface="+mn-cs"/>
          </a:endParaRPr>
        </a:p>
      </dgm:t>
    </dgm:pt>
    <dgm:pt modelId="{198A045A-08AB-8F40-B0C1-B6378EA8F449}" type="parTrans" cxnId="{B258BD82-7E3E-5245-9522-C8EE004109B0}">
      <dgm:prSet/>
      <dgm:spPr>
        <a:xfrm>
          <a:off x="3845878" y="536058"/>
          <a:ext cx="241386" cy="572400"/>
        </a:xfrm>
        <a:noFill/>
        <a:ln w="31750" cap="flat" cmpd="sng" algn="ctr">
          <a:solidFill>
            <a:srgbClr val="C1AD79">
              <a:shade val="60000"/>
              <a:hueOff val="0"/>
              <a:satOff val="0"/>
              <a:lumOff val="0"/>
              <a:alphaOff val="0"/>
            </a:srgbClr>
          </a:solidFill>
          <a:prstDash val="solid"/>
        </a:ln>
        <a:effectLst/>
      </dgm:spPr>
      <dgm:t>
        <a:bodyPr/>
        <a:lstStyle/>
        <a:p>
          <a:endParaRPr lang="en-GB"/>
        </a:p>
      </dgm:t>
    </dgm:pt>
    <dgm:pt modelId="{D361A0C2-2396-8640-8274-56BBAF8DA65B}" type="sibTrans" cxnId="{B258BD82-7E3E-5245-9522-C8EE004109B0}">
      <dgm:prSet/>
      <dgm:spPr/>
      <dgm:t>
        <a:bodyPr/>
        <a:lstStyle/>
        <a:p>
          <a:endParaRPr lang="en-GB"/>
        </a:p>
      </dgm:t>
    </dgm:pt>
    <dgm:pt modelId="{A02939A8-7C25-B043-8EA8-596BE396E372}">
      <dgm:prSet phldrT="[Texte]"/>
      <dgm:spPr>
        <a:xfrm>
          <a:off x="4407999" y="1108459"/>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u="none" dirty="0" smtClean="0">
              <a:solidFill>
                <a:srgbClr val="000000"/>
              </a:solidFill>
              <a:latin typeface="Calisto MT"/>
              <a:ea typeface="+mn-ea"/>
              <a:cs typeface="+mn-cs"/>
            </a:rPr>
            <a:t>TO6</a:t>
          </a:r>
          <a:endParaRPr lang="en-GB" b="1" u="none" dirty="0">
            <a:solidFill>
              <a:srgbClr val="000000"/>
            </a:solidFill>
            <a:latin typeface="Calisto MT"/>
            <a:ea typeface="+mn-ea"/>
            <a:cs typeface="+mn-cs"/>
          </a:endParaRPr>
        </a:p>
      </dgm:t>
    </dgm:pt>
    <dgm:pt modelId="{56759E16-5C0C-0A41-8B9D-F5616BD1AEA9}" type="parTrans" cxnId="{FF8A3A1E-934A-E94C-8C86-706BE52C9439}">
      <dgm:prSet/>
      <dgm:spPr>
        <a:xfrm>
          <a:off x="3845878" y="536058"/>
          <a:ext cx="762988" cy="572400"/>
        </a:xfrm>
        <a:noFill/>
        <a:ln w="31750" cap="flat" cmpd="sng" algn="ctr">
          <a:solidFill>
            <a:srgbClr val="C1AD79">
              <a:shade val="60000"/>
              <a:hueOff val="0"/>
              <a:satOff val="0"/>
              <a:lumOff val="0"/>
              <a:alphaOff val="0"/>
            </a:srgbClr>
          </a:solidFill>
          <a:prstDash val="solid"/>
        </a:ln>
        <a:effectLst/>
      </dgm:spPr>
      <dgm:t>
        <a:bodyPr/>
        <a:lstStyle/>
        <a:p>
          <a:endParaRPr lang="en-GB"/>
        </a:p>
      </dgm:t>
    </dgm:pt>
    <dgm:pt modelId="{314A5BFB-93FD-6A44-95B5-C96CF167AB23}" type="sibTrans" cxnId="{FF8A3A1E-934A-E94C-8C86-706BE52C9439}">
      <dgm:prSet/>
      <dgm:spPr/>
      <dgm:t>
        <a:bodyPr/>
        <a:lstStyle/>
        <a:p>
          <a:endParaRPr lang="en-GB"/>
        </a:p>
      </dgm:t>
    </dgm:pt>
    <dgm:pt modelId="{488B84D1-47F4-2548-981C-E89EF031E116}">
      <dgm:prSet phldrT="[Texte]"/>
      <dgm:spPr>
        <a:xfrm>
          <a:off x="4929605" y="1108459"/>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u="none" dirty="0" smtClean="0">
              <a:solidFill>
                <a:srgbClr val="000000"/>
              </a:solidFill>
              <a:latin typeface="Calisto MT"/>
              <a:ea typeface="+mn-ea"/>
              <a:cs typeface="+mn-cs"/>
            </a:rPr>
            <a:t>TO7</a:t>
          </a:r>
          <a:endParaRPr lang="en-GB" b="1" u="none" dirty="0">
            <a:solidFill>
              <a:srgbClr val="000000"/>
            </a:solidFill>
            <a:latin typeface="Calisto MT"/>
            <a:ea typeface="+mn-ea"/>
            <a:cs typeface="+mn-cs"/>
          </a:endParaRPr>
        </a:p>
      </dgm:t>
    </dgm:pt>
    <dgm:pt modelId="{E45BE058-E881-CD4F-A547-202FA9D7DD78}" type="parTrans" cxnId="{7B5DE412-1BAC-F741-9DF9-FA5EFF7148CE}">
      <dgm:prSet/>
      <dgm:spPr>
        <a:xfrm>
          <a:off x="3845878" y="536058"/>
          <a:ext cx="1284593" cy="572400"/>
        </a:xfrm>
        <a:noFill/>
        <a:ln w="31750" cap="flat" cmpd="sng" algn="ctr">
          <a:solidFill>
            <a:srgbClr val="C1AD79">
              <a:shade val="60000"/>
              <a:hueOff val="0"/>
              <a:satOff val="0"/>
              <a:lumOff val="0"/>
              <a:alphaOff val="0"/>
            </a:srgbClr>
          </a:solidFill>
          <a:prstDash val="solid"/>
        </a:ln>
        <a:effectLst/>
      </dgm:spPr>
      <dgm:t>
        <a:bodyPr/>
        <a:lstStyle/>
        <a:p>
          <a:endParaRPr lang="en-GB"/>
        </a:p>
      </dgm:t>
    </dgm:pt>
    <dgm:pt modelId="{B6D14509-5F66-9C45-B738-3D3510CF4216}" type="sibTrans" cxnId="{7B5DE412-1BAC-F741-9DF9-FA5EFF7148CE}">
      <dgm:prSet/>
      <dgm:spPr/>
      <dgm:t>
        <a:bodyPr/>
        <a:lstStyle/>
        <a:p>
          <a:endParaRPr lang="en-GB"/>
        </a:p>
      </dgm:t>
    </dgm:pt>
    <dgm:pt modelId="{7522B946-4048-4C4F-830C-78F6EAA6A8D0}">
      <dgm:prSet phldrT="[Texte]"/>
      <dgm:spPr>
        <a:xfrm>
          <a:off x="5451206" y="1108459"/>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dirty="0" smtClean="0">
              <a:solidFill>
                <a:srgbClr val="000000"/>
              </a:solidFill>
              <a:latin typeface="Calisto MT"/>
              <a:ea typeface="+mn-ea"/>
              <a:cs typeface="+mn-cs"/>
            </a:rPr>
            <a:t>TO8</a:t>
          </a:r>
          <a:endParaRPr lang="en-GB" b="1" dirty="0">
            <a:solidFill>
              <a:srgbClr val="000000"/>
            </a:solidFill>
            <a:latin typeface="Calisto MT"/>
            <a:ea typeface="+mn-ea"/>
            <a:cs typeface="+mn-cs"/>
          </a:endParaRPr>
        </a:p>
      </dgm:t>
    </dgm:pt>
    <dgm:pt modelId="{C93A0527-519B-6E40-9796-B1C029F555B2}" type="parTrans" cxnId="{C9D78FA9-5634-BB42-95AA-BD5332492A98}">
      <dgm:prSet/>
      <dgm:spPr>
        <a:xfrm>
          <a:off x="3845878" y="536058"/>
          <a:ext cx="1806195" cy="572400"/>
        </a:xfrm>
        <a:noFill/>
        <a:ln w="31750" cap="flat" cmpd="sng" algn="ctr">
          <a:solidFill>
            <a:srgbClr val="C1AD79">
              <a:shade val="60000"/>
              <a:hueOff val="0"/>
              <a:satOff val="0"/>
              <a:lumOff val="0"/>
              <a:alphaOff val="0"/>
            </a:srgbClr>
          </a:solidFill>
          <a:prstDash val="solid"/>
        </a:ln>
        <a:effectLst/>
      </dgm:spPr>
      <dgm:t>
        <a:bodyPr/>
        <a:lstStyle/>
        <a:p>
          <a:endParaRPr lang="en-GB"/>
        </a:p>
      </dgm:t>
    </dgm:pt>
    <dgm:pt modelId="{2A562948-682F-7442-ACD8-A4EB4E05358B}" type="sibTrans" cxnId="{C9D78FA9-5634-BB42-95AA-BD5332492A98}">
      <dgm:prSet/>
      <dgm:spPr/>
      <dgm:t>
        <a:bodyPr/>
        <a:lstStyle/>
        <a:p>
          <a:endParaRPr lang="en-GB"/>
        </a:p>
      </dgm:t>
    </dgm:pt>
    <dgm:pt modelId="{BE2915BD-474B-AA48-B2ED-2F2568EF4B5B}">
      <dgm:prSet phldrT="[Texte]" custT="1"/>
      <dgm:spPr>
        <a:xfrm>
          <a:off x="0" y="3250896"/>
          <a:ext cx="5972810" cy="672738"/>
        </a:xfrm>
        <a:solidFill>
          <a:srgbClr val="C1AD79">
            <a:tint val="40000"/>
            <a:hueOff val="0"/>
            <a:satOff val="0"/>
            <a:lumOff val="0"/>
            <a:alphaOff val="0"/>
          </a:srgbClr>
        </a:solidFill>
        <a:ln>
          <a:noFill/>
        </a:ln>
        <a:effectLst/>
      </dgm:spPr>
      <dgm:t>
        <a:bodyPr/>
        <a:lstStyle/>
        <a:p>
          <a:r>
            <a:rPr lang="en-GB" sz="1200" b="1" dirty="0" smtClean="0">
              <a:solidFill>
                <a:srgbClr val="000000">
                  <a:hueOff val="0"/>
                  <a:satOff val="0"/>
                  <a:lumOff val="0"/>
                  <a:alphaOff val="0"/>
                </a:srgbClr>
              </a:solidFill>
              <a:latin typeface="Calisto MT"/>
              <a:ea typeface="+mn-ea"/>
              <a:cs typeface="+mn-cs"/>
            </a:rPr>
            <a:t>Proposed BSB strategy</a:t>
          </a:r>
          <a:endParaRPr lang="en-GB" sz="1200" b="1" dirty="0">
            <a:solidFill>
              <a:srgbClr val="000000">
                <a:hueOff val="0"/>
                <a:satOff val="0"/>
                <a:lumOff val="0"/>
                <a:alphaOff val="0"/>
              </a:srgbClr>
            </a:solidFill>
            <a:latin typeface="Calisto MT"/>
            <a:ea typeface="+mn-ea"/>
            <a:cs typeface="+mn-cs"/>
          </a:endParaRPr>
        </a:p>
      </dgm:t>
    </dgm:pt>
    <dgm:pt modelId="{9E330277-C427-E34E-A202-2F6745C6AB11}" type="parTrans" cxnId="{655A844C-C9F6-5D49-AEBE-E39A9C22A877}">
      <dgm:prSet/>
      <dgm:spPr/>
      <dgm:t>
        <a:bodyPr/>
        <a:lstStyle/>
        <a:p>
          <a:endParaRPr lang="en-GB"/>
        </a:p>
      </dgm:t>
    </dgm:pt>
    <dgm:pt modelId="{C1416462-E2EB-984C-944A-55E02B60F30E}" type="sibTrans" cxnId="{655A844C-C9F6-5D49-AEBE-E39A9C22A877}">
      <dgm:prSet/>
      <dgm:spPr/>
      <dgm:t>
        <a:bodyPr/>
        <a:lstStyle/>
        <a:p>
          <a:endParaRPr lang="en-GB"/>
        </a:p>
      </dgm:t>
    </dgm:pt>
    <dgm:pt modelId="{D82FA415-2EC8-BC4D-B536-1B029578BA93}">
      <dgm:prSet phldrT="[Texte]"/>
      <dgm:spPr>
        <a:xfrm>
          <a:off x="1799984" y="1890866"/>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dirty="0" smtClean="0">
              <a:solidFill>
                <a:srgbClr val="000000"/>
              </a:solidFill>
              <a:latin typeface="Calisto MT"/>
              <a:ea typeface="+mn-ea"/>
              <a:cs typeface="+mn-cs"/>
            </a:rPr>
            <a:t>TO1</a:t>
          </a:r>
          <a:endParaRPr lang="en-GB" b="1" dirty="0">
            <a:solidFill>
              <a:srgbClr val="000000"/>
            </a:solidFill>
            <a:latin typeface="Calisto MT"/>
            <a:ea typeface="+mn-ea"/>
            <a:cs typeface="+mn-cs"/>
          </a:endParaRPr>
        </a:p>
      </dgm:t>
    </dgm:pt>
    <dgm:pt modelId="{4E137A69-A18A-B64E-9B3D-45085438FA82}" type="parTrans" cxnId="{3A17BA3E-8E05-BF46-9C29-F6F9389AD86C}">
      <dgm:prSet/>
      <dgm:spPr>
        <a:xfrm>
          <a:off x="1955131" y="1376283"/>
          <a:ext cx="91440" cy="514583"/>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0A083679-A510-FB41-8C9F-D0F9C9C9D17C}" type="sibTrans" cxnId="{3A17BA3E-8E05-BF46-9C29-F6F9389AD86C}">
      <dgm:prSet/>
      <dgm:spPr/>
      <dgm:t>
        <a:bodyPr/>
        <a:lstStyle/>
        <a:p>
          <a:endParaRPr lang="en-GB"/>
        </a:p>
      </dgm:t>
    </dgm:pt>
    <dgm:pt modelId="{0380C61B-EDF8-074F-8F90-C71A354CFFE1}">
      <dgm:prSet phldrT="[Texte]"/>
      <dgm:spPr>
        <a:xfrm>
          <a:off x="1799984" y="2673270"/>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dirty="0" smtClean="0">
              <a:solidFill>
                <a:srgbClr val="000000"/>
              </a:solidFill>
              <a:latin typeface="Calisto MT"/>
              <a:ea typeface="+mn-ea"/>
              <a:cs typeface="+mn-cs"/>
            </a:rPr>
            <a:t>TO1</a:t>
          </a:r>
          <a:endParaRPr lang="en-GB" b="1" dirty="0">
            <a:solidFill>
              <a:srgbClr val="000000"/>
            </a:solidFill>
            <a:latin typeface="Calisto MT"/>
            <a:ea typeface="+mn-ea"/>
            <a:cs typeface="+mn-cs"/>
          </a:endParaRPr>
        </a:p>
      </dgm:t>
    </dgm:pt>
    <dgm:pt modelId="{1990C061-6E31-2F4A-B6A1-CCF259FD349F}" type="parTrans" cxnId="{CB5231C0-0254-484B-9A26-99445FC63474}">
      <dgm:prSet/>
      <dgm:spPr>
        <a:xfrm>
          <a:off x="1955131" y="2158690"/>
          <a:ext cx="91440" cy="514580"/>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8873ED56-BC84-2449-9B8B-DAA08896B6D3}" type="sibTrans" cxnId="{CB5231C0-0254-484B-9A26-99445FC63474}">
      <dgm:prSet/>
      <dgm:spPr/>
      <dgm:t>
        <a:bodyPr/>
        <a:lstStyle/>
        <a:p>
          <a:endParaRPr lang="en-GB"/>
        </a:p>
      </dgm:t>
    </dgm:pt>
    <dgm:pt modelId="{2877AF31-0114-434E-9D29-3A616722C212}">
      <dgm:prSet phldrT="[Texte]"/>
      <dgm:spPr>
        <a:xfrm>
          <a:off x="1799984" y="3455675"/>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dirty="0" smtClean="0">
              <a:solidFill>
                <a:srgbClr val="000000"/>
              </a:solidFill>
              <a:latin typeface="Calisto MT"/>
              <a:ea typeface="+mn-ea"/>
              <a:cs typeface="+mn-cs"/>
            </a:rPr>
            <a:t>TO1</a:t>
          </a:r>
          <a:endParaRPr lang="en-GB" b="1" dirty="0">
            <a:solidFill>
              <a:srgbClr val="000000"/>
            </a:solidFill>
            <a:latin typeface="Calisto MT"/>
            <a:ea typeface="+mn-ea"/>
            <a:cs typeface="+mn-cs"/>
          </a:endParaRPr>
        </a:p>
      </dgm:t>
    </dgm:pt>
    <dgm:pt modelId="{20137A6E-0024-B44B-968F-F53DD13B129C}" type="parTrans" cxnId="{E965B59E-8A73-E841-BF89-3172E04C63BC}">
      <dgm:prSet/>
      <dgm:spPr>
        <a:xfrm>
          <a:off x="1955131" y="2941094"/>
          <a:ext cx="91440" cy="514580"/>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B9D7A9EE-3616-4B48-A6CD-AEA967D79185}" type="sibTrans" cxnId="{E965B59E-8A73-E841-BF89-3172E04C63BC}">
      <dgm:prSet/>
      <dgm:spPr/>
      <dgm:t>
        <a:bodyPr/>
        <a:lstStyle/>
        <a:p>
          <a:endParaRPr lang="en-GB"/>
        </a:p>
      </dgm:t>
    </dgm:pt>
    <dgm:pt modelId="{4196489D-3D1D-804F-A072-1DD909687792}">
      <dgm:prSet phldrT="[Texte]"/>
      <dgm:spPr>
        <a:xfrm>
          <a:off x="2321589" y="1890864"/>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0" dirty="0" smtClean="0">
              <a:solidFill>
                <a:srgbClr val="000000"/>
              </a:solidFill>
              <a:latin typeface="Calisto MT"/>
              <a:ea typeface="+mn-ea"/>
              <a:cs typeface="+mn-cs"/>
            </a:rPr>
            <a:t>TO2</a:t>
          </a:r>
          <a:endParaRPr lang="en-GB" b="0" dirty="0">
            <a:solidFill>
              <a:srgbClr val="000000"/>
            </a:solidFill>
            <a:latin typeface="Calisto MT"/>
            <a:ea typeface="+mn-ea"/>
            <a:cs typeface="+mn-cs"/>
          </a:endParaRPr>
        </a:p>
      </dgm:t>
    </dgm:pt>
    <dgm:pt modelId="{D741E8B3-45D2-494B-88A0-B0A313E4B8D3}" type="parTrans" cxnId="{DC020C9A-D378-344B-A15E-82BE6DFE9CD1}">
      <dgm:prSet/>
      <dgm:spPr>
        <a:xfrm>
          <a:off x="2476737" y="1376283"/>
          <a:ext cx="91440" cy="514580"/>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0BF1992B-8954-2C4A-8931-234678346447}" type="sibTrans" cxnId="{DC020C9A-D378-344B-A15E-82BE6DFE9CD1}">
      <dgm:prSet/>
      <dgm:spPr/>
      <dgm:t>
        <a:bodyPr/>
        <a:lstStyle/>
        <a:p>
          <a:endParaRPr lang="en-GB"/>
        </a:p>
      </dgm:t>
    </dgm:pt>
    <dgm:pt modelId="{EEC20706-13E8-154A-88B2-6B376CC7E88A}">
      <dgm:prSet phldrT="[Texte]"/>
      <dgm:spPr>
        <a:xfrm>
          <a:off x="2843191" y="1890866"/>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dirty="0" smtClean="0">
              <a:solidFill>
                <a:srgbClr val="000000"/>
              </a:solidFill>
              <a:latin typeface="Calisto MT"/>
              <a:ea typeface="+mn-ea"/>
              <a:cs typeface="+mn-cs"/>
            </a:rPr>
            <a:t>TO3</a:t>
          </a:r>
          <a:endParaRPr lang="en-GB" dirty="0">
            <a:solidFill>
              <a:srgbClr val="000000"/>
            </a:solidFill>
            <a:latin typeface="Calisto MT"/>
            <a:ea typeface="+mn-ea"/>
            <a:cs typeface="+mn-cs"/>
          </a:endParaRPr>
        </a:p>
      </dgm:t>
    </dgm:pt>
    <dgm:pt modelId="{34A06777-FEB7-8849-BC2E-C9F007D96290}" type="parTrans" cxnId="{C093AA36-DB9A-1942-A46F-9648D9F1F840}">
      <dgm:prSet/>
      <dgm:spPr>
        <a:xfrm>
          <a:off x="2998338" y="1376283"/>
          <a:ext cx="91440" cy="514583"/>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E250DA62-647A-A84D-A42F-F7ACAD3EEA57}" type="sibTrans" cxnId="{C093AA36-DB9A-1942-A46F-9648D9F1F840}">
      <dgm:prSet/>
      <dgm:spPr/>
      <dgm:t>
        <a:bodyPr/>
        <a:lstStyle/>
        <a:p>
          <a:endParaRPr lang="en-GB"/>
        </a:p>
      </dgm:t>
    </dgm:pt>
    <dgm:pt modelId="{413D1223-8B14-0C4D-9079-D850E9593A27}">
      <dgm:prSet phldrT="[Texte]"/>
      <dgm:spPr>
        <a:xfrm>
          <a:off x="2843191" y="2673270"/>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dirty="0" smtClean="0">
              <a:solidFill>
                <a:srgbClr val="000000"/>
              </a:solidFill>
              <a:latin typeface="Calisto MT"/>
              <a:ea typeface="+mn-ea"/>
              <a:cs typeface="+mn-cs"/>
            </a:rPr>
            <a:t>TO3</a:t>
          </a:r>
          <a:endParaRPr lang="en-GB" dirty="0">
            <a:solidFill>
              <a:srgbClr val="000000"/>
            </a:solidFill>
            <a:latin typeface="Calisto MT"/>
            <a:ea typeface="+mn-ea"/>
            <a:cs typeface="+mn-cs"/>
          </a:endParaRPr>
        </a:p>
      </dgm:t>
    </dgm:pt>
    <dgm:pt modelId="{07B6ADD5-0041-CD43-A00D-1452555C612E}" type="parTrans" cxnId="{EA36A28C-B5B1-AD4F-82A1-ACB2F7A7D788}">
      <dgm:prSet/>
      <dgm:spPr>
        <a:xfrm>
          <a:off x="2998338" y="2158690"/>
          <a:ext cx="91440" cy="514580"/>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54C38E11-9C21-BE4F-8736-C4B3BB58CE1C}" type="sibTrans" cxnId="{EA36A28C-B5B1-AD4F-82A1-ACB2F7A7D788}">
      <dgm:prSet/>
      <dgm:spPr/>
      <dgm:t>
        <a:bodyPr/>
        <a:lstStyle/>
        <a:p>
          <a:endParaRPr lang="en-GB"/>
        </a:p>
      </dgm:t>
    </dgm:pt>
    <dgm:pt modelId="{C9F36DA2-7EA2-7F42-AE72-A73F350F27C4}">
      <dgm:prSet phldrT="[Texte]"/>
      <dgm:spPr>
        <a:xfrm>
          <a:off x="3364796" y="1890866"/>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dirty="0" smtClean="0">
              <a:solidFill>
                <a:srgbClr val="000000"/>
              </a:solidFill>
              <a:latin typeface="Calisto MT"/>
              <a:ea typeface="+mn-ea"/>
              <a:cs typeface="+mn-cs"/>
            </a:rPr>
            <a:t>TO4</a:t>
          </a:r>
          <a:endParaRPr lang="en-GB" dirty="0">
            <a:solidFill>
              <a:srgbClr val="000000"/>
            </a:solidFill>
            <a:latin typeface="Calisto MT"/>
            <a:ea typeface="+mn-ea"/>
            <a:cs typeface="+mn-cs"/>
          </a:endParaRPr>
        </a:p>
      </dgm:t>
    </dgm:pt>
    <dgm:pt modelId="{9AD2E87F-8916-304B-BFBA-4C091949B53A}" type="parTrans" cxnId="{5D06776B-67C7-2E4A-8920-4C6DDD9C04E4}">
      <dgm:prSet/>
      <dgm:spPr>
        <a:xfrm>
          <a:off x="3519944" y="1376283"/>
          <a:ext cx="91440" cy="514583"/>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33EFF387-4BC6-BC45-8198-4D7E8B98DA92}" type="sibTrans" cxnId="{5D06776B-67C7-2E4A-8920-4C6DDD9C04E4}">
      <dgm:prSet/>
      <dgm:spPr/>
      <dgm:t>
        <a:bodyPr/>
        <a:lstStyle/>
        <a:p>
          <a:endParaRPr lang="en-GB"/>
        </a:p>
      </dgm:t>
    </dgm:pt>
    <dgm:pt modelId="{D278D4A5-BF6B-6043-BFC0-20C729BB1EAB}">
      <dgm:prSet phldrT="[Texte]"/>
      <dgm:spPr>
        <a:xfrm>
          <a:off x="3364796" y="2673270"/>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dirty="0" smtClean="0">
              <a:solidFill>
                <a:srgbClr val="000000"/>
              </a:solidFill>
              <a:latin typeface="Calisto MT"/>
              <a:ea typeface="+mn-ea"/>
              <a:cs typeface="+mn-cs"/>
            </a:rPr>
            <a:t>TO4</a:t>
          </a:r>
          <a:endParaRPr lang="en-GB" dirty="0">
            <a:solidFill>
              <a:srgbClr val="000000"/>
            </a:solidFill>
            <a:latin typeface="Calisto MT"/>
            <a:ea typeface="+mn-ea"/>
            <a:cs typeface="+mn-cs"/>
          </a:endParaRPr>
        </a:p>
      </dgm:t>
    </dgm:pt>
    <dgm:pt modelId="{7E03E3B6-CF2E-0F46-BEBF-B065945CA5E7}" type="parTrans" cxnId="{09F8F501-7AD3-084A-996A-E8955A5FB736}">
      <dgm:prSet/>
      <dgm:spPr>
        <a:xfrm>
          <a:off x="3519944" y="2158690"/>
          <a:ext cx="91440" cy="514580"/>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19BBBF1E-845D-3642-BF82-0231B00D1F51}" type="sibTrans" cxnId="{09F8F501-7AD3-084A-996A-E8955A5FB736}">
      <dgm:prSet/>
      <dgm:spPr/>
      <dgm:t>
        <a:bodyPr/>
        <a:lstStyle/>
        <a:p>
          <a:endParaRPr lang="en-GB"/>
        </a:p>
      </dgm:t>
    </dgm:pt>
    <dgm:pt modelId="{A31A0470-314B-AA41-8402-ABFAEA0D5638}">
      <dgm:prSet phldrT="[Texte]"/>
      <dgm:spPr>
        <a:xfrm>
          <a:off x="4407999" y="1890866"/>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dirty="0" smtClean="0">
              <a:solidFill>
                <a:srgbClr val="000000"/>
              </a:solidFill>
              <a:latin typeface="Calisto MT"/>
              <a:ea typeface="+mn-ea"/>
              <a:cs typeface="+mn-cs"/>
            </a:rPr>
            <a:t>TO6</a:t>
          </a:r>
          <a:endParaRPr lang="en-GB" b="1" dirty="0">
            <a:solidFill>
              <a:srgbClr val="000000"/>
            </a:solidFill>
            <a:latin typeface="Calisto MT"/>
            <a:ea typeface="+mn-ea"/>
            <a:cs typeface="+mn-cs"/>
          </a:endParaRPr>
        </a:p>
      </dgm:t>
    </dgm:pt>
    <dgm:pt modelId="{40E93012-1C9F-0144-83B0-B354F3C6A963}" type="parTrans" cxnId="{250E7254-156E-5B4E-9F98-5FF66D5E9722}">
      <dgm:prSet/>
      <dgm:spPr>
        <a:xfrm>
          <a:off x="4563147" y="1376283"/>
          <a:ext cx="91440" cy="514583"/>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3657B926-3BEA-FB44-B2CE-366FF88F892B}" type="sibTrans" cxnId="{250E7254-156E-5B4E-9F98-5FF66D5E9722}">
      <dgm:prSet/>
      <dgm:spPr/>
      <dgm:t>
        <a:bodyPr/>
        <a:lstStyle/>
        <a:p>
          <a:endParaRPr lang="en-GB"/>
        </a:p>
      </dgm:t>
    </dgm:pt>
    <dgm:pt modelId="{16DA4B72-2A32-3F40-B48E-89944475CEDF}">
      <dgm:prSet phldrT="[Texte]"/>
      <dgm:spPr>
        <a:xfrm>
          <a:off x="4407999" y="2673270"/>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dirty="0" smtClean="0">
              <a:solidFill>
                <a:srgbClr val="000000"/>
              </a:solidFill>
              <a:latin typeface="Calisto MT"/>
              <a:ea typeface="+mn-ea"/>
              <a:cs typeface="+mn-cs"/>
            </a:rPr>
            <a:t>TO6</a:t>
          </a:r>
          <a:endParaRPr lang="en-GB" b="1" dirty="0">
            <a:solidFill>
              <a:srgbClr val="000000"/>
            </a:solidFill>
            <a:latin typeface="Calisto MT"/>
            <a:ea typeface="+mn-ea"/>
            <a:cs typeface="+mn-cs"/>
          </a:endParaRPr>
        </a:p>
      </dgm:t>
    </dgm:pt>
    <dgm:pt modelId="{B0A63B65-0BDA-9E4B-9819-5A91710A6709}" type="parTrans" cxnId="{48F60419-8C09-3544-B0B1-BB6BF0F953D5}">
      <dgm:prSet/>
      <dgm:spPr>
        <a:xfrm>
          <a:off x="4563147" y="2158690"/>
          <a:ext cx="91440" cy="514580"/>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ED2A72CE-F5F1-B04E-86C0-AE7EBF5A6E79}" type="sibTrans" cxnId="{48F60419-8C09-3544-B0B1-BB6BF0F953D5}">
      <dgm:prSet/>
      <dgm:spPr/>
      <dgm:t>
        <a:bodyPr/>
        <a:lstStyle/>
        <a:p>
          <a:endParaRPr lang="en-GB"/>
        </a:p>
      </dgm:t>
    </dgm:pt>
    <dgm:pt modelId="{6316FE2B-8142-494D-99CF-8CEF7AF5108A}">
      <dgm:prSet phldrT="[Texte]"/>
      <dgm:spPr>
        <a:xfrm>
          <a:off x="4407999" y="3455675"/>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b="1" dirty="0" smtClean="0">
              <a:solidFill>
                <a:srgbClr val="000000"/>
              </a:solidFill>
              <a:latin typeface="Calisto MT"/>
              <a:ea typeface="+mn-ea"/>
              <a:cs typeface="+mn-cs"/>
            </a:rPr>
            <a:t>TO6</a:t>
          </a:r>
          <a:endParaRPr lang="en-GB" b="1" dirty="0">
            <a:solidFill>
              <a:srgbClr val="000000"/>
            </a:solidFill>
            <a:latin typeface="Calisto MT"/>
            <a:ea typeface="+mn-ea"/>
            <a:cs typeface="+mn-cs"/>
          </a:endParaRPr>
        </a:p>
      </dgm:t>
    </dgm:pt>
    <dgm:pt modelId="{E0E76BAD-5AAA-AA4B-849D-E9532227E224}" type="parTrans" cxnId="{05DF7248-7B04-F149-8F06-8B47614B9257}">
      <dgm:prSet/>
      <dgm:spPr>
        <a:xfrm>
          <a:off x="4563147" y="2941094"/>
          <a:ext cx="91440" cy="514580"/>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6BDF54D3-A489-BC4E-A648-306113A261E2}" type="sibTrans" cxnId="{05DF7248-7B04-F149-8F06-8B47614B9257}">
      <dgm:prSet/>
      <dgm:spPr/>
      <dgm:t>
        <a:bodyPr/>
        <a:lstStyle/>
        <a:p>
          <a:endParaRPr lang="en-GB"/>
        </a:p>
      </dgm:t>
    </dgm:pt>
    <dgm:pt modelId="{72C91F37-8030-9847-8473-CB06007807E6}">
      <dgm:prSet phldrT="[Texte]"/>
      <dgm:spPr>
        <a:xfrm>
          <a:off x="4929605" y="1890866"/>
          <a:ext cx="401735" cy="267823"/>
        </a:xfr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gm:spPr>
      <dgm:t>
        <a:bodyPr/>
        <a:lstStyle/>
        <a:p>
          <a:r>
            <a:rPr lang="en-GB" dirty="0" smtClean="0">
              <a:solidFill>
                <a:srgbClr val="000000"/>
              </a:solidFill>
              <a:latin typeface="Calisto MT"/>
              <a:ea typeface="+mn-ea"/>
              <a:cs typeface="+mn-cs"/>
            </a:rPr>
            <a:t>TO7</a:t>
          </a:r>
          <a:endParaRPr lang="en-GB" dirty="0">
            <a:solidFill>
              <a:srgbClr val="000000"/>
            </a:solidFill>
            <a:latin typeface="Calisto MT"/>
            <a:ea typeface="+mn-ea"/>
            <a:cs typeface="+mn-cs"/>
          </a:endParaRPr>
        </a:p>
      </dgm:t>
    </dgm:pt>
    <dgm:pt modelId="{96E5278C-FBD7-9640-8672-CF27337788B4}" type="parTrans" cxnId="{4D1A348C-44AD-7945-932B-F39F87DAEA77}">
      <dgm:prSet/>
      <dgm:spPr>
        <a:xfrm>
          <a:off x="5084752" y="1376283"/>
          <a:ext cx="91440" cy="514583"/>
        </a:xfrm>
        <a:noFill/>
        <a:ln w="31750" cap="flat" cmpd="sng" algn="ctr">
          <a:solidFill>
            <a:srgbClr val="C1AD79">
              <a:shade val="80000"/>
              <a:hueOff val="0"/>
              <a:satOff val="0"/>
              <a:lumOff val="0"/>
              <a:alphaOff val="0"/>
            </a:srgbClr>
          </a:solidFill>
          <a:prstDash val="solid"/>
        </a:ln>
        <a:effectLst/>
      </dgm:spPr>
      <dgm:t>
        <a:bodyPr/>
        <a:lstStyle/>
        <a:p>
          <a:endParaRPr lang="en-GB"/>
        </a:p>
      </dgm:t>
    </dgm:pt>
    <dgm:pt modelId="{E55C1E1E-FE34-2842-BF77-6B6D12B4B6D3}" type="sibTrans" cxnId="{4D1A348C-44AD-7945-932B-F39F87DAEA77}">
      <dgm:prSet/>
      <dgm:spPr/>
      <dgm:t>
        <a:bodyPr/>
        <a:lstStyle/>
        <a:p>
          <a:endParaRPr lang="en-GB"/>
        </a:p>
      </dgm:t>
    </dgm:pt>
    <dgm:pt modelId="{4A1AC22C-73F0-7E48-8BE3-F91FDFA0CB76}" type="pres">
      <dgm:prSet presAssocID="{530B6A35-6D72-A248-810B-7F87BB89C855}" presName="mainComposite" presStyleCnt="0">
        <dgm:presLayoutVars>
          <dgm:chPref val="1"/>
          <dgm:dir/>
          <dgm:animOne val="branch"/>
          <dgm:animLvl val="lvl"/>
          <dgm:resizeHandles val="exact"/>
        </dgm:presLayoutVars>
      </dgm:prSet>
      <dgm:spPr/>
    </dgm:pt>
    <dgm:pt modelId="{66110624-E89A-E749-B22F-69D57F0D549F}" type="pres">
      <dgm:prSet presAssocID="{530B6A35-6D72-A248-810B-7F87BB89C855}" presName="hierFlow" presStyleCnt="0"/>
      <dgm:spPr/>
    </dgm:pt>
    <dgm:pt modelId="{6E562594-5230-BE40-B2CB-A9E92CE76C52}" type="pres">
      <dgm:prSet presAssocID="{530B6A35-6D72-A248-810B-7F87BB89C855}" presName="firstBuf" presStyleCnt="0"/>
      <dgm:spPr/>
    </dgm:pt>
    <dgm:pt modelId="{CFA8B355-320E-D94A-AA21-B2ED2ED10FC3}" type="pres">
      <dgm:prSet presAssocID="{530B6A35-6D72-A248-810B-7F87BB89C855}" presName="hierChild1" presStyleCnt="0">
        <dgm:presLayoutVars>
          <dgm:chPref val="1"/>
          <dgm:animOne val="branch"/>
          <dgm:animLvl val="lvl"/>
        </dgm:presLayoutVars>
      </dgm:prSet>
      <dgm:spPr/>
    </dgm:pt>
    <dgm:pt modelId="{3ACE2BE4-20E6-2242-B2A9-3C2A95844548}" type="pres">
      <dgm:prSet presAssocID="{794E57AE-0EFB-9B45-BE13-787BAC2774B7}" presName="Name14" presStyleCnt="0"/>
      <dgm:spPr/>
    </dgm:pt>
    <dgm:pt modelId="{EA4D87FA-4A21-3D43-9DBA-CF67A1D2F6EC}" type="pres">
      <dgm:prSet presAssocID="{794E57AE-0EFB-9B45-BE13-787BAC2774B7}" presName="level1Shape" presStyleLbl="node0" presStyleIdx="0" presStyleCnt="1" custScaleX="992559" custScaleY="117362" custLinFactNeighborX="5795" custLinFactNeighborY="72306">
        <dgm:presLayoutVars>
          <dgm:chPref val="3"/>
        </dgm:presLayoutVars>
      </dgm:prSet>
      <dgm:spPr>
        <a:prstGeom prst="roundRect">
          <a:avLst>
            <a:gd name="adj" fmla="val 10000"/>
          </a:avLst>
        </a:prstGeom>
      </dgm:spPr>
      <dgm:t>
        <a:bodyPr/>
        <a:lstStyle/>
        <a:p>
          <a:endParaRPr lang="en-GB"/>
        </a:p>
      </dgm:t>
    </dgm:pt>
    <dgm:pt modelId="{1FC8C889-FED9-D342-9B80-B2ADD3C0C709}" type="pres">
      <dgm:prSet presAssocID="{794E57AE-0EFB-9B45-BE13-787BAC2774B7}" presName="hierChild2" presStyleCnt="0"/>
      <dgm:spPr/>
    </dgm:pt>
    <dgm:pt modelId="{46AB25BD-F58B-3749-A677-D92968572A9A}" type="pres">
      <dgm:prSet presAssocID="{31A825A8-0D20-0544-B656-63A7BB501149}" presName="Name19" presStyleLbl="parChTrans1D2" presStyleIdx="0" presStyleCnt="8"/>
      <dgm:spPr>
        <a:custGeom>
          <a:avLst/>
          <a:gdLst/>
          <a:ahLst/>
          <a:cxnLst/>
          <a:rect l="0" t="0" r="0" b="0"/>
          <a:pathLst>
            <a:path>
              <a:moveTo>
                <a:pt x="1845023" y="0"/>
              </a:moveTo>
              <a:lnTo>
                <a:pt x="1845023" y="286200"/>
              </a:lnTo>
              <a:lnTo>
                <a:pt x="0" y="286200"/>
              </a:lnTo>
              <a:lnTo>
                <a:pt x="0" y="572400"/>
              </a:lnTo>
            </a:path>
          </a:pathLst>
        </a:custGeom>
      </dgm:spPr>
      <dgm:t>
        <a:bodyPr/>
        <a:lstStyle/>
        <a:p>
          <a:endParaRPr lang="en-GB"/>
        </a:p>
      </dgm:t>
    </dgm:pt>
    <dgm:pt modelId="{C183C040-7E60-0941-A439-056C53F714C0}" type="pres">
      <dgm:prSet presAssocID="{C82DB12A-C808-794A-ACBA-17F20650D07F}" presName="Name21" presStyleCnt="0"/>
      <dgm:spPr/>
    </dgm:pt>
    <dgm:pt modelId="{C9C80516-0712-E94C-ADCA-D6FAB3002E93}" type="pres">
      <dgm:prSet presAssocID="{C82DB12A-C808-794A-ACBA-17F20650D07F}" presName="level2Shape" presStyleLbl="node2" presStyleIdx="0" presStyleCnt="8" custLinFactY="100000" custLinFactNeighborX="1532" custLinFactNeighborY="146029"/>
      <dgm:spPr>
        <a:prstGeom prst="roundRect">
          <a:avLst>
            <a:gd name="adj" fmla="val 10000"/>
          </a:avLst>
        </a:prstGeom>
      </dgm:spPr>
      <dgm:t>
        <a:bodyPr/>
        <a:lstStyle/>
        <a:p>
          <a:endParaRPr lang="en-GB"/>
        </a:p>
      </dgm:t>
    </dgm:pt>
    <dgm:pt modelId="{1EC1A314-0E46-7A46-8EF9-3D321E51932B}" type="pres">
      <dgm:prSet presAssocID="{C82DB12A-C808-794A-ACBA-17F20650D07F}" presName="hierChild3" presStyleCnt="0"/>
      <dgm:spPr/>
    </dgm:pt>
    <dgm:pt modelId="{288801B9-5417-6B4F-9133-C42FD27A48BD}" type="pres">
      <dgm:prSet presAssocID="{4E137A69-A18A-B64E-9B3D-45085438FA82}" presName="Name19" presStyleLbl="parChTrans1D3" presStyleIdx="0" presStyleCnt="6"/>
      <dgm:spPr>
        <a:custGeom>
          <a:avLst/>
          <a:gdLst/>
          <a:ahLst/>
          <a:cxnLst/>
          <a:rect l="0" t="0" r="0" b="0"/>
          <a:pathLst>
            <a:path>
              <a:moveTo>
                <a:pt x="45724" y="0"/>
              </a:moveTo>
              <a:lnTo>
                <a:pt x="45724" y="257291"/>
              </a:lnTo>
              <a:lnTo>
                <a:pt x="45720" y="257291"/>
              </a:lnTo>
              <a:lnTo>
                <a:pt x="45720" y="514583"/>
              </a:lnTo>
            </a:path>
          </a:pathLst>
        </a:custGeom>
      </dgm:spPr>
      <dgm:t>
        <a:bodyPr/>
        <a:lstStyle/>
        <a:p>
          <a:endParaRPr lang="en-GB"/>
        </a:p>
      </dgm:t>
    </dgm:pt>
    <dgm:pt modelId="{C0FF0512-0FD0-964F-B541-C321D8BBAEA5}" type="pres">
      <dgm:prSet presAssocID="{D82FA415-2EC8-BC4D-B536-1B029578BA93}" presName="Name21" presStyleCnt="0"/>
      <dgm:spPr/>
    </dgm:pt>
    <dgm:pt modelId="{0D5667AD-6F76-CC47-8856-502C3553AC2F}" type="pres">
      <dgm:prSet presAssocID="{D82FA415-2EC8-BC4D-B536-1B029578BA93}" presName="level2Shape" presStyleLbl="node3" presStyleIdx="0" presStyleCnt="6" custLinFactY="198164" custLinFactNeighborX="1531" custLinFactNeighborY="200000"/>
      <dgm:spPr>
        <a:prstGeom prst="roundRect">
          <a:avLst>
            <a:gd name="adj" fmla="val 10000"/>
          </a:avLst>
        </a:prstGeom>
      </dgm:spPr>
      <dgm:t>
        <a:bodyPr/>
        <a:lstStyle/>
        <a:p>
          <a:endParaRPr lang="en-GB"/>
        </a:p>
      </dgm:t>
    </dgm:pt>
    <dgm:pt modelId="{5F9CE191-7741-CD4C-81F6-1657688A8ABB}" type="pres">
      <dgm:prSet presAssocID="{D82FA415-2EC8-BC4D-B536-1B029578BA93}" presName="hierChild3" presStyleCnt="0"/>
      <dgm:spPr/>
    </dgm:pt>
    <dgm:pt modelId="{B707356E-A657-D049-BD56-AA40F790F54D}" type="pres">
      <dgm:prSet presAssocID="{1990C061-6E31-2F4A-B6A1-CCF259FD349F}" presName="Name19" presStyleLbl="parChTrans1D4" presStyleIdx="0" presStyleCnt="6"/>
      <dgm:spPr>
        <a:custGeom>
          <a:avLst/>
          <a:gdLst/>
          <a:ahLst/>
          <a:cxnLst/>
          <a:rect l="0" t="0" r="0" b="0"/>
          <a:pathLst>
            <a:path>
              <a:moveTo>
                <a:pt x="45720" y="0"/>
              </a:moveTo>
              <a:lnTo>
                <a:pt x="45720" y="514580"/>
              </a:lnTo>
            </a:path>
          </a:pathLst>
        </a:custGeom>
      </dgm:spPr>
      <dgm:t>
        <a:bodyPr/>
        <a:lstStyle/>
        <a:p>
          <a:endParaRPr lang="en-GB"/>
        </a:p>
      </dgm:t>
    </dgm:pt>
    <dgm:pt modelId="{ED2EA168-6EC2-4F44-AA52-CF8963630447}" type="pres">
      <dgm:prSet presAssocID="{0380C61B-EDF8-074F-8F90-C71A354CFFE1}" presName="Name21" presStyleCnt="0"/>
      <dgm:spPr/>
    </dgm:pt>
    <dgm:pt modelId="{E0D86FC8-9480-A34C-A45C-14F26BC2EB2D}" type="pres">
      <dgm:prSet presAssocID="{0380C61B-EDF8-074F-8F90-C71A354CFFE1}" presName="level2Shape" presStyleLbl="node4" presStyleIdx="0" presStyleCnt="6" custLinFactY="250298" custLinFactNeighborX="1531" custLinFactNeighborY="300000"/>
      <dgm:spPr>
        <a:prstGeom prst="roundRect">
          <a:avLst>
            <a:gd name="adj" fmla="val 10000"/>
          </a:avLst>
        </a:prstGeom>
      </dgm:spPr>
      <dgm:t>
        <a:bodyPr/>
        <a:lstStyle/>
        <a:p>
          <a:endParaRPr lang="en-GB"/>
        </a:p>
      </dgm:t>
    </dgm:pt>
    <dgm:pt modelId="{CFF714E5-30C0-B641-8D83-CA921F78B0FC}" type="pres">
      <dgm:prSet presAssocID="{0380C61B-EDF8-074F-8F90-C71A354CFFE1}" presName="hierChild3" presStyleCnt="0"/>
      <dgm:spPr/>
    </dgm:pt>
    <dgm:pt modelId="{9A3AE737-1479-0043-8BE9-4C87D08E8A76}" type="pres">
      <dgm:prSet presAssocID="{20137A6E-0024-B44B-968F-F53DD13B129C}" presName="Name19" presStyleLbl="parChTrans1D4" presStyleIdx="1" presStyleCnt="6"/>
      <dgm:spPr>
        <a:custGeom>
          <a:avLst/>
          <a:gdLst/>
          <a:ahLst/>
          <a:cxnLst/>
          <a:rect l="0" t="0" r="0" b="0"/>
          <a:pathLst>
            <a:path>
              <a:moveTo>
                <a:pt x="45720" y="0"/>
              </a:moveTo>
              <a:lnTo>
                <a:pt x="45720" y="514580"/>
              </a:lnTo>
            </a:path>
          </a:pathLst>
        </a:custGeom>
      </dgm:spPr>
      <dgm:t>
        <a:bodyPr/>
        <a:lstStyle/>
        <a:p>
          <a:endParaRPr lang="en-GB"/>
        </a:p>
      </dgm:t>
    </dgm:pt>
    <dgm:pt modelId="{26630D7F-6C0F-934F-886E-7929A57F1ECE}" type="pres">
      <dgm:prSet presAssocID="{2877AF31-0114-434E-9D29-3A616722C212}" presName="Name21" presStyleCnt="0"/>
      <dgm:spPr/>
    </dgm:pt>
    <dgm:pt modelId="{52413BD0-F315-0540-829B-4D9B0026A557}" type="pres">
      <dgm:prSet presAssocID="{2877AF31-0114-434E-9D29-3A616722C212}" presName="level2Shape" presStyleLbl="node4" presStyleIdx="1" presStyleCnt="6" custLinFactY="302432" custLinFactNeighborX="1531" custLinFactNeighborY="400000"/>
      <dgm:spPr>
        <a:prstGeom prst="roundRect">
          <a:avLst>
            <a:gd name="adj" fmla="val 10000"/>
          </a:avLst>
        </a:prstGeom>
      </dgm:spPr>
      <dgm:t>
        <a:bodyPr/>
        <a:lstStyle/>
        <a:p>
          <a:endParaRPr lang="en-GB"/>
        </a:p>
      </dgm:t>
    </dgm:pt>
    <dgm:pt modelId="{1E209CD3-D441-174B-A74A-8FFF7A80D66A}" type="pres">
      <dgm:prSet presAssocID="{2877AF31-0114-434E-9D29-3A616722C212}" presName="hierChild3" presStyleCnt="0"/>
      <dgm:spPr/>
    </dgm:pt>
    <dgm:pt modelId="{2ADD5497-5C23-434B-B629-C10D0793BC65}" type="pres">
      <dgm:prSet presAssocID="{DF490825-C7A5-2B40-A557-46C0EC1C8C52}" presName="Name19" presStyleLbl="parChTrans1D2" presStyleIdx="1" presStyleCnt="8"/>
      <dgm:spPr>
        <a:custGeom>
          <a:avLst/>
          <a:gdLst/>
          <a:ahLst/>
          <a:cxnLst/>
          <a:rect l="0" t="0" r="0" b="0"/>
          <a:pathLst>
            <a:path>
              <a:moveTo>
                <a:pt x="1323421" y="0"/>
              </a:moveTo>
              <a:lnTo>
                <a:pt x="1323421" y="286200"/>
              </a:lnTo>
              <a:lnTo>
                <a:pt x="0" y="286200"/>
              </a:lnTo>
              <a:lnTo>
                <a:pt x="0" y="572400"/>
              </a:lnTo>
            </a:path>
          </a:pathLst>
        </a:custGeom>
      </dgm:spPr>
      <dgm:t>
        <a:bodyPr/>
        <a:lstStyle/>
        <a:p>
          <a:endParaRPr lang="en-GB"/>
        </a:p>
      </dgm:t>
    </dgm:pt>
    <dgm:pt modelId="{CA965D26-D78C-A64B-B0F4-F6ECF44DF21E}" type="pres">
      <dgm:prSet presAssocID="{62C4499E-50D9-DC4D-90FF-D26D3BE63DA1}" presName="Name21" presStyleCnt="0"/>
      <dgm:spPr/>
    </dgm:pt>
    <dgm:pt modelId="{2F3EEE40-1F02-E448-9719-CA8DC3126F70}" type="pres">
      <dgm:prSet presAssocID="{62C4499E-50D9-DC4D-90FF-D26D3BE63DA1}" presName="level2Shape" presStyleLbl="node2" presStyleIdx="1" presStyleCnt="8" custLinFactY="100000" custLinFactNeighborX="1369" custLinFactNeighborY="146029"/>
      <dgm:spPr>
        <a:prstGeom prst="roundRect">
          <a:avLst>
            <a:gd name="adj" fmla="val 10000"/>
          </a:avLst>
        </a:prstGeom>
      </dgm:spPr>
      <dgm:t>
        <a:bodyPr/>
        <a:lstStyle/>
        <a:p>
          <a:endParaRPr lang="en-GB"/>
        </a:p>
      </dgm:t>
    </dgm:pt>
    <dgm:pt modelId="{33A8E38E-ED94-3C48-A50C-69C13271A6AD}" type="pres">
      <dgm:prSet presAssocID="{62C4499E-50D9-DC4D-90FF-D26D3BE63DA1}" presName="hierChild3" presStyleCnt="0"/>
      <dgm:spPr/>
    </dgm:pt>
    <dgm:pt modelId="{C535E999-CBDC-6C45-A3BE-B542E7121C2F}" type="pres">
      <dgm:prSet presAssocID="{D741E8B3-45D2-494B-88A0-B0A313E4B8D3}" presName="Name19" presStyleLbl="parChTrans1D3" presStyleIdx="1" presStyleCnt="6"/>
      <dgm:spPr>
        <a:custGeom>
          <a:avLst/>
          <a:gdLst/>
          <a:ahLst/>
          <a:cxnLst/>
          <a:rect l="0" t="0" r="0" b="0"/>
          <a:pathLst>
            <a:path>
              <a:moveTo>
                <a:pt x="45720" y="0"/>
              </a:moveTo>
              <a:lnTo>
                <a:pt x="45720" y="514580"/>
              </a:lnTo>
            </a:path>
          </a:pathLst>
        </a:custGeom>
      </dgm:spPr>
      <dgm:t>
        <a:bodyPr/>
        <a:lstStyle/>
        <a:p>
          <a:endParaRPr lang="en-GB"/>
        </a:p>
      </dgm:t>
    </dgm:pt>
    <dgm:pt modelId="{978416CF-8635-E846-981E-C802AF7FEEAC}" type="pres">
      <dgm:prSet presAssocID="{4196489D-3D1D-804F-A072-1DD909687792}" presName="Name21" presStyleCnt="0"/>
      <dgm:spPr/>
    </dgm:pt>
    <dgm:pt modelId="{57BA3E17-452D-994A-91F0-4AD71FB9D03F}" type="pres">
      <dgm:prSet presAssocID="{4196489D-3D1D-804F-A072-1DD909687792}" presName="level2Shape" presStyleLbl="node3" presStyleIdx="1" presStyleCnt="6" custLinFactY="198163" custLinFactNeighborX="1369" custLinFactNeighborY="200000"/>
      <dgm:spPr>
        <a:prstGeom prst="roundRect">
          <a:avLst>
            <a:gd name="adj" fmla="val 10000"/>
          </a:avLst>
        </a:prstGeom>
      </dgm:spPr>
      <dgm:t>
        <a:bodyPr/>
        <a:lstStyle/>
        <a:p>
          <a:endParaRPr lang="en-GB"/>
        </a:p>
      </dgm:t>
    </dgm:pt>
    <dgm:pt modelId="{43AFCDFB-9CEB-914A-983B-ABADBB858C8D}" type="pres">
      <dgm:prSet presAssocID="{4196489D-3D1D-804F-A072-1DD909687792}" presName="hierChild3" presStyleCnt="0"/>
      <dgm:spPr/>
    </dgm:pt>
    <dgm:pt modelId="{C0EBB89C-1132-2541-9ED1-E42B8D95D842}" type="pres">
      <dgm:prSet presAssocID="{4CD9C9A4-DD32-1B4A-A3E3-F6314ABD9D58}" presName="Name19" presStyleLbl="parChTrans1D2" presStyleIdx="2" presStyleCnt="8"/>
      <dgm:spPr>
        <a:custGeom>
          <a:avLst/>
          <a:gdLst/>
          <a:ahLst/>
          <a:cxnLst/>
          <a:rect l="0" t="0" r="0" b="0"/>
          <a:pathLst>
            <a:path>
              <a:moveTo>
                <a:pt x="801820" y="0"/>
              </a:moveTo>
              <a:lnTo>
                <a:pt x="801820" y="286200"/>
              </a:lnTo>
              <a:lnTo>
                <a:pt x="0" y="286200"/>
              </a:lnTo>
              <a:lnTo>
                <a:pt x="0" y="572400"/>
              </a:lnTo>
            </a:path>
          </a:pathLst>
        </a:custGeom>
      </dgm:spPr>
      <dgm:t>
        <a:bodyPr/>
        <a:lstStyle/>
        <a:p>
          <a:endParaRPr lang="en-GB"/>
        </a:p>
      </dgm:t>
    </dgm:pt>
    <dgm:pt modelId="{BAD414E8-0D5B-AC47-9582-BDC197310350}" type="pres">
      <dgm:prSet presAssocID="{9EEABB3A-9DF3-7140-8EED-2052069C50D4}" presName="Name21" presStyleCnt="0"/>
      <dgm:spPr/>
    </dgm:pt>
    <dgm:pt modelId="{848BD61E-7034-FC4C-B002-24045EF7895D}" type="pres">
      <dgm:prSet presAssocID="{9EEABB3A-9DF3-7140-8EED-2052069C50D4}" presName="level2Shape" presStyleLbl="node2" presStyleIdx="2" presStyleCnt="8" custLinFactY="100000" custLinFactNeighborX="1206" custLinFactNeighborY="146029"/>
      <dgm:spPr>
        <a:prstGeom prst="roundRect">
          <a:avLst>
            <a:gd name="adj" fmla="val 10000"/>
          </a:avLst>
        </a:prstGeom>
      </dgm:spPr>
      <dgm:t>
        <a:bodyPr/>
        <a:lstStyle/>
        <a:p>
          <a:endParaRPr lang="en-GB"/>
        </a:p>
      </dgm:t>
    </dgm:pt>
    <dgm:pt modelId="{D1011A4B-D4D5-C84A-B1BA-FAEBE6560D1F}" type="pres">
      <dgm:prSet presAssocID="{9EEABB3A-9DF3-7140-8EED-2052069C50D4}" presName="hierChild3" presStyleCnt="0"/>
      <dgm:spPr/>
    </dgm:pt>
    <dgm:pt modelId="{938F8DE4-BC3C-E04A-9D33-BD7E4738FDB9}" type="pres">
      <dgm:prSet presAssocID="{34A06777-FEB7-8849-BC2E-C9F007D96290}" presName="Name19" presStyleLbl="parChTrans1D3" presStyleIdx="2" presStyleCnt="6"/>
      <dgm:spPr>
        <a:custGeom>
          <a:avLst/>
          <a:gdLst/>
          <a:ahLst/>
          <a:cxnLst/>
          <a:rect l="0" t="0" r="0" b="0"/>
          <a:pathLst>
            <a:path>
              <a:moveTo>
                <a:pt x="45720" y="0"/>
              </a:moveTo>
              <a:lnTo>
                <a:pt x="45720" y="514583"/>
              </a:lnTo>
            </a:path>
          </a:pathLst>
        </a:custGeom>
      </dgm:spPr>
      <dgm:t>
        <a:bodyPr/>
        <a:lstStyle/>
        <a:p>
          <a:endParaRPr lang="en-GB"/>
        </a:p>
      </dgm:t>
    </dgm:pt>
    <dgm:pt modelId="{58058ED5-0200-0D45-AC72-DB31F8FB3083}" type="pres">
      <dgm:prSet presAssocID="{EEC20706-13E8-154A-88B2-6B376CC7E88A}" presName="Name21" presStyleCnt="0"/>
      <dgm:spPr/>
    </dgm:pt>
    <dgm:pt modelId="{419060F1-1FE3-4448-AA66-AC37920503D6}" type="pres">
      <dgm:prSet presAssocID="{EEC20706-13E8-154A-88B2-6B376CC7E88A}" presName="level2Shape" presStyleLbl="node3" presStyleIdx="2" presStyleCnt="6" custLinFactY="198164" custLinFactNeighborX="1206" custLinFactNeighborY="200000"/>
      <dgm:spPr>
        <a:prstGeom prst="roundRect">
          <a:avLst>
            <a:gd name="adj" fmla="val 10000"/>
          </a:avLst>
        </a:prstGeom>
      </dgm:spPr>
      <dgm:t>
        <a:bodyPr/>
        <a:lstStyle/>
        <a:p>
          <a:endParaRPr lang="en-GB"/>
        </a:p>
      </dgm:t>
    </dgm:pt>
    <dgm:pt modelId="{33424224-F24E-3A43-A5E1-4966FD3E5F69}" type="pres">
      <dgm:prSet presAssocID="{EEC20706-13E8-154A-88B2-6B376CC7E88A}" presName="hierChild3" presStyleCnt="0"/>
      <dgm:spPr/>
    </dgm:pt>
    <dgm:pt modelId="{5C898253-548E-DA4F-B5CF-0D8464743193}" type="pres">
      <dgm:prSet presAssocID="{07B6ADD5-0041-CD43-A00D-1452555C612E}" presName="Name19" presStyleLbl="parChTrans1D4" presStyleIdx="2" presStyleCnt="6"/>
      <dgm:spPr>
        <a:custGeom>
          <a:avLst/>
          <a:gdLst/>
          <a:ahLst/>
          <a:cxnLst/>
          <a:rect l="0" t="0" r="0" b="0"/>
          <a:pathLst>
            <a:path>
              <a:moveTo>
                <a:pt x="45720" y="0"/>
              </a:moveTo>
              <a:lnTo>
                <a:pt x="45720" y="514580"/>
              </a:lnTo>
            </a:path>
          </a:pathLst>
        </a:custGeom>
      </dgm:spPr>
      <dgm:t>
        <a:bodyPr/>
        <a:lstStyle/>
        <a:p>
          <a:endParaRPr lang="en-GB"/>
        </a:p>
      </dgm:t>
    </dgm:pt>
    <dgm:pt modelId="{9EC81F4B-F6FF-0742-A473-AD35EBB2A246}" type="pres">
      <dgm:prSet presAssocID="{413D1223-8B14-0C4D-9079-D850E9593A27}" presName="Name21" presStyleCnt="0"/>
      <dgm:spPr/>
    </dgm:pt>
    <dgm:pt modelId="{681CA204-4193-3A42-9412-6EBD5A9B1A3B}" type="pres">
      <dgm:prSet presAssocID="{413D1223-8B14-0C4D-9079-D850E9593A27}" presName="level2Shape" presStyleLbl="node4" presStyleIdx="2" presStyleCnt="6" custLinFactY="250298" custLinFactNeighborX="1206" custLinFactNeighborY="300000"/>
      <dgm:spPr>
        <a:prstGeom prst="roundRect">
          <a:avLst>
            <a:gd name="adj" fmla="val 10000"/>
          </a:avLst>
        </a:prstGeom>
      </dgm:spPr>
      <dgm:t>
        <a:bodyPr/>
        <a:lstStyle/>
        <a:p>
          <a:endParaRPr lang="en-GB"/>
        </a:p>
      </dgm:t>
    </dgm:pt>
    <dgm:pt modelId="{4299A0BF-E966-0344-BFCD-835296E0523B}" type="pres">
      <dgm:prSet presAssocID="{413D1223-8B14-0C4D-9079-D850E9593A27}" presName="hierChild3" presStyleCnt="0"/>
      <dgm:spPr/>
    </dgm:pt>
    <dgm:pt modelId="{52DFEFD5-E777-0B40-9876-8A86E56ACCFD}" type="pres">
      <dgm:prSet presAssocID="{0E83D78C-A27C-DD43-A65D-6D4F3D0D162D}" presName="Name19" presStyleLbl="parChTrans1D2" presStyleIdx="3" presStyleCnt="8"/>
      <dgm:spPr>
        <a:custGeom>
          <a:avLst/>
          <a:gdLst/>
          <a:ahLst/>
          <a:cxnLst/>
          <a:rect l="0" t="0" r="0" b="0"/>
          <a:pathLst>
            <a:path>
              <a:moveTo>
                <a:pt x="280214" y="0"/>
              </a:moveTo>
              <a:lnTo>
                <a:pt x="280214" y="286200"/>
              </a:lnTo>
              <a:lnTo>
                <a:pt x="0" y="286200"/>
              </a:lnTo>
              <a:lnTo>
                <a:pt x="0" y="572400"/>
              </a:lnTo>
            </a:path>
          </a:pathLst>
        </a:custGeom>
      </dgm:spPr>
      <dgm:t>
        <a:bodyPr/>
        <a:lstStyle/>
        <a:p>
          <a:endParaRPr lang="en-GB"/>
        </a:p>
      </dgm:t>
    </dgm:pt>
    <dgm:pt modelId="{7DF25F93-6717-F144-B10C-908BEB663F6E}" type="pres">
      <dgm:prSet presAssocID="{546B15FE-F68C-9840-A23F-29CFE8426A8D}" presName="Name21" presStyleCnt="0"/>
      <dgm:spPr/>
    </dgm:pt>
    <dgm:pt modelId="{38082CAD-FF11-624D-BB5B-EAE17C644611}" type="pres">
      <dgm:prSet presAssocID="{546B15FE-F68C-9840-A23F-29CFE8426A8D}" presName="level2Shape" presStyleLbl="node2" presStyleIdx="3" presStyleCnt="8" custLinFactY="100000" custLinFactNeighborX="1044" custLinFactNeighborY="146029"/>
      <dgm:spPr>
        <a:prstGeom prst="roundRect">
          <a:avLst>
            <a:gd name="adj" fmla="val 10000"/>
          </a:avLst>
        </a:prstGeom>
      </dgm:spPr>
      <dgm:t>
        <a:bodyPr/>
        <a:lstStyle/>
        <a:p>
          <a:endParaRPr lang="en-GB"/>
        </a:p>
      </dgm:t>
    </dgm:pt>
    <dgm:pt modelId="{2B78167A-D2C7-6B48-9203-892286F75E93}" type="pres">
      <dgm:prSet presAssocID="{546B15FE-F68C-9840-A23F-29CFE8426A8D}" presName="hierChild3" presStyleCnt="0"/>
      <dgm:spPr/>
    </dgm:pt>
    <dgm:pt modelId="{09A88717-8E93-D546-935B-85D3A6556405}" type="pres">
      <dgm:prSet presAssocID="{9AD2E87F-8916-304B-BFBA-4C091949B53A}" presName="Name19" presStyleLbl="parChTrans1D3" presStyleIdx="3" presStyleCnt="6"/>
      <dgm:spPr>
        <a:custGeom>
          <a:avLst/>
          <a:gdLst/>
          <a:ahLst/>
          <a:cxnLst/>
          <a:rect l="0" t="0" r="0" b="0"/>
          <a:pathLst>
            <a:path>
              <a:moveTo>
                <a:pt x="45720" y="0"/>
              </a:moveTo>
              <a:lnTo>
                <a:pt x="45720" y="514583"/>
              </a:lnTo>
            </a:path>
          </a:pathLst>
        </a:custGeom>
      </dgm:spPr>
      <dgm:t>
        <a:bodyPr/>
        <a:lstStyle/>
        <a:p>
          <a:endParaRPr lang="en-GB"/>
        </a:p>
      </dgm:t>
    </dgm:pt>
    <dgm:pt modelId="{0AE929DA-1055-A847-A6B3-23B25DC95CCA}" type="pres">
      <dgm:prSet presAssocID="{C9F36DA2-7EA2-7F42-AE72-A73F350F27C4}" presName="Name21" presStyleCnt="0"/>
      <dgm:spPr/>
    </dgm:pt>
    <dgm:pt modelId="{31849D49-4FB4-5D44-B96B-45A423FB93FD}" type="pres">
      <dgm:prSet presAssocID="{C9F36DA2-7EA2-7F42-AE72-A73F350F27C4}" presName="level2Shape" presStyleLbl="node3" presStyleIdx="3" presStyleCnt="6" custLinFactY="198164" custLinFactNeighborX="1044" custLinFactNeighborY="200000"/>
      <dgm:spPr>
        <a:prstGeom prst="roundRect">
          <a:avLst>
            <a:gd name="adj" fmla="val 10000"/>
          </a:avLst>
        </a:prstGeom>
      </dgm:spPr>
      <dgm:t>
        <a:bodyPr/>
        <a:lstStyle/>
        <a:p>
          <a:endParaRPr lang="en-GB"/>
        </a:p>
      </dgm:t>
    </dgm:pt>
    <dgm:pt modelId="{B34A12F8-610D-2C49-A9F3-6126C2E7B87E}" type="pres">
      <dgm:prSet presAssocID="{C9F36DA2-7EA2-7F42-AE72-A73F350F27C4}" presName="hierChild3" presStyleCnt="0"/>
      <dgm:spPr/>
    </dgm:pt>
    <dgm:pt modelId="{4EF12772-E395-3F4F-AA83-20CB7EB080A7}" type="pres">
      <dgm:prSet presAssocID="{7E03E3B6-CF2E-0F46-BEBF-B065945CA5E7}" presName="Name19" presStyleLbl="parChTrans1D4" presStyleIdx="3" presStyleCnt="6"/>
      <dgm:spPr>
        <a:custGeom>
          <a:avLst/>
          <a:gdLst/>
          <a:ahLst/>
          <a:cxnLst/>
          <a:rect l="0" t="0" r="0" b="0"/>
          <a:pathLst>
            <a:path>
              <a:moveTo>
                <a:pt x="45720" y="0"/>
              </a:moveTo>
              <a:lnTo>
                <a:pt x="45720" y="514580"/>
              </a:lnTo>
            </a:path>
          </a:pathLst>
        </a:custGeom>
      </dgm:spPr>
      <dgm:t>
        <a:bodyPr/>
        <a:lstStyle/>
        <a:p>
          <a:endParaRPr lang="en-GB"/>
        </a:p>
      </dgm:t>
    </dgm:pt>
    <dgm:pt modelId="{2858935F-0048-6945-96B4-E10B0D028762}" type="pres">
      <dgm:prSet presAssocID="{D278D4A5-BF6B-6043-BFC0-20C729BB1EAB}" presName="Name21" presStyleCnt="0"/>
      <dgm:spPr/>
    </dgm:pt>
    <dgm:pt modelId="{F13AC43B-3701-654C-A9CA-8B597AF5D20B}" type="pres">
      <dgm:prSet presAssocID="{D278D4A5-BF6B-6043-BFC0-20C729BB1EAB}" presName="level2Shape" presStyleLbl="node4" presStyleIdx="3" presStyleCnt="6" custLinFactY="250298" custLinFactNeighborX="1044" custLinFactNeighborY="300000"/>
      <dgm:spPr>
        <a:prstGeom prst="roundRect">
          <a:avLst>
            <a:gd name="adj" fmla="val 10000"/>
          </a:avLst>
        </a:prstGeom>
      </dgm:spPr>
      <dgm:t>
        <a:bodyPr/>
        <a:lstStyle/>
        <a:p>
          <a:endParaRPr lang="en-GB"/>
        </a:p>
      </dgm:t>
    </dgm:pt>
    <dgm:pt modelId="{546B952E-44CB-6C4A-B499-6D644D1EB9DE}" type="pres">
      <dgm:prSet presAssocID="{D278D4A5-BF6B-6043-BFC0-20C729BB1EAB}" presName="hierChild3" presStyleCnt="0"/>
      <dgm:spPr/>
    </dgm:pt>
    <dgm:pt modelId="{2F7493ED-AEBB-7F4D-B24E-B156DF26D80A}" type="pres">
      <dgm:prSet presAssocID="{198A045A-08AB-8F40-B0C1-B6378EA8F449}" presName="Name19" presStyleLbl="parChTrans1D2" presStyleIdx="4" presStyleCnt="8"/>
      <dgm:spPr>
        <a:custGeom>
          <a:avLst/>
          <a:gdLst/>
          <a:ahLst/>
          <a:cxnLst/>
          <a:rect l="0" t="0" r="0" b="0"/>
          <a:pathLst>
            <a:path>
              <a:moveTo>
                <a:pt x="0" y="0"/>
              </a:moveTo>
              <a:lnTo>
                <a:pt x="0" y="286200"/>
              </a:lnTo>
              <a:lnTo>
                <a:pt x="241386" y="286200"/>
              </a:lnTo>
              <a:lnTo>
                <a:pt x="241386" y="572400"/>
              </a:lnTo>
            </a:path>
          </a:pathLst>
        </a:custGeom>
      </dgm:spPr>
      <dgm:t>
        <a:bodyPr/>
        <a:lstStyle/>
        <a:p>
          <a:endParaRPr lang="en-GB"/>
        </a:p>
      </dgm:t>
    </dgm:pt>
    <dgm:pt modelId="{609D34A2-93DE-0B47-ADDC-A1363910BBF9}" type="pres">
      <dgm:prSet presAssocID="{095B5F75-A839-6C41-8880-E2A75A14D33A}" presName="Name21" presStyleCnt="0"/>
      <dgm:spPr/>
    </dgm:pt>
    <dgm:pt modelId="{A4EA9C09-8BDB-8D4C-8898-AA92AB480B55}" type="pres">
      <dgm:prSet presAssocID="{095B5F75-A839-6C41-8880-E2A75A14D33A}" presName="level2Shape" presStyleLbl="node2" presStyleIdx="4" presStyleCnt="8" custLinFactY="100000" custLinFactNeighborX="881" custLinFactNeighborY="146029"/>
      <dgm:spPr>
        <a:prstGeom prst="roundRect">
          <a:avLst>
            <a:gd name="adj" fmla="val 10000"/>
          </a:avLst>
        </a:prstGeom>
      </dgm:spPr>
      <dgm:t>
        <a:bodyPr/>
        <a:lstStyle/>
        <a:p>
          <a:endParaRPr lang="en-GB"/>
        </a:p>
      </dgm:t>
    </dgm:pt>
    <dgm:pt modelId="{52A02CAA-E195-694C-B3F1-70985322B133}" type="pres">
      <dgm:prSet presAssocID="{095B5F75-A839-6C41-8880-E2A75A14D33A}" presName="hierChild3" presStyleCnt="0"/>
      <dgm:spPr/>
    </dgm:pt>
    <dgm:pt modelId="{FE84D422-D38E-E147-BBCA-B8672E335698}" type="pres">
      <dgm:prSet presAssocID="{56759E16-5C0C-0A41-8B9D-F5616BD1AEA9}" presName="Name19" presStyleLbl="parChTrans1D2" presStyleIdx="5" presStyleCnt="8"/>
      <dgm:spPr>
        <a:custGeom>
          <a:avLst/>
          <a:gdLst/>
          <a:ahLst/>
          <a:cxnLst/>
          <a:rect l="0" t="0" r="0" b="0"/>
          <a:pathLst>
            <a:path>
              <a:moveTo>
                <a:pt x="0" y="0"/>
              </a:moveTo>
              <a:lnTo>
                <a:pt x="0" y="286200"/>
              </a:lnTo>
              <a:lnTo>
                <a:pt x="762988" y="286200"/>
              </a:lnTo>
              <a:lnTo>
                <a:pt x="762988" y="572400"/>
              </a:lnTo>
            </a:path>
          </a:pathLst>
        </a:custGeom>
      </dgm:spPr>
      <dgm:t>
        <a:bodyPr/>
        <a:lstStyle/>
        <a:p>
          <a:endParaRPr lang="en-GB"/>
        </a:p>
      </dgm:t>
    </dgm:pt>
    <dgm:pt modelId="{69AADF95-7363-9D4E-B79E-2B85ED8C7899}" type="pres">
      <dgm:prSet presAssocID="{A02939A8-7C25-B043-8EA8-596BE396E372}" presName="Name21" presStyleCnt="0"/>
      <dgm:spPr/>
    </dgm:pt>
    <dgm:pt modelId="{34BDA8E4-074B-E24C-83B6-E761FE08AA16}" type="pres">
      <dgm:prSet presAssocID="{A02939A8-7C25-B043-8EA8-596BE396E372}" presName="level2Shape" presStyleLbl="node2" presStyleIdx="5" presStyleCnt="8" custLinFactY="100000" custLinFactNeighborX="718" custLinFactNeighborY="146029"/>
      <dgm:spPr>
        <a:prstGeom prst="roundRect">
          <a:avLst>
            <a:gd name="adj" fmla="val 10000"/>
          </a:avLst>
        </a:prstGeom>
      </dgm:spPr>
      <dgm:t>
        <a:bodyPr/>
        <a:lstStyle/>
        <a:p>
          <a:endParaRPr lang="en-GB"/>
        </a:p>
      </dgm:t>
    </dgm:pt>
    <dgm:pt modelId="{44946649-6575-F74F-BF6B-8D5E4E37BDB0}" type="pres">
      <dgm:prSet presAssocID="{A02939A8-7C25-B043-8EA8-596BE396E372}" presName="hierChild3" presStyleCnt="0"/>
      <dgm:spPr/>
    </dgm:pt>
    <dgm:pt modelId="{7EB36DB8-3514-7340-A480-159548F62196}" type="pres">
      <dgm:prSet presAssocID="{40E93012-1C9F-0144-83B0-B354F3C6A963}" presName="Name19" presStyleLbl="parChTrans1D3" presStyleIdx="4" presStyleCnt="6"/>
      <dgm:spPr>
        <a:custGeom>
          <a:avLst/>
          <a:gdLst/>
          <a:ahLst/>
          <a:cxnLst/>
          <a:rect l="0" t="0" r="0" b="0"/>
          <a:pathLst>
            <a:path>
              <a:moveTo>
                <a:pt x="45720" y="0"/>
              </a:moveTo>
              <a:lnTo>
                <a:pt x="45720" y="514583"/>
              </a:lnTo>
            </a:path>
          </a:pathLst>
        </a:custGeom>
      </dgm:spPr>
      <dgm:t>
        <a:bodyPr/>
        <a:lstStyle/>
        <a:p>
          <a:endParaRPr lang="en-GB"/>
        </a:p>
      </dgm:t>
    </dgm:pt>
    <dgm:pt modelId="{FF27632D-4D7B-9D4F-BFC8-AD959ADE53BF}" type="pres">
      <dgm:prSet presAssocID="{A31A0470-314B-AA41-8402-ABFAEA0D5638}" presName="Name21" presStyleCnt="0"/>
      <dgm:spPr/>
    </dgm:pt>
    <dgm:pt modelId="{AB694EDF-CA1D-6445-A44B-56A99ED1427E}" type="pres">
      <dgm:prSet presAssocID="{A31A0470-314B-AA41-8402-ABFAEA0D5638}" presName="level2Shape" presStyleLbl="node3" presStyleIdx="4" presStyleCnt="6" custLinFactY="198164" custLinFactNeighborX="718" custLinFactNeighborY="200000"/>
      <dgm:spPr>
        <a:prstGeom prst="roundRect">
          <a:avLst>
            <a:gd name="adj" fmla="val 10000"/>
          </a:avLst>
        </a:prstGeom>
      </dgm:spPr>
      <dgm:t>
        <a:bodyPr/>
        <a:lstStyle/>
        <a:p>
          <a:endParaRPr lang="en-GB"/>
        </a:p>
      </dgm:t>
    </dgm:pt>
    <dgm:pt modelId="{31530A80-65F9-3043-82B0-F060182F43FA}" type="pres">
      <dgm:prSet presAssocID="{A31A0470-314B-AA41-8402-ABFAEA0D5638}" presName="hierChild3" presStyleCnt="0"/>
      <dgm:spPr/>
    </dgm:pt>
    <dgm:pt modelId="{B1A33558-C3FD-3B43-BDA5-1ED83C38D871}" type="pres">
      <dgm:prSet presAssocID="{B0A63B65-0BDA-9E4B-9819-5A91710A6709}" presName="Name19" presStyleLbl="parChTrans1D4" presStyleIdx="4" presStyleCnt="6"/>
      <dgm:spPr>
        <a:custGeom>
          <a:avLst/>
          <a:gdLst/>
          <a:ahLst/>
          <a:cxnLst/>
          <a:rect l="0" t="0" r="0" b="0"/>
          <a:pathLst>
            <a:path>
              <a:moveTo>
                <a:pt x="45720" y="0"/>
              </a:moveTo>
              <a:lnTo>
                <a:pt x="45720" y="514580"/>
              </a:lnTo>
            </a:path>
          </a:pathLst>
        </a:custGeom>
      </dgm:spPr>
      <dgm:t>
        <a:bodyPr/>
        <a:lstStyle/>
        <a:p>
          <a:endParaRPr lang="en-GB"/>
        </a:p>
      </dgm:t>
    </dgm:pt>
    <dgm:pt modelId="{5F037764-5E6A-734D-80AA-C2C62532F4A2}" type="pres">
      <dgm:prSet presAssocID="{16DA4B72-2A32-3F40-B48E-89944475CEDF}" presName="Name21" presStyleCnt="0"/>
      <dgm:spPr/>
    </dgm:pt>
    <dgm:pt modelId="{44F850AE-ADB9-DC4D-B3CE-5C45F5F15B3E}" type="pres">
      <dgm:prSet presAssocID="{16DA4B72-2A32-3F40-B48E-89944475CEDF}" presName="level2Shape" presStyleLbl="node4" presStyleIdx="4" presStyleCnt="6" custLinFactY="250298" custLinFactNeighborX="718" custLinFactNeighborY="300000"/>
      <dgm:spPr>
        <a:prstGeom prst="roundRect">
          <a:avLst>
            <a:gd name="adj" fmla="val 10000"/>
          </a:avLst>
        </a:prstGeom>
      </dgm:spPr>
      <dgm:t>
        <a:bodyPr/>
        <a:lstStyle/>
        <a:p>
          <a:endParaRPr lang="en-GB"/>
        </a:p>
      </dgm:t>
    </dgm:pt>
    <dgm:pt modelId="{9802EA9A-56C7-2C43-9911-5B2701F4779B}" type="pres">
      <dgm:prSet presAssocID="{16DA4B72-2A32-3F40-B48E-89944475CEDF}" presName="hierChild3" presStyleCnt="0"/>
      <dgm:spPr/>
    </dgm:pt>
    <dgm:pt modelId="{46CFD97B-B0E6-A54A-9802-F98DB8D4D6E8}" type="pres">
      <dgm:prSet presAssocID="{E0E76BAD-5AAA-AA4B-849D-E9532227E224}" presName="Name19" presStyleLbl="parChTrans1D4" presStyleIdx="5" presStyleCnt="6"/>
      <dgm:spPr>
        <a:custGeom>
          <a:avLst/>
          <a:gdLst/>
          <a:ahLst/>
          <a:cxnLst/>
          <a:rect l="0" t="0" r="0" b="0"/>
          <a:pathLst>
            <a:path>
              <a:moveTo>
                <a:pt x="45720" y="0"/>
              </a:moveTo>
              <a:lnTo>
                <a:pt x="45720" y="514580"/>
              </a:lnTo>
            </a:path>
          </a:pathLst>
        </a:custGeom>
      </dgm:spPr>
      <dgm:t>
        <a:bodyPr/>
        <a:lstStyle/>
        <a:p>
          <a:endParaRPr lang="en-GB"/>
        </a:p>
      </dgm:t>
    </dgm:pt>
    <dgm:pt modelId="{57196567-5BC9-E54F-A021-4A63CFD0B434}" type="pres">
      <dgm:prSet presAssocID="{6316FE2B-8142-494D-99CF-8CEF7AF5108A}" presName="Name21" presStyleCnt="0"/>
      <dgm:spPr/>
    </dgm:pt>
    <dgm:pt modelId="{77A67DB0-B265-BC43-A7CB-0CCB4E79D8E2}" type="pres">
      <dgm:prSet presAssocID="{6316FE2B-8142-494D-99CF-8CEF7AF5108A}" presName="level2Shape" presStyleLbl="node4" presStyleIdx="5" presStyleCnt="6" custLinFactY="302432" custLinFactNeighborX="718" custLinFactNeighborY="400000"/>
      <dgm:spPr>
        <a:prstGeom prst="roundRect">
          <a:avLst>
            <a:gd name="adj" fmla="val 10000"/>
          </a:avLst>
        </a:prstGeom>
      </dgm:spPr>
      <dgm:t>
        <a:bodyPr/>
        <a:lstStyle/>
        <a:p>
          <a:endParaRPr lang="en-GB"/>
        </a:p>
      </dgm:t>
    </dgm:pt>
    <dgm:pt modelId="{0D378720-F77A-504E-BDFF-528BDA39FC7D}" type="pres">
      <dgm:prSet presAssocID="{6316FE2B-8142-494D-99CF-8CEF7AF5108A}" presName="hierChild3" presStyleCnt="0"/>
      <dgm:spPr/>
    </dgm:pt>
    <dgm:pt modelId="{060CC184-2F23-2448-85A5-F170983B1D05}" type="pres">
      <dgm:prSet presAssocID="{E45BE058-E881-CD4F-A547-202FA9D7DD78}" presName="Name19" presStyleLbl="parChTrans1D2" presStyleIdx="6" presStyleCnt="8"/>
      <dgm:spPr>
        <a:custGeom>
          <a:avLst/>
          <a:gdLst/>
          <a:ahLst/>
          <a:cxnLst/>
          <a:rect l="0" t="0" r="0" b="0"/>
          <a:pathLst>
            <a:path>
              <a:moveTo>
                <a:pt x="0" y="0"/>
              </a:moveTo>
              <a:lnTo>
                <a:pt x="0" y="286200"/>
              </a:lnTo>
              <a:lnTo>
                <a:pt x="1284593" y="286200"/>
              </a:lnTo>
              <a:lnTo>
                <a:pt x="1284593" y="572400"/>
              </a:lnTo>
            </a:path>
          </a:pathLst>
        </a:custGeom>
      </dgm:spPr>
      <dgm:t>
        <a:bodyPr/>
        <a:lstStyle/>
        <a:p>
          <a:endParaRPr lang="en-GB"/>
        </a:p>
      </dgm:t>
    </dgm:pt>
    <dgm:pt modelId="{BB368485-931A-CE49-9D14-33CB9215D1F3}" type="pres">
      <dgm:prSet presAssocID="{488B84D1-47F4-2548-981C-E89EF031E116}" presName="Name21" presStyleCnt="0"/>
      <dgm:spPr/>
    </dgm:pt>
    <dgm:pt modelId="{7ADAC34F-D397-8842-B46F-22D67905F0C8}" type="pres">
      <dgm:prSet presAssocID="{488B84D1-47F4-2548-981C-E89EF031E116}" presName="level2Shape" presStyleLbl="node2" presStyleIdx="6" presStyleCnt="8" custLinFactY="100000" custLinFactNeighborX="556" custLinFactNeighborY="146029"/>
      <dgm:spPr>
        <a:prstGeom prst="roundRect">
          <a:avLst>
            <a:gd name="adj" fmla="val 10000"/>
          </a:avLst>
        </a:prstGeom>
      </dgm:spPr>
      <dgm:t>
        <a:bodyPr/>
        <a:lstStyle/>
        <a:p>
          <a:endParaRPr lang="en-GB"/>
        </a:p>
      </dgm:t>
    </dgm:pt>
    <dgm:pt modelId="{ECE00C53-67CE-F94B-935F-D498E8E48E2D}" type="pres">
      <dgm:prSet presAssocID="{488B84D1-47F4-2548-981C-E89EF031E116}" presName="hierChild3" presStyleCnt="0"/>
      <dgm:spPr/>
    </dgm:pt>
    <dgm:pt modelId="{C9566D97-C3F0-7F4F-B0B3-4F23B5612AEC}" type="pres">
      <dgm:prSet presAssocID="{96E5278C-FBD7-9640-8672-CF27337788B4}" presName="Name19" presStyleLbl="parChTrans1D3" presStyleIdx="5" presStyleCnt="6"/>
      <dgm:spPr>
        <a:custGeom>
          <a:avLst/>
          <a:gdLst/>
          <a:ahLst/>
          <a:cxnLst/>
          <a:rect l="0" t="0" r="0" b="0"/>
          <a:pathLst>
            <a:path>
              <a:moveTo>
                <a:pt x="45720" y="0"/>
              </a:moveTo>
              <a:lnTo>
                <a:pt x="45720" y="514583"/>
              </a:lnTo>
            </a:path>
          </a:pathLst>
        </a:custGeom>
      </dgm:spPr>
      <dgm:t>
        <a:bodyPr/>
        <a:lstStyle/>
        <a:p>
          <a:endParaRPr lang="en-GB"/>
        </a:p>
      </dgm:t>
    </dgm:pt>
    <dgm:pt modelId="{50648C9E-0981-BF47-AA40-7CE5857FF5CD}" type="pres">
      <dgm:prSet presAssocID="{72C91F37-8030-9847-8473-CB06007807E6}" presName="Name21" presStyleCnt="0"/>
      <dgm:spPr/>
    </dgm:pt>
    <dgm:pt modelId="{5FFCCE20-97FB-9B4B-B626-B86C40ADBABD}" type="pres">
      <dgm:prSet presAssocID="{72C91F37-8030-9847-8473-CB06007807E6}" presName="level2Shape" presStyleLbl="node3" presStyleIdx="5" presStyleCnt="6" custLinFactY="198164" custLinFactNeighborX="556" custLinFactNeighborY="200000"/>
      <dgm:spPr>
        <a:prstGeom prst="roundRect">
          <a:avLst>
            <a:gd name="adj" fmla="val 10000"/>
          </a:avLst>
        </a:prstGeom>
      </dgm:spPr>
      <dgm:t>
        <a:bodyPr/>
        <a:lstStyle/>
        <a:p>
          <a:endParaRPr lang="en-GB"/>
        </a:p>
      </dgm:t>
    </dgm:pt>
    <dgm:pt modelId="{EC906E19-C382-A14D-B707-3302B27284FF}" type="pres">
      <dgm:prSet presAssocID="{72C91F37-8030-9847-8473-CB06007807E6}" presName="hierChild3" presStyleCnt="0"/>
      <dgm:spPr/>
    </dgm:pt>
    <dgm:pt modelId="{6020B5B9-8A87-B349-A4D7-B722917DFA10}" type="pres">
      <dgm:prSet presAssocID="{C93A0527-519B-6E40-9796-B1C029F555B2}" presName="Name19" presStyleLbl="parChTrans1D2" presStyleIdx="7" presStyleCnt="8"/>
      <dgm:spPr>
        <a:custGeom>
          <a:avLst/>
          <a:gdLst/>
          <a:ahLst/>
          <a:cxnLst/>
          <a:rect l="0" t="0" r="0" b="0"/>
          <a:pathLst>
            <a:path>
              <a:moveTo>
                <a:pt x="0" y="0"/>
              </a:moveTo>
              <a:lnTo>
                <a:pt x="0" y="286200"/>
              </a:lnTo>
              <a:lnTo>
                <a:pt x="1806195" y="286200"/>
              </a:lnTo>
              <a:lnTo>
                <a:pt x="1806195" y="572400"/>
              </a:lnTo>
            </a:path>
          </a:pathLst>
        </a:custGeom>
      </dgm:spPr>
      <dgm:t>
        <a:bodyPr/>
        <a:lstStyle/>
        <a:p>
          <a:endParaRPr lang="en-GB"/>
        </a:p>
      </dgm:t>
    </dgm:pt>
    <dgm:pt modelId="{08E76752-FED3-A24E-B056-0199EACA4F95}" type="pres">
      <dgm:prSet presAssocID="{7522B946-4048-4C4F-830C-78F6EAA6A8D0}" presName="Name21" presStyleCnt="0"/>
      <dgm:spPr/>
    </dgm:pt>
    <dgm:pt modelId="{D010171C-E8BF-3849-A32B-5F1E7A65FCD6}" type="pres">
      <dgm:prSet presAssocID="{7522B946-4048-4C4F-830C-78F6EAA6A8D0}" presName="level2Shape" presStyleLbl="node2" presStyleIdx="7" presStyleCnt="8" custLinFactY="100000" custLinFactNeighborX="393" custLinFactNeighborY="146029"/>
      <dgm:spPr>
        <a:prstGeom prst="roundRect">
          <a:avLst>
            <a:gd name="adj" fmla="val 10000"/>
          </a:avLst>
        </a:prstGeom>
      </dgm:spPr>
      <dgm:t>
        <a:bodyPr/>
        <a:lstStyle/>
        <a:p>
          <a:endParaRPr lang="en-GB"/>
        </a:p>
      </dgm:t>
    </dgm:pt>
    <dgm:pt modelId="{D94E4251-85CE-E345-978C-9DFE03F99970}" type="pres">
      <dgm:prSet presAssocID="{7522B946-4048-4C4F-830C-78F6EAA6A8D0}" presName="hierChild3" presStyleCnt="0"/>
      <dgm:spPr/>
    </dgm:pt>
    <dgm:pt modelId="{AF8EF975-95A8-E84F-9EB8-36511B5F37DE}" type="pres">
      <dgm:prSet presAssocID="{530B6A35-6D72-A248-810B-7F87BB89C855}" presName="bgShapesFlow" presStyleCnt="0"/>
      <dgm:spPr/>
    </dgm:pt>
    <dgm:pt modelId="{7258129A-3F1D-B64A-8580-8ACEA0D7AAD2}" type="pres">
      <dgm:prSet presAssocID="{6A23C257-3DBA-8E4D-B0BF-E7E3E7E9336E}" presName="rectComp" presStyleCnt="0"/>
      <dgm:spPr/>
    </dgm:pt>
    <dgm:pt modelId="{C90DF278-E356-2C49-9278-72956A827DBF}" type="pres">
      <dgm:prSet presAssocID="{6A23C257-3DBA-8E4D-B0BF-E7E3E7E9336E}" presName="bgRect" presStyleLbl="bgShp" presStyleIdx="0" presStyleCnt="5" custScaleY="242687" custLinFactY="-162330" custLinFactNeighborX="-32617" custLinFactNeighborY="-200000"/>
      <dgm:spPr>
        <a:prstGeom prst="roundRect">
          <a:avLst>
            <a:gd name="adj" fmla="val 10000"/>
          </a:avLst>
        </a:prstGeom>
      </dgm:spPr>
      <dgm:t>
        <a:bodyPr/>
        <a:lstStyle/>
        <a:p>
          <a:endParaRPr lang="en-GB"/>
        </a:p>
      </dgm:t>
    </dgm:pt>
    <dgm:pt modelId="{8D0E4A8A-B041-6349-A168-22675ABE1E24}" type="pres">
      <dgm:prSet presAssocID="{6A23C257-3DBA-8E4D-B0BF-E7E3E7E9336E}" presName="bgRectTx" presStyleLbl="bgShp" presStyleIdx="0" presStyleCnt="5">
        <dgm:presLayoutVars>
          <dgm:bulletEnabled val="1"/>
        </dgm:presLayoutVars>
      </dgm:prSet>
      <dgm:spPr/>
      <dgm:t>
        <a:bodyPr/>
        <a:lstStyle/>
        <a:p>
          <a:endParaRPr lang="en-GB"/>
        </a:p>
      </dgm:t>
    </dgm:pt>
    <dgm:pt modelId="{AD7E408C-8CBC-A949-8A49-7A6531776A63}" type="pres">
      <dgm:prSet presAssocID="{6A23C257-3DBA-8E4D-B0BF-E7E3E7E9336E}" presName="spComp" presStyleCnt="0"/>
      <dgm:spPr/>
    </dgm:pt>
    <dgm:pt modelId="{6BB120F3-5281-1F48-898D-576B886090DE}" type="pres">
      <dgm:prSet presAssocID="{6A23C257-3DBA-8E4D-B0BF-E7E3E7E9336E}" presName="vSp" presStyleCnt="0"/>
      <dgm:spPr/>
    </dgm:pt>
    <dgm:pt modelId="{EA36A1CA-E34D-064B-8FBC-B04C3AD10445}" type="pres">
      <dgm:prSet presAssocID="{63AAC6C1-E571-684E-95DE-98C023CD0707}" presName="rectComp" presStyleCnt="0"/>
      <dgm:spPr/>
    </dgm:pt>
    <dgm:pt modelId="{A971637C-39EB-854B-B9B5-975A26144568}" type="pres">
      <dgm:prSet presAssocID="{63AAC6C1-E571-684E-95DE-98C023CD0707}" presName="bgRect" presStyleLbl="bgShp" presStyleIdx="1" presStyleCnt="5" custScaleY="243006"/>
      <dgm:spPr>
        <a:prstGeom prst="roundRect">
          <a:avLst>
            <a:gd name="adj" fmla="val 10000"/>
          </a:avLst>
        </a:prstGeom>
      </dgm:spPr>
      <dgm:t>
        <a:bodyPr/>
        <a:lstStyle/>
        <a:p>
          <a:endParaRPr lang="en-GB"/>
        </a:p>
      </dgm:t>
    </dgm:pt>
    <dgm:pt modelId="{6937AF52-DCCC-6540-A0E8-CA796F11987C}" type="pres">
      <dgm:prSet presAssocID="{63AAC6C1-E571-684E-95DE-98C023CD0707}" presName="bgRectTx" presStyleLbl="bgShp" presStyleIdx="1" presStyleCnt="5">
        <dgm:presLayoutVars>
          <dgm:bulletEnabled val="1"/>
        </dgm:presLayoutVars>
      </dgm:prSet>
      <dgm:spPr/>
      <dgm:t>
        <a:bodyPr/>
        <a:lstStyle/>
        <a:p>
          <a:endParaRPr lang="en-GB"/>
        </a:p>
      </dgm:t>
    </dgm:pt>
    <dgm:pt modelId="{F30FA9A4-FDD2-3F46-8F9E-C00CC22B7C66}" type="pres">
      <dgm:prSet presAssocID="{63AAC6C1-E571-684E-95DE-98C023CD0707}" presName="spComp" presStyleCnt="0"/>
      <dgm:spPr/>
    </dgm:pt>
    <dgm:pt modelId="{FFCCB4EE-2735-7845-A30F-A0ED3661B9CF}" type="pres">
      <dgm:prSet presAssocID="{63AAC6C1-E571-684E-95DE-98C023CD0707}" presName="vSp" presStyleCnt="0"/>
      <dgm:spPr/>
    </dgm:pt>
    <dgm:pt modelId="{FFB4FA38-DD1B-9846-B7F5-EC8431C483AB}" type="pres">
      <dgm:prSet presAssocID="{CF104854-1FD0-944C-B61B-5281710A687D}" presName="rectComp" presStyleCnt="0"/>
      <dgm:spPr/>
    </dgm:pt>
    <dgm:pt modelId="{FE92E8C1-4F22-0441-BD9A-6800DEFC0AF3}" type="pres">
      <dgm:prSet presAssocID="{CF104854-1FD0-944C-B61B-5281710A687D}" presName="bgRect" presStyleLbl="bgShp" presStyleIdx="2" presStyleCnt="5" custScaleY="229838"/>
      <dgm:spPr>
        <a:prstGeom prst="roundRect">
          <a:avLst>
            <a:gd name="adj" fmla="val 10000"/>
          </a:avLst>
        </a:prstGeom>
      </dgm:spPr>
      <dgm:t>
        <a:bodyPr/>
        <a:lstStyle/>
        <a:p>
          <a:endParaRPr lang="en-GB"/>
        </a:p>
      </dgm:t>
    </dgm:pt>
    <dgm:pt modelId="{EFC1EB44-904D-6C45-BBDC-BCC8562B1B63}" type="pres">
      <dgm:prSet presAssocID="{CF104854-1FD0-944C-B61B-5281710A687D}" presName="bgRectTx" presStyleLbl="bgShp" presStyleIdx="2" presStyleCnt="5">
        <dgm:presLayoutVars>
          <dgm:bulletEnabled val="1"/>
        </dgm:presLayoutVars>
      </dgm:prSet>
      <dgm:spPr/>
      <dgm:t>
        <a:bodyPr/>
        <a:lstStyle/>
        <a:p>
          <a:endParaRPr lang="en-GB"/>
        </a:p>
      </dgm:t>
    </dgm:pt>
    <dgm:pt modelId="{4FECFF06-8BA8-F844-8B85-6AD9EBBBD16D}" type="pres">
      <dgm:prSet presAssocID="{CF104854-1FD0-944C-B61B-5281710A687D}" presName="spComp" presStyleCnt="0"/>
      <dgm:spPr/>
    </dgm:pt>
    <dgm:pt modelId="{3E6CECCD-DEAE-B544-9BB7-2490C0848322}" type="pres">
      <dgm:prSet presAssocID="{CF104854-1FD0-944C-B61B-5281710A687D}" presName="vSp" presStyleCnt="0"/>
      <dgm:spPr/>
    </dgm:pt>
    <dgm:pt modelId="{71AD9E40-C677-2C4C-8657-F5B8594F0C6B}" type="pres">
      <dgm:prSet presAssocID="{28AF0E3E-381F-2A45-AEC4-FE989A06A7CF}" presName="rectComp" presStyleCnt="0"/>
      <dgm:spPr/>
    </dgm:pt>
    <dgm:pt modelId="{7F955147-9AEA-D94B-80AB-3AAD06E26597}" type="pres">
      <dgm:prSet presAssocID="{28AF0E3E-381F-2A45-AEC4-FE989A06A7CF}" presName="bgRect" presStyleLbl="bgShp" presStyleIdx="3" presStyleCnt="5" custScaleY="229837"/>
      <dgm:spPr>
        <a:prstGeom prst="roundRect">
          <a:avLst>
            <a:gd name="adj" fmla="val 10000"/>
          </a:avLst>
        </a:prstGeom>
      </dgm:spPr>
      <dgm:t>
        <a:bodyPr/>
        <a:lstStyle/>
        <a:p>
          <a:endParaRPr lang="en-GB"/>
        </a:p>
      </dgm:t>
    </dgm:pt>
    <dgm:pt modelId="{32568ED0-F14F-D54E-A287-5B1EE2F42C70}" type="pres">
      <dgm:prSet presAssocID="{28AF0E3E-381F-2A45-AEC4-FE989A06A7CF}" presName="bgRectTx" presStyleLbl="bgShp" presStyleIdx="3" presStyleCnt="5">
        <dgm:presLayoutVars>
          <dgm:bulletEnabled val="1"/>
        </dgm:presLayoutVars>
      </dgm:prSet>
      <dgm:spPr/>
      <dgm:t>
        <a:bodyPr/>
        <a:lstStyle/>
        <a:p>
          <a:endParaRPr lang="en-GB"/>
        </a:p>
      </dgm:t>
    </dgm:pt>
    <dgm:pt modelId="{9165EC84-F21D-4544-A2E3-0B45676B3813}" type="pres">
      <dgm:prSet presAssocID="{28AF0E3E-381F-2A45-AEC4-FE989A06A7CF}" presName="spComp" presStyleCnt="0"/>
      <dgm:spPr/>
    </dgm:pt>
    <dgm:pt modelId="{45E791EC-077B-034D-B3EA-0D2A89590C23}" type="pres">
      <dgm:prSet presAssocID="{28AF0E3E-381F-2A45-AEC4-FE989A06A7CF}" presName="vSp" presStyleCnt="0"/>
      <dgm:spPr/>
    </dgm:pt>
    <dgm:pt modelId="{E2EBAE37-0306-BA45-9B83-2FDF061FFB84}" type="pres">
      <dgm:prSet presAssocID="{BE2915BD-474B-AA48-B2ED-2F2568EF4B5B}" presName="rectComp" presStyleCnt="0"/>
      <dgm:spPr/>
    </dgm:pt>
    <dgm:pt modelId="{F02FA628-FE3C-0745-8728-F80F8402BD4D}" type="pres">
      <dgm:prSet presAssocID="{BE2915BD-474B-AA48-B2ED-2F2568EF4B5B}" presName="bgRect" presStyleLbl="bgShp" presStyleIdx="4" presStyleCnt="5" custScaleY="209527"/>
      <dgm:spPr>
        <a:prstGeom prst="roundRect">
          <a:avLst>
            <a:gd name="adj" fmla="val 10000"/>
          </a:avLst>
        </a:prstGeom>
      </dgm:spPr>
      <dgm:t>
        <a:bodyPr/>
        <a:lstStyle/>
        <a:p>
          <a:endParaRPr lang="en-GB"/>
        </a:p>
      </dgm:t>
    </dgm:pt>
    <dgm:pt modelId="{658DC685-8E55-5B4E-812B-7CE2BF8BDD1C}" type="pres">
      <dgm:prSet presAssocID="{BE2915BD-474B-AA48-B2ED-2F2568EF4B5B}" presName="bgRectTx" presStyleLbl="bgShp" presStyleIdx="4" presStyleCnt="5">
        <dgm:presLayoutVars>
          <dgm:bulletEnabled val="1"/>
        </dgm:presLayoutVars>
      </dgm:prSet>
      <dgm:spPr/>
      <dgm:t>
        <a:bodyPr/>
        <a:lstStyle/>
        <a:p>
          <a:endParaRPr lang="en-GB"/>
        </a:p>
      </dgm:t>
    </dgm:pt>
  </dgm:ptLst>
  <dgm:cxnLst>
    <dgm:cxn modelId="{48F60419-8C09-3544-B0B1-BB6BF0F953D5}" srcId="{A31A0470-314B-AA41-8402-ABFAEA0D5638}" destId="{16DA4B72-2A32-3F40-B48E-89944475CEDF}" srcOrd="0" destOrd="0" parTransId="{B0A63B65-0BDA-9E4B-9819-5A91710A6709}" sibTransId="{ED2A72CE-F5F1-B04E-86C0-AE7EBF5A6E79}"/>
    <dgm:cxn modelId="{09363276-9DF0-490E-965D-BED9795D1AF5}" type="presOf" srcId="{794E57AE-0EFB-9B45-BE13-787BAC2774B7}" destId="{EA4D87FA-4A21-3D43-9DBA-CF67A1D2F6EC}" srcOrd="0" destOrd="0" presId="urn:microsoft.com/office/officeart/2005/8/layout/hierarchy6"/>
    <dgm:cxn modelId="{774D06D9-3FB5-C94B-8B54-2AAF695DEBDE}" srcId="{794E57AE-0EFB-9B45-BE13-787BAC2774B7}" destId="{C82DB12A-C808-794A-ACBA-17F20650D07F}" srcOrd="0" destOrd="0" parTransId="{31A825A8-0D20-0544-B656-63A7BB501149}" sibTransId="{7C316EB4-E777-204F-8603-274EDA840C47}"/>
    <dgm:cxn modelId="{4D1A348C-44AD-7945-932B-F39F87DAEA77}" srcId="{488B84D1-47F4-2548-981C-E89EF031E116}" destId="{72C91F37-8030-9847-8473-CB06007807E6}" srcOrd="0" destOrd="0" parTransId="{96E5278C-FBD7-9640-8672-CF27337788B4}" sibTransId="{E55C1E1E-FE34-2842-BF77-6B6D12B4B6D3}"/>
    <dgm:cxn modelId="{7DFFDA63-0EA1-4D2F-9865-8A8340F75A7F}" type="presOf" srcId="{63AAC6C1-E571-684E-95DE-98C023CD0707}" destId="{6937AF52-DCCC-6540-A0E8-CA796F11987C}" srcOrd="1" destOrd="0" presId="urn:microsoft.com/office/officeart/2005/8/layout/hierarchy6"/>
    <dgm:cxn modelId="{A2322758-FE2B-446C-A1AF-478CE772304C}" type="presOf" srcId="{C82DB12A-C808-794A-ACBA-17F20650D07F}" destId="{C9C80516-0712-E94C-ADCA-D6FAB3002E93}" srcOrd="0" destOrd="0" presId="urn:microsoft.com/office/officeart/2005/8/layout/hierarchy6"/>
    <dgm:cxn modelId="{D50CDFD6-C196-4004-A4CD-DC01F877D2B7}" type="presOf" srcId="{63AAC6C1-E571-684E-95DE-98C023CD0707}" destId="{A971637C-39EB-854B-B9B5-975A26144568}" srcOrd="0" destOrd="0" presId="urn:microsoft.com/office/officeart/2005/8/layout/hierarchy6"/>
    <dgm:cxn modelId="{B2B75BBA-9ECA-404E-8319-8AEC10D86D87}" type="presOf" srcId="{BE2915BD-474B-AA48-B2ED-2F2568EF4B5B}" destId="{658DC685-8E55-5B4E-812B-7CE2BF8BDD1C}" srcOrd="1" destOrd="0" presId="urn:microsoft.com/office/officeart/2005/8/layout/hierarchy6"/>
    <dgm:cxn modelId="{6A2AEF71-29DA-4EE9-915B-C69E5F5664EC}" type="presOf" srcId="{530B6A35-6D72-A248-810B-7F87BB89C855}" destId="{4A1AC22C-73F0-7E48-8BE3-F91FDFA0CB76}" srcOrd="0" destOrd="0" presId="urn:microsoft.com/office/officeart/2005/8/layout/hierarchy6"/>
    <dgm:cxn modelId="{A7FC2D5A-D43F-44EC-89EB-DDEC6C6A2757}" type="presOf" srcId="{6A23C257-3DBA-8E4D-B0BF-E7E3E7E9336E}" destId="{C90DF278-E356-2C49-9278-72956A827DBF}" srcOrd="0" destOrd="0" presId="urn:microsoft.com/office/officeart/2005/8/layout/hierarchy6"/>
    <dgm:cxn modelId="{8EDA15B6-1319-441D-B3CA-229FDA84F9E5}" type="presOf" srcId="{40E93012-1C9F-0144-83B0-B354F3C6A963}" destId="{7EB36DB8-3514-7340-A480-159548F62196}" srcOrd="0" destOrd="0" presId="urn:microsoft.com/office/officeart/2005/8/layout/hierarchy6"/>
    <dgm:cxn modelId="{2CBB5679-7AAE-694E-BED0-9F9F4A93A786}" srcId="{530B6A35-6D72-A248-810B-7F87BB89C855}" destId="{28AF0E3E-381F-2A45-AEC4-FE989A06A7CF}" srcOrd="4" destOrd="0" parTransId="{5072DC63-273D-3E4A-ADD4-C365070F72F4}" sibTransId="{2B4C9F49-8525-E044-96FE-DDDBD3148473}"/>
    <dgm:cxn modelId="{DFC6A241-B3AA-489B-AEEF-4B8C5A2F9D7A}" type="presOf" srcId="{28AF0E3E-381F-2A45-AEC4-FE989A06A7CF}" destId="{7F955147-9AEA-D94B-80AB-3AAD06E26597}" srcOrd="0" destOrd="0" presId="urn:microsoft.com/office/officeart/2005/8/layout/hierarchy6"/>
    <dgm:cxn modelId="{20BC8C71-6533-4D0A-A9A1-0A6FA8CF1092}" type="presOf" srcId="{2877AF31-0114-434E-9D29-3A616722C212}" destId="{52413BD0-F315-0540-829B-4D9B0026A557}" srcOrd="0" destOrd="0" presId="urn:microsoft.com/office/officeart/2005/8/layout/hierarchy6"/>
    <dgm:cxn modelId="{C85C84C7-C237-0C49-9ADD-41590BA64DEA}" srcId="{794E57AE-0EFB-9B45-BE13-787BAC2774B7}" destId="{546B15FE-F68C-9840-A23F-29CFE8426A8D}" srcOrd="3" destOrd="0" parTransId="{0E83D78C-A27C-DD43-A65D-6D4F3D0D162D}" sibTransId="{C56DC434-8F59-A748-8990-0E933CBFA8AE}"/>
    <dgm:cxn modelId="{3E6F3860-5CB9-4532-8000-20F2DC8B1E3D}" type="presOf" srcId="{72C91F37-8030-9847-8473-CB06007807E6}" destId="{5FFCCE20-97FB-9B4B-B626-B86C40ADBABD}" srcOrd="0" destOrd="0" presId="urn:microsoft.com/office/officeart/2005/8/layout/hierarchy6"/>
    <dgm:cxn modelId="{E965B59E-8A73-E841-BF89-3172E04C63BC}" srcId="{0380C61B-EDF8-074F-8F90-C71A354CFFE1}" destId="{2877AF31-0114-434E-9D29-3A616722C212}" srcOrd="0" destOrd="0" parTransId="{20137A6E-0024-B44B-968F-F53DD13B129C}" sibTransId="{B9D7A9EE-3616-4B48-A6CD-AEA967D79185}"/>
    <dgm:cxn modelId="{205EA4EB-1CCF-4087-9796-C7CC82D1966E}" type="presOf" srcId="{16DA4B72-2A32-3F40-B48E-89944475CEDF}" destId="{44F850AE-ADB9-DC4D-B3CE-5C45F5F15B3E}" srcOrd="0" destOrd="0" presId="urn:microsoft.com/office/officeart/2005/8/layout/hierarchy6"/>
    <dgm:cxn modelId="{250E7254-156E-5B4E-9F98-5FF66D5E9722}" srcId="{A02939A8-7C25-B043-8EA8-596BE396E372}" destId="{A31A0470-314B-AA41-8402-ABFAEA0D5638}" srcOrd="0" destOrd="0" parTransId="{40E93012-1C9F-0144-83B0-B354F3C6A963}" sibTransId="{3657B926-3BEA-FB44-B2CE-366FF88F892B}"/>
    <dgm:cxn modelId="{AADBFE40-5C8D-4245-B288-B367E22C0288}" type="presOf" srcId="{31A825A8-0D20-0544-B656-63A7BB501149}" destId="{46AB25BD-F58B-3749-A677-D92968572A9A}" srcOrd="0" destOrd="0" presId="urn:microsoft.com/office/officeart/2005/8/layout/hierarchy6"/>
    <dgm:cxn modelId="{AF871451-3813-4703-8AB3-2591B4AE0D7A}" type="presOf" srcId="{6316FE2B-8142-494D-99CF-8CEF7AF5108A}" destId="{77A67DB0-B265-BC43-A7CB-0CCB4E79D8E2}" srcOrd="0" destOrd="0" presId="urn:microsoft.com/office/officeart/2005/8/layout/hierarchy6"/>
    <dgm:cxn modelId="{80717AC4-FF25-4240-9DBD-B19F4109659A}" type="presOf" srcId="{BE2915BD-474B-AA48-B2ED-2F2568EF4B5B}" destId="{F02FA628-FE3C-0745-8728-F80F8402BD4D}" srcOrd="0" destOrd="0" presId="urn:microsoft.com/office/officeart/2005/8/layout/hierarchy6"/>
    <dgm:cxn modelId="{D4A47689-5D2B-4006-BB12-F3DC1EF19313}" type="presOf" srcId="{6A23C257-3DBA-8E4D-B0BF-E7E3E7E9336E}" destId="{8D0E4A8A-B041-6349-A168-22675ABE1E24}" srcOrd="1" destOrd="0" presId="urn:microsoft.com/office/officeart/2005/8/layout/hierarchy6"/>
    <dgm:cxn modelId="{E0C49E85-B2A3-4642-8454-85C5F07A8182}" type="presOf" srcId="{7E03E3B6-CF2E-0F46-BEBF-B065945CA5E7}" destId="{4EF12772-E395-3F4F-AA83-20CB7EB080A7}" srcOrd="0" destOrd="0" presId="urn:microsoft.com/office/officeart/2005/8/layout/hierarchy6"/>
    <dgm:cxn modelId="{8C74947D-99D7-4B34-BA59-169523A099AC}" type="presOf" srcId="{7522B946-4048-4C4F-830C-78F6EAA6A8D0}" destId="{D010171C-E8BF-3849-A32B-5F1E7A65FCD6}" srcOrd="0" destOrd="0" presId="urn:microsoft.com/office/officeart/2005/8/layout/hierarchy6"/>
    <dgm:cxn modelId="{C12AED9A-A577-5C4D-856A-6948EED19EA7}" srcId="{530B6A35-6D72-A248-810B-7F87BB89C855}" destId="{CF104854-1FD0-944C-B61B-5281710A687D}" srcOrd="3" destOrd="0" parTransId="{4133E703-3EA4-5D43-B47F-C7BA9BD89523}" sibTransId="{4A6A43BF-44A5-CA43-B115-D222C58A0AFA}"/>
    <dgm:cxn modelId="{17963D37-3ECF-4C85-80EF-BA44612EA821}" type="presOf" srcId="{D82FA415-2EC8-BC4D-B536-1B029578BA93}" destId="{0D5667AD-6F76-CC47-8856-502C3553AC2F}" srcOrd="0" destOrd="0" presId="urn:microsoft.com/office/officeart/2005/8/layout/hierarchy6"/>
    <dgm:cxn modelId="{63FF3A53-8019-4AB6-B183-C8A1A6A0789B}" type="presOf" srcId="{E45BE058-E881-CD4F-A547-202FA9D7DD78}" destId="{060CC184-2F23-2448-85A5-F170983B1D05}" srcOrd="0" destOrd="0" presId="urn:microsoft.com/office/officeart/2005/8/layout/hierarchy6"/>
    <dgm:cxn modelId="{7DB2AAC3-47AA-8941-8D44-AA991674F5F0}" srcId="{794E57AE-0EFB-9B45-BE13-787BAC2774B7}" destId="{9EEABB3A-9DF3-7140-8EED-2052069C50D4}" srcOrd="2" destOrd="0" parTransId="{4CD9C9A4-DD32-1B4A-A3E3-F6314ABD9D58}" sibTransId="{F9AB1582-1BF4-9B4D-A3D7-CAC5BDB34F30}"/>
    <dgm:cxn modelId="{9AE2BEFB-8C79-4697-A2DD-2399EAEA429B}" type="presOf" srcId="{C93A0527-519B-6E40-9796-B1C029F555B2}" destId="{6020B5B9-8A87-B349-A4D7-B722917DFA10}" srcOrd="0" destOrd="0" presId="urn:microsoft.com/office/officeart/2005/8/layout/hierarchy6"/>
    <dgm:cxn modelId="{4EF70044-B571-4338-B1A1-460EECAC2A0F}" type="presOf" srcId="{A31A0470-314B-AA41-8402-ABFAEA0D5638}" destId="{AB694EDF-CA1D-6445-A44B-56A99ED1427E}" srcOrd="0" destOrd="0" presId="urn:microsoft.com/office/officeart/2005/8/layout/hierarchy6"/>
    <dgm:cxn modelId="{864EEA61-6E12-48AB-8C9D-63837E80A0A6}" type="presOf" srcId="{56759E16-5C0C-0A41-8B9D-F5616BD1AEA9}" destId="{FE84D422-D38E-E147-BBCA-B8672E335698}" srcOrd="0" destOrd="0" presId="urn:microsoft.com/office/officeart/2005/8/layout/hierarchy6"/>
    <dgm:cxn modelId="{B258BD82-7E3E-5245-9522-C8EE004109B0}" srcId="{794E57AE-0EFB-9B45-BE13-787BAC2774B7}" destId="{095B5F75-A839-6C41-8880-E2A75A14D33A}" srcOrd="4" destOrd="0" parTransId="{198A045A-08AB-8F40-B0C1-B6378EA8F449}" sibTransId="{D361A0C2-2396-8640-8274-56BBAF8DA65B}"/>
    <dgm:cxn modelId="{464BD79F-C47C-4217-BAF3-C47798DB10B0}" type="presOf" srcId="{07B6ADD5-0041-CD43-A00D-1452555C612E}" destId="{5C898253-548E-DA4F-B5CF-0D8464743193}" srcOrd="0" destOrd="0" presId="urn:microsoft.com/office/officeart/2005/8/layout/hierarchy6"/>
    <dgm:cxn modelId="{1F8ACE4B-9AA5-411E-A1B7-262E7A90D9B3}" type="presOf" srcId="{DF490825-C7A5-2B40-A557-46C0EC1C8C52}" destId="{2ADD5497-5C23-434B-B629-C10D0793BC65}" srcOrd="0" destOrd="0" presId="urn:microsoft.com/office/officeart/2005/8/layout/hierarchy6"/>
    <dgm:cxn modelId="{6216FD90-3B07-4580-83F0-FE58E9F7E5DE}" type="presOf" srcId="{D278D4A5-BF6B-6043-BFC0-20C729BB1EAB}" destId="{F13AC43B-3701-654C-A9CA-8B597AF5D20B}" srcOrd="0" destOrd="0" presId="urn:microsoft.com/office/officeart/2005/8/layout/hierarchy6"/>
    <dgm:cxn modelId="{DECFC668-1804-4355-A6A6-791C69239669}" type="presOf" srcId="{CF104854-1FD0-944C-B61B-5281710A687D}" destId="{EFC1EB44-904D-6C45-BBDC-BCC8562B1B63}" srcOrd="1" destOrd="0" presId="urn:microsoft.com/office/officeart/2005/8/layout/hierarchy6"/>
    <dgm:cxn modelId="{4484E58B-B9A9-43D5-B5EF-1767E0D3B4C7}" type="presOf" srcId="{546B15FE-F68C-9840-A23F-29CFE8426A8D}" destId="{38082CAD-FF11-624D-BB5B-EAE17C644611}" srcOrd="0" destOrd="0" presId="urn:microsoft.com/office/officeart/2005/8/layout/hierarchy6"/>
    <dgm:cxn modelId="{C5F58C44-E45B-46AD-BFF3-C3687D48FC1F}" type="presOf" srcId="{4196489D-3D1D-804F-A072-1DD909687792}" destId="{57BA3E17-452D-994A-91F0-4AD71FB9D03F}" srcOrd="0" destOrd="0" presId="urn:microsoft.com/office/officeart/2005/8/layout/hierarchy6"/>
    <dgm:cxn modelId="{C9D78FA9-5634-BB42-95AA-BD5332492A98}" srcId="{794E57AE-0EFB-9B45-BE13-787BAC2774B7}" destId="{7522B946-4048-4C4F-830C-78F6EAA6A8D0}" srcOrd="7" destOrd="0" parTransId="{C93A0527-519B-6E40-9796-B1C029F555B2}" sibTransId="{2A562948-682F-7442-ACD8-A4EB4E05358B}"/>
    <dgm:cxn modelId="{CB5231C0-0254-484B-9A26-99445FC63474}" srcId="{D82FA415-2EC8-BC4D-B536-1B029578BA93}" destId="{0380C61B-EDF8-074F-8F90-C71A354CFFE1}" srcOrd="0" destOrd="0" parTransId="{1990C061-6E31-2F4A-B6A1-CCF259FD349F}" sibTransId="{8873ED56-BC84-2449-9B8B-DAA08896B6D3}"/>
    <dgm:cxn modelId="{FF8A3A1E-934A-E94C-8C86-706BE52C9439}" srcId="{794E57AE-0EFB-9B45-BE13-787BAC2774B7}" destId="{A02939A8-7C25-B043-8EA8-596BE396E372}" srcOrd="5" destOrd="0" parTransId="{56759E16-5C0C-0A41-8B9D-F5616BD1AEA9}" sibTransId="{314A5BFB-93FD-6A44-95B5-C96CF167AB23}"/>
    <dgm:cxn modelId="{C3B5CF3C-5D21-4A0F-BA16-8917D2B11254}" type="presOf" srcId="{CF104854-1FD0-944C-B61B-5281710A687D}" destId="{FE92E8C1-4F22-0441-BD9A-6800DEFC0AF3}" srcOrd="0" destOrd="0" presId="urn:microsoft.com/office/officeart/2005/8/layout/hierarchy6"/>
    <dgm:cxn modelId="{C093AA36-DB9A-1942-A46F-9648D9F1F840}" srcId="{9EEABB3A-9DF3-7140-8EED-2052069C50D4}" destId="{EEC20706-13E8-154A-88B2-6B376CC7E88A}" srcOrd="0" destOrd="0" parTransId="{34A06777-FEB7-8849-BC2E-C9F007D96290}" sibTransId="{E250DA62-647A-A84D-A42F-F7ACAD3EEA57}"/>
    <dgm:cxn modelId="{244B58AC-FF50-4F9D-A342-582D036CE115}" type="presOf" srcId="{62C4499E-50D9-DC4D-90FF-D26D3BE63DA1}" destId="{2F3EEE40-1F02-E448-9719-CA8DC3126F70}" srcOrd="0" destOrd="0" presId="urn:microsoft.com/office/officeart/2005/8/layout/hierarchy6"/>
    <dgm:cxn modelId="{9BBEA216-69C8-4C5C-97A5-E7B2D33B436F}" type="presOf" srcId="{4CD9C9A4-DD32-1B4A-A3E3-F6314ABD9D58}" destId="{C0EBB89C-1132-2541-9ED1-E42B8D95D842}" srcOrd="0" destOrd="0" presId="urn:microsoft.com/office/officeart/2005/8/layout/hierarchy6"/>
    <dgm:cxn modelId="{AE3D1DBD-11B9-42CC-B3B6-EC7311A06C51}" type="presOf" srcId="{20137A6E-0024-B44B-968F-F53DD13B129C}" destId="{9A3AE737-1479-0043-8BE9-4C87D08E8A76}" srcOrd="0" destOrd="0" presId="urn:microsoft.com/office/officeart/2005/8/layout/hierarchy6"/>
    <dgm:cxn modelId="{5D06776B-67C7-2E4A-8920-4C6DDD9C04E4}" srcId="{546B15FE-F68C-9840-A23F-29CFE8426A8D}" destId="{C9F36DA2-7EA2-7F42-AE72-A73F350F27C4}" srcOrd="0" destOrd="0" parTransId="{9AD2E87F-8916-304B-BFBA-4C091949B53A}" sibTransId="{33EFF387-4BC6-BC45-8198-4D7E8B98DA92}"/>
    <dgm:cxn modelId="{878D5087-5111-9C43-91A6-2890569CB5F9}" srcId="{530B6A35-6D72-A248-810B-7F87BB89C855}" destId="{794E57AE-0EFB-9B45-BE13-787BAC2774B7}" srcOrd="0" destOrd="0" parTransId="{59C4BD04-14FB-004D-A726-16C25EC905A2}" sibTransId="{25CDEEBE-46C8-EC40-8413-A6611765D544}"/>
    <dgm:cxn modelId="{0820A9F3-CB0D-124A-8776-1D824F938320}" srcId="{530B6A35-6D72-A248-810B-7F87BB89C855}" destId="{6A23C257-3DBA-8E4D-B0BF-E7E3E7E9336E}" srcOrd="1" destOrd="0" parTransId="{0D5D20AA-3FCE-F243-BE00-A014747404B4}" sibTransId="{C9C4D2EC-9C87-A74E-8AE7-3C642727691B}"/>
    <dgm:cxn modelId="{7A5DD00E-1999-4BD8-90F4-155C5520DB64}" type="presOf" srcId="{C9F36DA2-7EA2-7F42-AE72-A73F350F27C4}" destId="{31849D49-4FB4-5D44-B96B-45A423FB93FD}" srcOrd="0" destOrd="0" presId="urn:microsoft.com/office/officeart/2005/8/layout/hierarchy6"/>
    <dgm:cxn modelId="{BD598D4C-2C46-4FFC-9035-65D06BA6197F}" type="presOf" srcId="{4E137A69-A18A-B64E-9B3D-45085438FA82}" destId="{288801B9-5417-6B4F-9133-C42FD27A48BD}" srcOrd="0" destOrd="0" presId="urn:microsoft.com/office/officeart/2005/8/layout/hierarchy6"/>
    <dgm:cxn modelId="{FCD5F5B6-3D83-455A-81A4-71F3A9AE1952}" type="presOf" srcId="{198A045A-08AB-8F40-B0C1-B6378EA8F449}" destId="{2F7493ED-AEBB-7F4D-B24E-B156DF26D80A}" srcOrd="0" destOrd="0" presId="urn:microsoft.com/office/officeart/2005/8/layout/hierarchy6"/>
    <dgm:cxn modelId="{46404ECF-73F2-48DA-A2D6-2AF153BCEFA1}" type="presOf" srcId="{96E5278C-FBD7-9640-8672-CF27337788B4}" destId="{C9566D97-C3F0-7F4F-B0B3-4F23B5612AEC}" srcOrd="0" destOrd="0" presId="urn:microsoft.com/office/officeart/2005/8/layout/hierarchy6"/>
    <dgm:cxn modelId="{BBB9771E-B31B-4F45-AA98-B89948888213}" type="presOf" srcId="{413D1223-8B14-0C4D-9079-D850E9593A27}" destId="{681CA204-4193-3A42-9412-6EBD5A9B1A3B}" srcOrd="0" destOrd="0" presId="urn:microsoft.com/office/officeart/2005/8/layout/hierarchy6"/>
    <dgm:cxn modelId="{09F8F501-7AD3-084A-996A-E8955A5FB736}" srcId="{C9F36DA2-7EA2-7F42-AE72-A73F350F27C4}" destId="{D278D4A5-BF6B-6043-BFC0-20C729BB1EAB}" srcOrd="0" destOrd="0" parTransId="{7E03E3B6-CF2E-0F46-BEBF-B065945CA5E7}" sibTransId="{19BBBF1E-845D-3642-BF82-0231B00D1F51}"/>
    <dgm:cxn modelId="{A4D0AFEF-8ADD-431A-9C41-EA60C585F569}" type="presOf" srcId="{9EEABB3A-9DF3-7140-8EED-2052069C50D4}" destId="{848BD61E-7034-FC4C-B002-24045EF7895D}" srcOrd="0" destOrd="0" presId="urn:microsoft.com/office/officeart/2005/8/layout/hierarchy6"/>
    <dgm:cxn modelId="{17A1BDE5-073F-4653-A85D-3790AE3FC4D0}" type="presOf" srcId="{0E83D78C-A27C-DD43-A65D-6D4F3D0D162D}" destId="{52DFEFD5-E777-0B40-9876-8A86E56ACCFD}" srcOrd="0" destOrd="0" presId="urn:microsoft.com/office/officeart/2005/8/layout/hierarchy6"/>
    <dgm:cxn modelId="{7B5DE412-1BAC-F741-9DF9-FA5EFF7148CE}" srcId="{794E57AE-0EFB-9B45-BE13-787BAC2774B7}" destId="{488B84D1-47F4-2548-981C-E89EF031E116}" srcOrd="6" destOrd="0" parTransId="{E45BE058-E881-CD4F-A547-202FA9D7DD78}" sibTransId="{B6D14509-5F66-9C45-B738-3D3510CF4216}"/>
    <dgm:cxn modelId="{89D6AB6F-7B28-BD47-8D5F-0F4FD40FB630}" srcId="{794E57AE-0EFB-9B45-BE13-787BAC2774B7}" destId="{62C4499E-50D9-DC4D-90FF-D26D3BE63DA1}" srcOrd="1" destOrd="0" parTransId="{DF490825-C7A5-2B40-A557-46C0EC1C8C52}" sibTransId="{6755B884-DD4E-5447-968E-B0A2C2E69C68}"/>
    <dgm:cxn modelId="{C84C8803-0DFB-4E02-9AF4-9CFB892F18FB}" type="presOf" srcId="{D741E8B3-45D2-494B-88A0-B0A313E4B8D3}" destId="{C535E999-CBDC-6C45-A3BE-B542E7121C2F}" srcOrd="0" destOrd="0" presId="urn:microsoft.com/office/officeart/2005/8/layout/hierarchy6"/>
    <dgm:cxn modelId="{DC020C9A-D378-344B-A15E-82BE6DFE9CD1}" srcId="{62C4499E-50D9-DC4D-90FF-D26D3BE63DA1}" destId="{4196489D-3D1D-804F-A072-1DD909687792}" srcOrd="0" destOrd="0" parTransId="{D741E8B3-45D2-494B-88A0-B0A313E4B8D3}" sibTransId="{0BF1992B-8954-2C4A-8931-234678346447}"/>
    <dgm:cxn modelId="{655A844C-C9F6-5D49-AEBE-E39A9C22A877}" srcId="{530B6A35-6D72-A248-810B-7F87BB89C855}" destId="{BE2915BD-474B-AA48-B2ED-2F2568EF4B5B}" srcOrd="5" destOrd="0" parTransId="{9E330277-C427-E34E-A202-2F6745C6AB11}" sibTransId="{C1416462-E2EB-984C-944A-55E02B60F30E}"/>
    <dgm:cxn modelId="{C7FEA74D-AB34-4B9E-8C41-23522D78D04E}" type="presOf" srcId="{34A06777-FEB7-8849-BC2E-C9F007D96290}" destId="{938F8DE4-BC3C-E04A-9D33-BD7E4738FDB9}" srcOrd="0" destOrd="0" presId="urn:microsoft.com/office/officeart/2005/8/layout/hierarchy6"/>
    <dgm:cxn modelId="{F916E73B-D788-4894-9EF8-DEC452A65ACB}" type="presOf" srcId="{9AD2E87F-8916-304B-BFBA-4C091949B53A}" destId="{09A88717-8E93-D546-935B-85D3A6556405}" srcOrd="0" destOrd="0" presId="urn:microsoft.com/office/officeart/2005/8/layout/hierarchy6"/>
    <dgm:cxn modelId="{950745A5-9210-474B-81AC-0D2AD2EA573E}" type="presOf" srcId="{28AF0E3E-381F-2A45-AEC4-FE989A06A7CF}" destId="{32568ED0-F14F-D54E-A287-5B1EE2F42C70}" srcOrd="1" destOrd="0" presId="urn:microsoft.com/office/officeart/2005/8/layout/hierarchy6"/>
    <dgm:cxn modelId="{E75B4CE0-7C9E-2747-850D-04287052E347}" srcId="{530B6A35-6D72-A248-810B-7F87BB89C855}" destId="{63AAC6C1-E571-684E-95DE-98C023CD0707}" srcOrd="2" destOrd="0" parTransId="{D8DBD89C-D012-BE40-A8D6-56834B033BF5}" sibTransId="{C144CC3A-61F7-7D4A-8A36-65544824BEB9}"/>
    <dgm:cxn modelId="{15C9E294-56FC-4057-AF30-131BD6AD96CB}" type="presOf" srcId="{B0A63B65-0BDA-9E4B-9819-5A91710A6709}" destId="{B1A33558-C3FD-3B43-BDA5-1ED83C38D871}" srcOrd="0" destOrd="0" presId="urn:microsoft.com/office/officeart/2005/8/layout/hierarchy6"/>
    <dgm:cxn modelId="{7DFF0775-E440-4FA4-9FCF-46D1F8844A9B}" type="presOf" srcId="{095B5F75-A839-6C41-8880-E2A75A14D33A}" destId="{A4EA9C09-8BDB-8D4C-8898-AA92AB480B55}" srcOrd="0" destOrd="0" presId="urn:microsoft.com/office/officeart/2005/8/layout/hierarchy6"/>
    <dgm:cxn modelId="{B79FFC36-FDE8-4299-947C-DEB2F60BC322}" type="presOf" srcId="{A02939A8-7C25-B043-8EA8-596BE396E372}" destId="{34BDA8E4-074B-E24C-83B6-E761FE08AA16}" srcOrd="0" destOrd="0" presId="urn:microsoft.com/office/officeart/2005/8/layout/hierarchy6"/>
    <dgm:cxn modelId="{C4755F85-4A09-403D-AC60-45CF0776E038}" type="presOf" srcId="{EEC20706-13E8-154A-88B2-6B376CC7E88A}" destId="{419060F1-1FE3-4448-AA66-AC37920503D6}" srcOrd="0" destOrd="0" presId="urn:microsoft.com/office/officeart/2005/8/layout/hierarchy6"/>
    <dgm:cxn modelId="{F7531AF0-02A2-46CB-91FF-ECE7D5A7ACA6}" type="presOf" srcId="{E0E76BAD-5AAA-AA4B-849D-E9532227E224}" destId="{46CFD97B-B0E6-A54A-9802-F98DB8D4D6E8}" srcOrd="0" destOrd="0" presId="urn:microsoft.com/office/officeart/2005/8/layout/hierarchy6"/>
    <dgm:cxn modelId="{496DA96A-0FF0-40E0-BC8F-087CAF09AB0E}" type="presOf" srcId="{1990C061-6E31-2F4A-B6A1-CCF259FD349F}" destId="{B707356E-A657-D049-BD56-AA40F790F54D}" srcOrd="0" destOrd="0" presId="urn:microsoft.com/office/officeart/2005/8/layout/hierarchy6"/>
    <dgm:cxn modelId="{968A660C-D726-4757-89BD-BBE53B70DC2C}" type="presOf" srcId="{488B84D1-47F4-2548-981C-E89EF031E116}" destId="{7ADAC34F-D397-8842-B46F-22D67905F0C8}" srcOrd="0" destOrd="0" presId="urn:microsoft.com/office/officeart/2005/8/layout/hierarchy6"/>
    <dgm:cxn modelId="{05DF7248-7B04-F149-8F06-8B47614B9257}" srcId="{16DA4B72-2A32-3F40-B48E-89944475CEDF}" destId="{6316FE2B-8142-494D-99CF-8CEF7AF5108A}" srcOrd="0" destOrd="0" parTransId="{E0E76BAD-5AAA-AA4B-849D-E9532227E224}" sibTransId="{6BDF54D3-A489-BC4E-A648-306113A261E2}"/>
    <dgm:cxn modelId="{3A17BA3E-8E05-BF46-9C29-F6F9389AD86C}" srcId="{C82DB12A-C808-794A-ACBA-17F20650D07F}" destId="{D82FA415-2EC8-BC4D-B536-1B029578BA93}" srcOrd="0" destOrd="0" parTransId="{4E137A69-A18A-B64E-9B3D-45085438FA82}" sibTransId="{0A083679-A510-FB41-8C9F-D0F9C9C9D17C}"/>
    <dgm:cxn modelId="{DDBBA671-B0CC-4965-8F8B-402345890834}" type="presOf" srcId="{0380C61B-EDF8-074F-8F90-C71A354CFFE1}" destId="{E0D86FC8-9480-A34C-A45C-14F26BC2EB2D}" srcOrd="0" destOrd="0" presId="urn:microsoft.com/office/officeart/2005/8/layout/hierarchy6"/>
    <dgm:cxn modelId="{EA36A28C-B5B1-AD4F-82A1-ACB2F7A7D788}" srcId="{EEC20706-13E8-154A-88B2-6B376CC7E88A}" destId="{413D1223-8B14-0C4D-9079-D850E9593A27}" srcOrd="0" destOrd="0" parTransId="{07B6ADD5-0041-CD43-A00D-1452555C612E}" sibTransId="{54C38E11-9C21-BE4F-8736-C4B3BB58CE1C}"/>
    <dgm:cxn modelId="{6F5D0EB6-D41C-46AF-9906-F95B47E956EB}" type="presParOf" srcId="{4A1AC22C-73F0-7E48-8BE3-F91FDFA0CB76}" destId="{66110624-E89A-E749-B22F-69D57F0D549F}" srcOrd="0" destOrd="0" presId="urn:microsoft.com/office/officeart/2005/8/layout/hierarchy6"/>
    <dgm:cxn modelId="{D5595978-817B-4AB3-A5C2-65E8D8B480CE}" type="presParOf" srcId="{66110624-E89A-E749-B22F-69D57F0D549F}" destId="{6E562594-5230-BE40-B2CB-A9E92CE76C52}" srcOrd="0" destOrd="0" presId="urn:microsoft.com/office/officeart/2005/8/layout/hierarchy6"/>
    <dgm:cxn modelId="{11701144-479E-4EFE-9722-473FF71AEAB0}" type="presParOf" srcId="{66110624-E89A-E749-B22F-69D57F0D549F}" destId="{CFA8B355-320E-D94A-AA21-B2ED2ED10FC3}" srcOrd="1" destOrd="0" presId="urn:microsoft.com/office/officeart/2005/8/layout/hierarchy6"/>
    <dgm:cxn modelId="{A20C9CFC-13DC-4580-9E80-327B0FA63077}" type="presParOf" srcId="{CFA8B355-320E-D94A-AA21-B2ED2ED10FC3}" destId="{3ACE2BE4-20E6-2242-B2A9-3C2A95844548}" srcOrd="0" destOrd="0" presId="urn:microsoft.com/office/officeart/2005/8/layout/hierarchy6"/>
    <dgm:cxn modelId="{9D8E3B1F-2A5B-47A2-AAA9-D60966C3AE5D}" type="presParOf" srcId="{3ACE2BE4-20E6-2242-B2A9-3C2A95844548}" destId="{EA4D87FA-4A21-3D43-9DBA-CF67A1D2F6EC}" srcOrd="0" destOrd="0" presId="urn:microsoft.com/office/officeart/2005/8/layout/hierarchy6"/>
    <dgm:cxn modelId="{CF2BEE6B-0E51-450F-868B-911F8D8A7561}" type="presParOf" srcId="{3ACE2BE4-20E6-2242-B2A9-3C2A95844548}" destId="{1FC8C889-FED9-D342-9B80-B2ADD3C0C709}" srcOrd="1" destOrd="0" presId="urn:microsoft.com/office/officeart/2005/8/layout/hierarchy6"/>
    <dgm:cxn modelId="{6E31F1F0-5998-4569-9224-BB7AAABDE066}" type="presParOf" srcId="{1FC8C889-FED9-D342-9B80-B2ADD3C0C709}" destId="{46AB25BD-F58B-3749-A677-D92968572A9A}" srcOrd="0" destOrd="0" presId="urn:microsoft.com/office/officeart/2005/8/layout/hierarchy6"/>
    <dgm:cxn modelId="{ED0BB744-5FB5-46AC-9850-EE8501464E4A}" type="presParOf" srcId="{1FC8C889-FED9-D342-9B80-B2ADD3C0C709}" destId="{C183C040-7E60-0941-A439-056C53F714C0}" srcOrd="1" destOrd="0" presId="urn:microsoft.com/office/officeart/2005/8/layout/hierarchy6"/>
    <dgm:cxn modelId="{8978827B-6201-42D8-961B-E40EFEEB1ACF}" type="presParOf" srcId="{C183C040-7E60-0941-A439-056C53F714C0}" destId="{C9C80516-0712-E94C-ADCA-D6FAB3002E93}" srcOrd="0" destOrd="0" presId="urn:microsoft.com/office/officeart/2005/8/layout/hierarchy6"/>
    <dgm:cxn modelId="{225C111D-C827-48C0-A430-383238A6E534}" type="presParOf" srcId="{C183C040-7E60-0941-A439-056C53F714C0}" destId="{1EC1A314-0E46-7A46-8EF9-3D321E51932B}" srcOrd="1" destOrd="0" presId="urn:microsoft.com/office/officeart/2005/8/layout/hierarchy6"/>
    <dgm:cxn modelId="{48937BEE-36F1-442C-910C-78C5BC5A134B}" type="presParOf" srcId="{1EC1A314-0E46-7A46-8EF9-3D321E51932B}" destId="{288801B9-5417-6B4F-9133-C42FD27A48BD}" srcOrd="0" destOrd="0" presId="urn:microsoft.com/office/officeart/2005/8/layout/hierarchy6"/>
    <dgm:cxn modelId="{719AFA20-61E9-438D-9046-8AE11C607478}" type="presParOf" srcId="{1EC1A314-0E46-7A46-8EF9-3D321E51932B}" destId="{C0FF0512-0FD0-964F-B541-C321D8BBAEA5}" srcOrd="1" destOrd="0" presId="urn:microsoft.com/office/officeart/2005/8/layout/hierarchy6"/>
    <dgm:cxn modelId="{F2C3404C-EF06-4A93-9073-5C55EE4C8624}" type="presParOf" srcId="{C0FF0512-0FD0-964F-B541-C321D8BBAEA5}" destId="{0D5667AD-6F76-CC47-8856-502C3553AC2F}" srcOrd="0" destOrd="0" presId="urn:microsoft.com/office/officeart/2005/8/layout/hierarchy6"/>
    <dgm:cxn modelId="{5F29F70E-97C0-4EFA-B1C4-0BB44222DA09}" type="presParOf" srcId="{C0FF0512-0FD0-964F-B541-C321D8BBAEA5}" destId="{5F9CE191-7741-CD4C-81F6-1657688A8ABB}" srcOrd="1" destOrd="0" presId="urn:microsoft.com/office/officeart/2005/8/layout/hierarchy6"/>
    <dgm:cxn modelId="{8AE238CB-16A0-4A24-9C37-BEE3545BD4F8}" type="presParOf" srcId="{5F9CE191-7741-CD4C-81F6-1657688A8ABB}" destId="{B707356E-A657-D049-BD56-AA40F790F54D}" srcOrd="0" destOrd="0" presId="urn:microsoft.com/office/officeart/2005/8/layout/hierarchy6"/>
    <dgm:cxn modelId="{972DAD4B-B7B5-418A-8C8B-80D1A28D5D27}" type="presParOf" srcId="{5F9CE191-7741-CD4C-81F6-1657688A8ABB}" destId="{ED2EA168-6EC2-4F44-AA52-CF8963630447}" srcOrd="1" destOrd="0" presId="urn:microsoft.com/office/officeart/2005/8/layout/hierarchy6"/>
    <dgm:cxn modelId="{9D150FC0-94C0-4C02-A342-7496EF78A421}" type="presParOf" srcId="{ED2EA168-6EC2-4F44-AA52-CF8963630447}" destId="{E0D86FC8-9480-A34C-A45C-14F26BC2EB2D}" srcOrd="0" destOrd="0" presId="urn:microsoft.com/office/officeart/2005/8/layout/hierarchy6"/>
    <dgm:cxn modelId="{118E3B29-E8F5-497E-964C-EDB4FC9C355E}" type="presParOf" srcId="{ED2EA168-6EC2-4F44-AA52-CF8963630447}" destId="{CFF714E5-30C0-B641-8D83-CA921F78B0FC}" srcOrd="1" destOrd="0" presId="urn:microsoft.com/office/officeart/2005/8/layout/hierarchy6"/>
    <dgm:cxn modelId="{A5B9A42F-509F-4861-8EED-A071133C8A25}" type="presParOf" srcId="{CFF714E5-30C0-B641-8D83-CA921F78B0FC}" destId="{9A3AE737-1479-0043-8BE9-4C87D08E8A76}" srcOrd="0" destOrd="0" presId="urn:microsoft.com/office/officeart/2005/8/layout/hierarchy6"/>
    <dgm:cxn modelId="{E62BDDF2-47D9-45F8-8697-EE964944121D}" type="presParOf" srcId="{CFF714E5-30C0-B641-8D83-CA921F78B0FC}" destId="{26630D7F-6C0F-934F-886E-7929A57F1ECE}" srcOrd="1" destOrd="0" presId="urn:microsoft.com/office/officeart/2005/8/layout/hierarchy6"/>
    <dgm:cxn modelId="{05C1EBC1-28B7-43B7-8E6A-AEEF99F49A32}" type="presParOf" srcId="{26630D7F-6C0F-934F-886E-7929A57F1ECE}" destId="{52413BD0-F315-0540-829B-4D9B0026A557}" srcOrd="0" destOrd="0" presId="urn:microsoft.com/office/officeart/2005/8/layout/hierarchy6"/>
    <dgm:cxn modelId="{2E3CA62F-0813-439F-8423-41C9F09496C2}" type="presParOf" srcId="{26630D7F-6C0F-934F-886E-7929A57F1ECE}" destId="{1E209CD3-D441-174B-A74A-8FFF7A80D66A}" srcOrd="1" destOrd="0" presId="urn:microsoft.com/office/officeart/2005/8/layout/hierarchy6"/>
    <dgm:cxn modelId="{BB8E30DA-96F7-4422-AA23-9DD374338503}" type="presParOf" srcId="{1FC8C889-FED9-D342-9B80-B2ADD3C0C709}" destId="{2ADD5497-5C23-434B-B629-C10D0793BC65}" srcOrd="2" destOrd="0" presId="urn:microsoft.com/office/officeart/2005/8/layout/hierarchy6"/>
    <dgm:cxn modelId="{CFA5B1B6-0231-493F-9D9A-AEC08D0C97F3}" type="presParOf" srcId="{1FC8C889-FED9-D342-9B80-B2ADD3C0C709}" destId="{CA965D26-D78C-A64B-B0F4-F6ECF44DF21E}" srcOrd="3" destOrd="0" presId="urn:microsoft.com/office/officeart/2005/8/layout/hierarchy6"/>
    <dgm:cxn modelId="{4D4E6343-12E9-404B-B52A-76C006A8CE7D}" type="presParOf" srcId="{CA965D26-D78C-A64B-B0F4-F6ECF44DF21E}" destId="{2F3EEE40-1F02-E448-9719-CA8DC3126F70}" srcOrd="0" destOrd="0" presId="urn:microsoft.com/office/officeart/2005/8/layout/hierarchy6"/>
    <dgm:cxn modelId="{BADC9941-143B-439E-97C1-E72FAE2A7250}" type="presParOf" srcId="{CA965D26-D78C-A64B-B0F4-F6ECF44DF21E}" destId="{33A8E38E-ED94-3C48-A50C-69C13271A6AD}" srcOrd="1" destOrd="0" presId="urn:microsoft.com/office/officeart/2005/8/layout/hierarchy6"/>
    <dgm:cxn modelId="{13AC9D20-4EE5-4496-9B8E-6157116D5C1C}" type="presParOf" srcId="{33A8E38E-ED94-3C48-A50C-69C13271A6AD}" destId="{C535E999-CBDC-6C45-A3BE-B542E7121C2F}" srcOrd="0" destOrd="0" presId="urn:microsoft.com/office/officeart/2005/8/layout/hierarchy6"/>
    <dgm:cxn modelId="{1BDD0706-5400-4DB2-B895-47190D43AC84}" type="presParOf" srcId="{33A8E38E-ED94-3C48-A50C-69C13271A6AD}" destId="{978416CF-8635-E846-981E-C802AF7FEEAC}" srcOrd="1" destOrd="0" presId="urn:microsoft.com/office/officeart/2005/8/layout/hierarchy6"/>
    <dgm:cxn modelId="{67B72482-16F3-418C-B4D5-E412153B23E0}" type="presParOf" srcId="{978416CF-8635-E846-981E-C802AF7FEEAC}" destId="{57BA3E17-452D-994A-91F0-4AD71FB9D03F}" srcOrd="0" destOrd="0" presId="urn:microsoft.com/office/officeart/2005/8/layout/hierarchy6"/>
    <dgm:cxn modelId="{6C78E35B-7FA6-4D2E-A2AC-573B6D4317EC}" type="presParOf" srcId="{978416CF-8635-E846-981E-C802AF7FEEAC}" destId="{43AFCDFB-9CEB-914A-983B-ABADBB858C8D}" srcOrd="1" destOrd="0" presId="urn:microsoft.com/office/officeart/2005/8/layout/hierarchy6"/>
    <dgm:cxn modelId="{833DB502-64A4-437D-98E9-3F52D4CDEA86}" type="presParOf" srcId="{1FC8C889-FED9-D342-9B80-B2ADD3C0C709}" destId="{C0EBB89C-1132-2541-9ED1-E42B8D95D842}" srcOrd="4" destOrd="0" presId="urn:microsoft.com/office/officeart/2005/8/layout/hierarchy6"/>
    <dgm:cxn modelId="{9FDD0BAE-7298-49D1-A1A7-44706E5AC552}" type="presParOf" srcId="{1FC8C889-FED9-D342-9B80-B2ADD3C0C709}" destId="{BAD414E8-0D5B-AC47-9582-BDC197310350}" srcOrd="5" destOrd="0" presId="urn:microsoft.com/office/officeart/2005/8/layout/hierarchy6"/>
    <dgm:cxn modelId="{5D0121E2-6F71-4B5E-92DF-B51EA52732EA}" type="presParOf" srcId="{BAD414E8-0D5B-AC47-9582-BDC197310350}" destId="{848BD61E-7034-FC4C-B002-24045EF7895D}" srcOrd="0" destOrd="0" presId="urn:microsoft.com/office/officeart/2005/8/layout/hierarchy6"/>
    <dgm:cxn modelId="{73B8DB5F-5B3A-4495-A716-F3FBCDC497A0}" type="presParOf" srcId="{BAD414E8-0D5B-AC47-9582-BDC197310350}" destId="{D1011A4B-D4D5-C84A-B1BA-FAEBE6560D1F}" srcOrd="1" destOrd="0" presId="urn:microsoft.com/office/officeart/2005/8/layout/hierarchy6"/>
    <dgm:cxn modelId="{A5030385-72E5-4794-9EF8-47E7320DA4FF}" type="presParOf" srcId="{D1011A4B-D4D5-C84A-B1BA-FAEBE6560D1F}" destId="{938F8DE4-BC3C-E04A-9D33-BD7E4738FDB9}" srcOrd="0" destOrd="0" presId="urn:microsoft.com/office/officeart/2005/8/layout/hierarchy6"/>
    <dgm:cxn modelId="{0D7306D3-3C19-4306-B16B-0BBB2A9A994A}" type="presParOf" srcId="{D1011A4B-D4D5-C84A-B1BA-FAEBE6560D1F}" destId="{58058ED5-0200-0D45-AC72-DB31F8FB3083}" srcOrd="1" destOrd="0" presId="urn:microsoft.com/office/officeart/2005/8/layout/hierarchy6"/>
    <dgm:cxn modelId="{E4A405AC-ECE7-4F71-82D6-EC2278A2DD9B}" type="presParOf" srcId="{58058ED5-0200-0D45-AC72-DB31F8FB3083}" destId="{419060F1-1FE3-4448-AA66-AC37920503D6}" srcOrd="0" destOrd="0" presId="urn:microsoft.com/office/officeart/2005/8/layout/hierarchy6"/>
    <dgm:cxn modelId="{02823662-21A1-46C5-A32A-CEB90E15B0A8}" type="presParOf" srcId="{58058ED5-0200-0D45-AC72-DB31F8FB3083}" destId="{33424224-F24E-3A43-A5E1-4966FD3E5F69}" srcOrd="1" destOrd="0" presId="urn:microsoft.com/office/officeart/2005/8/layout/hierarchy6"/>
    <dgm:cxn modelId="{83165AE6-DFA9-4D92-8509-4CD91A63A310}" type="presParOf" srcId="{33424224-F24E-3A43-A5E1-4966FD3E5F69}" destId="{5C898253-548E-DA4F-B5CF-0D8464743193}" srcOrd="0" destOrd="0" presId="urn:microsoft.com/office/officeart/2005/8/layout/hierarchy6"/>
    <dgm:cxn modelId="{D68388B4-962F-4E41-B330-094C2B65873D}" type="presParOf" srcId="{33424224-F24E-3A43-A5E1-4966FD3E5F69}" destId="{9EC81F4B-F6FF-0742-A473-AD35EBB2A246}" srcOrd="1" destOrd="0" presId="urn:microsoft.com/office/officeart/2005/8/layout/hierarchy6"/>
    <dgm:cxn modelId="{75B68FC2-B9A5-4BDB-84FA-AB5E667BAD9D}" type="presParOf" srcId="{9EC81F4B-F6FF-0742-A473-AD35EBB2A246}" destId="{681CA204-4193-3A42-9412-6EBD5A9B1A3B}" srcOrd="0" destOrd="0" presId="urn:microsoft.com/office/officeart/2005/8/layout/hierarchy6"/>
    <dgm:cxn modelId="{D810C407-E4CE-493B-8711-2043680C528C}" type="presParOf" srcId="{9EC81F4B-F6FF-0742-A473-AD35EBB2A246}" destId="{4299A0BF-E966-0344-BFCD-835296E0523B}" srcOrd="1" destOrd="0" presId="urn:microsoft.com/office/officeart/2005/8/layout/hierarchy6"/>
    <dgm:cxn modelId="{D902BFB7-56FC-4DAC-8409-292E4E56A4CA}" type="presParOf" srcId="{1FC8C889-FED9-D342-9B80-B2ADD3C0C709}" destId="{52DFEFD5-E777-0B40-9876-8A86E56ACCFD}" srcOrd="6" destOrd="0" presId="urn:microsoft.com/office/officeart/2005/8/layout/hierarchy6"/>
    <dgm:cxn modelId="{B91D51AC-9FB9-438E-A399-E8EB56226F4C}" type="presParOf" srcId="{1FC8C889-FED9-D342-9B80-B2ADD3C0C709}" destId="{7DF25F93-6717-F144-B10C-908BEB663F6E}" srcOrd="7" destOrd="0" presId="urn:microsoft.com/office/officeart/2005/8/layout/hierarchy6"/>
    <dgm:cxn modelId="{1950DBB8-D580-45F3-94A5-2843E54D1875}" type="presParOf" srcId="{7DF25F93-6717-F144-B10C-908BEB663F6E}" destId="{38082CAD-FF11-624D-BB5B-EAE17C644611}" srcOrd="0" destOrd="0" presId="urn:microsoft.com/office/officeart/2005/8/layout/hierarchy6"/>
    <dgm:cxn modelId="{123D39DE-DF6E-4031-8278-4994741FC8A3}" type="presParOf" srcId="{7DF25F93-6717-F144-B10C-908BEB663F6E}" destId="{2B78167A-D2C7-6B48-9203-892286F75E93}" srcOrd="1" destOrd="0" presId="urn:microsoft.com/office/officeart/2005/8/layout/hierarchy6"/>
    <dgm:cxn modelId="{752E91C6-AC81-49CE-8EDA-650BE96A8040}" type="presParOf" srcId="{2B78167A-D2C7-6B48-9203-892286F75E93}" destId="{09A88717-8E93-D546-935B-85D3A6556405}" srcOrd="0" destOrd="0" presId="urn:microsoft.com/office/officeart/2005/8/layout/hierarchy6"/>
    <dgm:cxn modelId="{DDFBF5EF-5343-4549-BFDC-5CEB2A57BA04}" type="presParOf" srcId="{2B78167A-D2C7-6B48-9203-892286F75E93}" destId="{0AE929DA-1055-A847-A6B3-23B25DC95CCA}" srcOrd="1" destOrd="0" presId="urn:microsoft.com/office/officeart/2005/8/layout/hierarchy6"/>
    <dgm:cxn modelId="{735D2EE1-BB53-4D6E-82C9-73DA86871CD8}" type="presParOf" srcId="{0AE929DA-1055-A847-A6B3-23B25DC95CCA}" destId="{31849D49-4FB4-5D44-B96B-45A423FB93FD}" srcOrd="0" destOrd="0" presId="urn:microsoft.com/office/officeart/2005/8/layout/hierarchy6"/>
    <dgm:cxn modelId="{790D0AAD-D5A7-422D-ABB1-8D7F27F91013}" type="presParOf" srcId="{0AE929DA-1055-A847-A6B3-23B25DC95CCA}" destId="{B34A12F8-610D-2C49-A9F3-6126C2E7B87E}" srcOrd="1" destOrd="0" presId="urn:microsoft.com/office/officeart/2005/8/layout/hierarchy6"/>
    <dgm:cxn modelId="{288D5290-D150-4260-8E60-025BC04CC3CC}" type="presParOf" srcId="{B34A12F8-610D-2C49-A9F3-6126C2E7B87E}" destId="{4EF12772-E395-3F4F-AA83-20CB7EB080A7}" srcOrd="0" destOrd="0" presId="urn:microsoft.com/office/officeart/2005/8/layout/hierarchy6"/>
    <dgm:cxn modelId="{EFCF6192-6653-47C8-BC23-80B37164D174}" type="presParOf" srcId="{B34A12F8-610D-2C49-A9F3-6126C2E7B87E}" destId="{2858935F-0048-6945-96B4-E10B0D028762}" srcOrd="1" destOrd="0" presId="urn:microsoft.com/office/officeart/2005/8/layout/hierarchy6"/>
    <dgm:cxn modelId="{F10A9624-51D3-4471-B6D2-C55CCDAF5538}" type="presParOf" srcId="{2858935F-0048-6945-96B4-E10B0D028762}" destId="{F13AC43B-3701-654C-A9CA-8B597AF5D20B}" srcOrd="0" destOrd="0" presId="urn:microsoft.com/office/officeart/2005/8/layout/hierarchy6"/>
    <dgm:cxn modelId="{4E487DCB-A8D6-4122-999B-9D382B0E2E4F}" type="presParOf" srcId="{2858935F-0048-6945-96B4-E10B0D028762}" destId="{546B952E-44CB-6C4A-B499-6D644D1EB9DE}" srcOrd="1" destOrd="0" presId="urn:microsoft.com/office/officeart/2005/8/layout/hierarchy6"/>
    <dgm:cxn modelId="{4E5A9C7B-0EFC-4966-999F-6DEA091B4434}" type="presParOf" srcId="{1FC8C889-FED9-D342-9B80-B2ADD3C0C709}" destId="{2F7493ED-AEBB-7F4D-B24E-B156DF26D80A}" srcOrd="8" destOrd="0" presId="urn:microsoft.com/office/officeart/2005/8/layout/hierarchy6"/>
    <dgm:cxn modelId="{02F291C3-7F96-4C35-ACC6-5BB5FCA0CCE5}" type="presParOf" srcId="{1FC8C889-FED9-D342-9B80-B2ADD3C0C709}" destId="{609D34A2-93DE-0B47-ADDC-A1363910BBF9}" srcOrd="9" destOrd="0" presId="urn:microsoft.com/office/officeart/2005/8/layout/hierarchy6"/>
    <dgm:cxn modelId="{E632A7B1-ED52-4BF1-A48F-78AF5C9F3681}" type="presParOf" srcId="{609D34A2-93DE-0B47-ADDC-A1363910BBF9}" destId="{A4EA9C09-8BDB-8D4C-8898-AA92AB480B55}" srcOrd="0" destOrd="0" presId="urn:microsoft.com/office/officeart/2005/8/layout/hierarchy6"/>
    <dgm:cxn modelId="{82DE4E96-E963-4B39-94AB-A2B52B7A0D91}" type="presParOf" srcId="{609D34A2-93DE-0B47-ADDC-A1363910BBF9}" destId="{52A02CAA-E195-694C-B3F1-70985322B133}" srcOrd="1" destOrd="0" presId="urn:microsoft.com/office/officeart/2005/8/layout/hierarchy6"/>
    <dgm:cxn modelId="{7A9E17A4-03F7-49C5-99C6-F7FCDCE2A5FD}" type="presParOf" srcId="{1FC8C889-FED9-D342-9B80-B2ADD3C0C709}" destId="{FE84D422-D38E-E147-BBCA-B8672E335698}" srcOrd="10" destOrd="0" presId="urn:microsoft.com/office/officeart/2005/8/layout/hierarchy6"/>
    <dgm:cxn modelId="{B72BC8FD-E2F4-49D1-9C52-270FE75284F4}" type="presParOf" srcId="{1FC8C889-FED9-D342-9B80-B2ADD3C0C709}" destId="{69AADF95-7363-9D4E-B79E-2B85ED8C7899}" srcOrd="11" destOrd="0" presId="urn:microsoft.com/office/officeart/2005/8/layout/hierarchy6"/>
    <dgm:cxn modelId="{7EAF6552-4438-4284-A13C-4D2A1A081B35}" type="presParOf" srcId="{69AADF95-7363-9D4E-B79E-2B85ED8C7899}" destId="{34BDA8E4-074B-E24C-83B6-E761FE08AA16}" srcOrd="0" destOrd="0" presId="urn:microsoft.com/office/officeart/2005/8/layout/hierarchy6"/>
    <dgm:cxn modelId="{BBAF957F-9A59-4791-92A9-56EAC87A0E42}" type="presParOf" srcId="{69AADF95-7363-9D4E-B79E-2B85ED8C7899}" destId="{44946649-6575-F74F-BF6B-8D5E4E37BDB0}" srcOrd="1" destOrd="0" presId="urn:microsoft.com/office/officeart/2005/8/layout/hierarchy6"/>
    <dgm:cxn modelId="{8484F6EA-6125-4462-903A-BDC1D55F71AB}" type="presParOf" srcId="{44946649-6575-F74F-BF6B-8D5E4E37BDB0}" destId="{7EB36DB8-3514-7340-A480-159548F62196}" srcOrd="0" destOrd="0" presId="urn:microsoft.com/office/officeart/2005/8/layout/hierarchy6"/>
    <dgm:cxn modelId="{BD2ABA0D-BA47-482E-9A69-06F7A705E199}" type="presParOf" srcId="{44946649-6575-F74F-BF6B-8D5E4E37BDB0}" destId="{FF27632D-4D7B-9D4F-BFC8-AD959ADE53BF}" srcOrd="1" destOrd="0" presId="urn:microsoft.com/office/officeart/2005/8/layout/hierarchy6"/>
    <dgm:cxn modelId="{EC1EBEA3-E2E1-471A-BE0E-0EAFA4F26D47}" type="presParOf" srcId="{FF27632D-4D7B-9D4F-BFC8-AD959ADE53BF}" destId="{AB694EDF-CA1D-6445-A44B-56A99ED1427E}" srcOrd="0" destOrd="0" presId="urn:microsoft.com/office/officeart/2005/8/layout/hierarchy6"/>
    <dgm:cxn modelId="{15679052-4640-4CF0-8CAE-386B41A54F0C}" type="presParOf" srcId="{FF27632D-4D7B-9D4F-BFC8-AD959ADE53BF}" destId="{31530A80-65F9-3043-82B0-F060182F43FA}" srcOrd="1" destOrd="0" presId="urn:microsoft.com/office/officeart/2005/8/layout/hierarchy6"/>
    <dgm:cxn modelId="{35DFA4C5-2780-4D28-8782-97F57C372EB8}" type="presParOf" srcId="{31530A80-65F9-3043-82B0-F060182F43FA}" destId="{B1A33558-C3FD-3B43-BDA5-1ED83C38D871}" srcOrd="0" destOrd="0" presId="urn:microsoft.com/office/officeart/2005/8/layout/hierarchy6"/>
    <dgm:cxn modelId="{7CB07249-CE60-4886-B040-A4E3A4702FB4}" type="presParOf" srcId="{31530A80-65F9-3043-82B0-F060182F43FA}" destId="{5F037764-5E6A-734D-80AA-C2C62532F4A2}" srcOrd="1" destOrd="0" presId="urn:microsoft.com/office/officeart/2005/8/layout/hierarchy6"/>
    <dgm:cxn modelId="{215B543A-68FB-4FED-B506-5A9551E1FB8A}" type="presParOf" srcId="{5F037764-5E6A-734D-80AA-C2C62532F4A2}" destId="{44F850AE-ADB9-DC4D-B3CE-5C45F5F15B3E}" srcOrd="0" destOrd="0" presId="urn:microsoft.com/office/officeart/2005/8/layout/hierarchy6"/>
    <dgm:cxn modelId="{48E1D835-80A1-455A-85D3-0871892138E3}" type="presParOf" srcId="{5F037764-5E6A-734D-80AA-C2C62532F4A2}" destId="{9802EA9A-56C7-2C43-9911-5B2701F4779B}" srcOrd="1" destOrd="0" presId="urn:microsoft.com/office/officeart/2005/8/layout/hierarchy6"/>
    <dgm:cxn modelId="{397BF3B4-1A0E-4949-8105-EA2B3515237B}" type="presParOf" srcId="{9802EA9A-56C7-2C43-9911-5B2701F4779B}" destId="{46CFD97B-B0E6-A54A-9802-F98DB8D4D6E8}" srcOrd="0" destOrd="0" presId="urn:microsoft.com/office/officeart/2005/8/layout/hierarchy6"/>
    <dgm:cxn modelId="{D5C49C47-B8FE-4A21-8025-C74BCBC5A1FC}" type="presParOf" srcId="{9802EA9A-56C7-2C43-9911-5B2701F4779B}" destId="{57196567-5BC9-E54F-A021-4A63CFD0B434}" srcOrd="1" destOrd="0" presId="urn:microsoft.com/office/officeart/2005/8/layout/hierarchy6"/>
    <dgm:cxn modelId="{AF33AA5B-64CD-4532-971C-BBBFD34C204E}" type="presParOf" srcId="{57196567-5BC9-E54F-A021-4A63CFD0B434}" destId="{77A67DB0-B265-BC43-A7CB-0CCB4E79D8E2}" srcOrd="0" destOrd="0" presId="urn:microsoft.com/office/officeart/2005/8/layout/hierarchy6"/>
    <dgm:cxn modelId="{48CC00F5-3F56-46DA-A3B9-C519490F088C}" type="presParOf" srcId="{57196567-5BC9-E54F-A021-4A63CFD0B434}" destId="{0D378720-F77A-504E-BDFF-528BDA39FC7D}" srcOrd="1" destOrd="0" presId="urn:microsoft.com/office/officeart/2005/8/layout/hierarchy6"/>
    <dgm:cxn modelId="{10426286-A0DE-4885-9859-6382CB5B4996}" type="presParOf" srcId="{1FC8C889-FED9-D342-9B80-B2ADD3C0C709}" destId="{060CC184-2F23-2448-85A5-F170983B1D05}" srcOrd="12" destOrd="0" presId="urn:microsoft.com/office/officeart/2005/8/layout/hierarchy6"/>
    <dgm:cxn modelId="{D61EC229-C817-4186-9230-92A24DBBBBBF}" type="presParOf" srcId="{1FC8C889-FED9-D342-9B80-B2ADD3C0C709}" destId="{BB368485-931A-CE49-9D14-33CB9215D1F3}" srcOrd="13" destOrd="0" presId="urn:microsoft.com/office/officeart/2005/8/layout/hierarchy6"/>
    <dgm:cxn modelId="{E27347A6-6E29-4628-B4E5-D8A2E7FBD17F}" type="presParOf" srcId="{BB368485-931A-CE49-9D14-33CB9215D1F3}" destId="{7ADAC34F-D397-8842-B46F-22D67905F0C8}" srcOrd="0" destOrd="0" presId="urn:microsoft.com/office/officeart/2005/8/layout/hierarchy6"/>
    <dgm:cxn modelId="{C93D8E8B-1F3F-4B1B-B6FA-A61AB769ABE7}" type="presParOf" srcId="{BB368485-931A-CE49-9D14-33CB9215D1F3}" destId="{ECE00C53-67CE-F94B-935F-D498E8E48E2D}" srcOrd="1" destOrd="0" presId="urn:microsoft.com/office/officeart/2005/8/layout/hierarchy6"/>
    <dgm:cxn modelId="{52BBCA5D-E6F8-4F2C-AA9A-2E6519D3B85D}" type="presParOf" srcId="{ECE00C53-67CE-F94B-935F-D498E8E48E2D}" destId="{C9566D97-C3F0-7F4F-B0B3-4F23B5612AEC}" srcOrd="0" destOrd="0" presId="urn:microsoft.com/office/officeart/2005/8/layout/hierarchy6"/>
    <dgm:cxn modelId="{CBFF16C4-2287-44D5-96B1-4B3B50F25729}" type="presParOf" srcId="{ECE00C53-67CE-F94B-935F-D498E8E48E2D}" destId="{50648C9E-0981-BF47-AA40-7CE5857FF5CD}" srcOrd="1" destOrd="0" presId="urn:microsoft.com/office/officeart/2005/8/layout/hierarchy6"/>
    <dgm:cxn modelId="{E43ADE02-44F3-4B77-8E0B-F5B824815022}" type="presParOf" srcId="{50648C9E-0981-BF47-AA40-7CE5857FF5CD}" destId="{5FFCCE20-97FB-9B4B-B626-B86C40ADBABD}" srcOrd="0" destOrd="0" presId="urn:microsoft.com/office/officeart/2005/8/layout/hierarchy6"/>
    <dgm:cxn modelId="{1B7803B0-0125-4A04-9613-A06F501A423E}" type="presParOf" srcId="{50648C9E-0981-BF47-AA40-7CE5857FF5CD}" destId="{EC906E19-C382-A14D-B707-3302B27284FF}" srcOrd="1" destOrd="0" presId="urn:microsoft.com/office/officeart/2005/8/layout/hierarchy6"/>
    <dgm:cxn modelId="{74F36A20-942A-47A4-9298-7A3C8E1434C3}" type="presParOf" srcId="{1FC8C889-FED9-D342-9B80-B2ADD3C0C709}" destId="{6020B5B9-8A87-B349-A4D7-B722917DFA10}" srcOrd="14" destOrd="0" presId="urn:microsoft.com/office/officeart/2005/8/layout/hierarchy6"/>
    <dgm:cxn modelId="{806D346C-8025-4E51-8392-FA6C5E491553}" type="presParOf" srcId="{1FC8C889-FED9-D342-9B80-B2ADD3C0C709}" destId="{08E76752-FED3-A24E-B056-0199EACA4F95}" srcOrd="15" destOrd="0" presId="urn:microsoft.com/office/officeart/2005/8/layout/hierarchy6"/>
    <dgm:cxn modelId="{13C56C33-DB6D-4F5B-9F9E-1AAAB5DEC250}" type="presParOf" srcId="{08E76752-FED3-A24E-B056-0199EACA4F95}" destId="{D010171C-E8BF-3849-A32B-5F1E7A65FCD6}" srcOrd="0" destOrd="0" presId="urn:microsoft.com/office/officeart/2005/8/layout/hierarchy6"/>
    <dgm:cxn modelId="{3919695F-0687-4572-B248-AEAD07BBC8F0}" type="presParOf" srcId="{08E76752-FED3-A24E-B056-0199EACA4F95}" destId="{D94E4251-85CE-E345-978C-9DFE03F99970}" srcOrd="1" destOrd="0" presId="urn:microsoft.com/office/officeart/2005/8/layout/hierarchy6"/>
    <dgm:cxn modelId="{10A2112B-81CF-44AE-9C5B-2E6FB84439EA}" type="presParOf" srcId="{4A1AC22C-73F0-7E48-8BE3-F91FDFA0CB76}" destId="{AF8EF975-95A8-E84F-9EB8-36511B5F37DE}" srcOrd="1" destOrd="0" presId="urn:microsoft.com/office/officeart/2005/8/layout/hierarchy6"/>
    <dgm:cxn modelId="{5AAB84CA-408A-49BB-9073-25D44499623C}" type="presParOf" srcId="{AF8EF975-95A8-E84F-9EB8-36511B5F37DE}" destId="{7258129A-3F1D-B64A-8580-8ACEA0D7AAD2}" srcOrd="0" destOrd="0" presId="urn:microsoft.com/office/officeart/2005/8/layout/hierarchy6"/>
    <dgm:cxn modelId="{D6988F5B-D835-406C-AA3D-F8DA5C09E440}" type="presParOf" srcId="{7258129A-3F1D-B64A-8580-8ACEA0D7AAD2}" destId="{C90DF278-E356-2C49-9278-72956A827DBF}" srcOrd="0" destOrd="0" presId="urn:microsoft.com/office/officeart/2005/8/layout/hierarchy6"/>
    <dgm:cxn modelId="{35E621A6-A686-4DAA-87A7-DB4B7D5E19D1}" type="presParOf" srcId="{7258129A-3F1D-B64A-8580-8ACEA0D7AAD2}" destId="{8D0E4A8A-B041-6349-A168-22675ABE1E24}" srcOrd="1" destOrd="0" presId="urn:microsoft.com/office/officeart/2005/8/layout/hierarchy6"/>
    <dgm:cxn modelId="{D02B8DA8-0A9B-46B2-B95D-1CEDA01B37F6}" type="presParOf" srcId="{AF8EF975-95A8-E84F-9EB8-36511B5F37DE}" destId="{AD7E408C-8CBC-A949-8A49-7A6531776A63}" srcOrd="1" destOrd="0" presId="urn:microsoft.com/office/officeart/2005/8/layout/hierarchy6"/>
    <dgm:cxn modelId="{41D39E29-7AAF-48A6-A70C-8C9AAA881D9A}" type="presParOf" srcId="{AD7E408C-8CBC-A949-8A49-7A6531776A63}" destId="{6BB120F3-5281-1F48-898D-576B886090DE}" srcOrd="0" destOrd="0" presId="urn:microsoft.com/office/officeart/2005/8/layout/hierarchy6"/>
    <dgm:cxn modelId="{D747688A-C568-4A74-BA84-FFEA31A9B915}" type="presParOf" srcId="{AF8EF975-95A8-E84F-9EB8-36511B5F37DE}" destId="{EA36A1CA-E34D-064B-8FBC-B04C3AD10445}" srcOrd="2" destOrd="0" presId="urn:microsoft.com/office/officeart/2005/8/layout/hierarchy6"/>
    <dgm:cxn modelId="{D7C04580-31D1-4ECD-A8B4-A2DCB7C6B922}" type="presParOf" srcId="{EA36A1CA-E34D-064B-8FBC-B04C3AD10445}" destId="{A971637C-39EB-854B-B9B5-975A26144568}" srcOrd="0" destOrd="0" presId="urn:microsoft.com/office/officeart/2005/8/layout/hierarchy6"/>
    <dgm:cxn modelId="{C1C6D898-0B9E-4A4A-90BE-77AC37081CCB}" type="presParOf" srcId="{EA36A1CA-E34D-064B-8FBC-B04C3AD10445}" destId="{6937AF52-DCCC-6540-A0E8-CA796F11987C}" srcOrd="1" destOrd="0" presId="urn:microsoft.com/office/officeart/2005/8/layout/hierarchy6"/>
    <dgm:cxn modelId="{6C12D782-9ADB-4B06-AAF9-0F87E4963786}" type="presParOf" srcId="{AF8EF975-95A8-E84F-9EB8-36511B5F37DE}" destId="{F30FA9A4-FDD2-3F46-8F9E-C00CC22B7C66}" srcOrd="3" destOrd="0" presId="urn:microsoft.com/office/officeart/2005/8/layout/hierarchy6"/>
    <dgm:cxn modelId="{B7A19222-7533-46BF-99E6-018CBCCB248C}" type="presParOf" srcId="{F30FA9A4-FDD2-3F46-8F9E-C00CC22B7C66}" destId="{FFCCB4EE-2735-7845-A30F-A0ED3661B9CF}" srcOrd="0" destOrd="0" presId="urn:microsoft.com/office/officeart/2005/8/layout/hierarchy6"/>
    <dgm:cxn modelId="{3D8AB405-7355-4BF1-9E71-DE52E1B8C4F0}" type="presParOf" srcId="{AF8EF975-95A8-E84F-9EB8-36511B5F37DE}" destId="{FFB4FA38-DD1B-9846-B7F5-EC8431C483AB}" srcOrd="4" destOrd="0" presId="urn:microsoft.com/office/officeart/2005/8/layout/hierarchy6"/>
    <dgm:cxn modelId="{4B1B29A3-CA7C-44CB-8CCC-400337D6F1C0}" type="presParOf" srcId="{FFB4FA38-DD1B-9846-B7F5-EC8431C483AB}" destId="{FE92E8C1-4F22-0441-BD9A-6800DEFC0AF3}" srcOrd="0" destOrd="0" presId="urn:microsoft.com/office/officeart/2005/8/layout/hierarchy6"/>
    <dgm:cxn modelId="{3670B6A7-06B1-4253-84C0-22B9309868BB}" type="presParOf" srcId="{FFB4FA38-DD1B-9846-B7F5-EC8431C483AB}" destId="{EFC1EB44-904D-6C45-BBDC-BCC8562B1B63}" srcOrd="1" destOrd="0" presId="urn:microsoft.com/office/officeart/2005/8/layout/hierarchy6"/>
    <dgm:cxn modelId="{69134D0A-8769-4477-BB61-FC89FE77B979}" type="presParOf" srcId="{AF8EF975-95A8-E84F-9EB8-36511B5F37DE}" destId="{4FECFF06-8BA8-F844-8B85-6AD9EBBBD16D}" srcOrd="5" destOrd="0" presId="urn:microsoft.com/office/officeart/2005/8/layout/hierarchy6"/>
    <dgm:cxn modelId="{2D73316A-F58A-4233-A0E9-9A8DFE9D6C96}" type="presParOf" srcId="{4FECFF06-8BA8-F844-8B85-6AD9EBBBD16D}" destId="{3E6CECCD-DEAE-B544-9BB7-2490C0848322}" srcOrd="0" destOrd="0" presId="urn:microsoft.com/office/officeart/2005/8/layout/hierarchy6"/>
    <dgm:cxn modelId="{EEFF5238-2CA3-4265-A4B0-4732E7CB7C92}" type="presParOf" srcId="{AF8EF975-95A8-E84F-9EB8-36511B5F37DE}" destId="{71AD9E40-C677-2C4C-8657-F5B8594F0C6B}" srcOrd="6" destOrd="0" presId="urn:microsoft.com/office/officeart/2005/8/layout/hierarchy6"/>
    <dgm:cxn modelId="{AFC8993F-7AE6-4BB6-A84B-78764D0A48A0}" type="presParOf" srcId="{71AD9E40-C677-2C4C-8657-F5B8594F0C6B}" destId="{7F955147-9AEA-D94B-80AB-3AAD06E26597}" srcOrd="0" destOrd="0" presId="urn:microsoft.com/office/officeart/2005/8/layout/hierarchy6"/>
    <dgm:cxn modelId="{922B2B83-4A16-4C9F-AC23-2DDC97191074}" type="presParOf" srcId="{71AD9E40-C677-2C4C-8657-F5B8594F0C6B}" destId="{32568ED0-F14F-D54E-A287-5B1EE2F42C70}" srcOrd="1" destOrd="0" presId="urn:microsoft.com/office/officeart/2005/8/layout/hierarchy6"/>
    <dgm:cxn modelId="{221EB7BB-0EE4-402D-9C94-2AD2CA99BDC5}" type="presParOf" srcId="{AF8EF975-95A8-E84F-9EB8-36511B5F37DE}" destId="{9165EC84-F21D-4544-A2E3-0B45676B3813}" srcOrd="7" destOrd="0" presId="urn:microsoft.com/office/officeart/2005/8/layout/hierarchy6"/>
    <dgm:cxn modelId="{92AB430B-BD47-425A-A5EC-0C1F2BB5FF20}" type="presParOf" srcId="{9165EC84-F21D-4544-A2E3-0B45676B3813}" destId="{45E791EC-077B-034D-B3EA-0D2A89590C23}" srcOrd="0" destOrd="0" presId="urn:microsoft.com/office/officeart/2005/8/layout/hierarchy6"/>
    <dgm:cxn modelId="{9F313FF5-82D5-4464-A76C-5865F6A7792D}" type="presParOf" srcId="{AF8EF975-95A8-E84F-9EB8-36511B5F37DE}" destId="{E2EBAE37-0306-BA45-9B83-2FDF061FFB84}" srcOrd="8" destOrd="0" presId="urn:microsoft.com/office/officeart/2005/8/layout/hierarchy6"/>
    <dgm:cxn modelId="{00AF354A-19F3-4E7C-99B0-6C727C2257ED}" type="presParOf" srcId="{E2EBAE37-0306-BA45-9B83-2FDF061FFB84}" destId="{F02FA628-FE3C-0745-8728-F80F8402BD4D}" srcOrd="0" destOrd="0" presId="urn:microsoft.com/office/officeart/2005/8/layout/hierarchy6"/>
    <dgm:cxn modelId="{678C1E21-CD31-48CB-A442-4BACEA50765F}" type="presParOf" srcId="{E2EBAE37-0306-BA45-9B83-2FDF061FFB84}" destId="{658DC685-8E55-5B4E-812B-7CE2BF8BDD1C}" srcOrd="1" destOrd="0" presId="urn:microsoft.com/office/officeart/2005/8/layout/hierarchy6"/>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8B8612-77FB-954F-8B4D-85F5FB94AE45}" type="doc">
      <dgm:prSet loTypeId="urn:microsoft.com/office/officeart/2005/8/layout/process4" loCatId="" qsTypeId="urn:microsoft.com/office/officeart/2005/8/quickstyle/simple1" qsCatId="simple" csTypeId="urn:microsoft.com/office/officeart/2005/8/colors/accent4_5" csCatId="accent4" phldr="1"/>
      <dgm:spPr/>
      <dgm:t>
        <a:bodyPr/>
        <a:lstStyle/>
        <a:p>
          <a:endParaRPr lang="fr-FR"/>
        </a:p>
      </dgm:t>
    </dgm:pt>
    <dgm:pt modelId="{B9BCEA11-4DF8-7A4A-9023-1C688A34996D}">
      <dgm:prSet phldrT="[Texte]" custT="1"/>
      <dgm:spPr>
        <a:xfrm rot="10800000">
          <a:off x="0" y="312"/>
          <a:ext cx="6705600" cy="670925"/>
        </a:xfrm>
        <a:solidFill>
          <a:srgbClr val="C1AD79">
            <a:alpha val="90000"/>
            <a:hueOff val="0"/>
            <a:satOff val="0"/>
            <a:lumOff val="0"/>
            <a:alphaOff val="-40000"/>
          </a:srgbClr>
        </a:solidFill>
        <a:ln w="31750" cap="flat" cmpd="sng" algn="ctr">
          <a:solidFill>
            <a:srgbClr val="FFFFFF">
              <a:hueOff val="0"/>
              <a:satOff val="0"/>
              <a:lumOff val="0"/>
              <a:alphaOff val="0"/>
            </a:srgbClr>
          </a:solidFill>
          <a:prstDash val="solid"/>
        </a:ln>
        <a:effectLst/>
      </dgm:spPr>
      <dgm:t>
        <a:bodyPr/>
        <a:lstStyle/>
        <a:p>
          <a:r>
            <a:rPr lang="fr-FR" sz="1200">
              <a:solidFill>
                <a:srgbClr val="FFFFFF"/>
              </a:solidFill>
              <a:latin typeface="Calisto MT"/>
              <a:ea typeface="+mn-ea"/>
              <a:cs typeface="+mn-cs"/>
            </a:rPr>
            <a:t>ENI CBC Overarching Strategic Objective A</a:t>
          </a:r>
        </a:p>
      </dgm:t>
    </dgm:pt>
    <dgm:pt modelId="{DD67A57A-7A8A-EC4D-92D0-67B864110427}" type="parTrans" cxnId="{ACCFB2D7-BD8B-114C-B5F8-169D718DFFD0}">
      <dgm:prSet/>
      <dgm:spPr/>
      <dgm:t>
        <a:bodyPr/>
        <a:lstStyle/>
        <a:p>
          <a:endParaRPr lang="fr-FR"/>
        </a:p>
      </dgm:t>
    </dgm:pt>
    <dgm:pt modelId="{74850DD5-D7B5-AF44-AED0-415B7D79E98A}" type="sibTrans" cxnId="{ACCFB2D7-BD8B-114C-B5F8-169D718DFFD0}">
      <dgm:prSet/>
      <dgm:spPr/>
      <dgm:t>
        <a:bodyPr/>
        <a:lstStyle/>
        <a:p>
          <a:endParaRPr lang="fr-FR"/>
        </a:p>
      </dgm:t>
    </dgm:pt>
    <dgm:pt modelId="{29A0D074-3E59-A449-A042-B4D5992CD7A1}">
      <dgm:prSet phldrT="[Texte]"/>
      <dgm:spPr>
        <a:xfrm>
          <a:off x="0" y="235806"/>
          <a:ext cx="6705600" cy="200606"/>
        </a:xfrm>
        <a:solidFill>
          <a:srgbClr val="C1AD79">
            <a:alpha val="90000"/>
            <a:tint val="40000"/>
            <a:hueOff val="0"/>
            <a:satOff val="0"/>
            <a:lumOff val="0"/>
            <a:alphaOff val="-40000"/>
          </a:srgbClr>
        </a:solidFill>
        <a:ln w="31750" cap="flat" cmpd="sng" algn="ctr">
          <a:solidFill>
            <a:srgbClr val="C1AD79">
              <a:alpha val="90000"/>
              <a:tint val="40000"/>
              <a:hueOff val="0"/>
              <a:satOff val="0"/>
              <a:lumOff val="0"/>
              <a:alphaOff val="0"/>
            </a:srgbClr>
          </a:solidFill>
          <a:prstDash val="solid"/>
        </a:ln>
        <a:effectLst/>
      </dgm:spPr>
      <dgm:t>
        <a:bodyPr/>
        <a:lstStyle/>
        <a:p>
          <a:r>
            <a:rPr lang="en-GB">
              <a:solidFill>
                <a:srgbClr val="000000">
                  <a:hueOff val="0"/>
                  <a:satOff val="0"/>
                  <a:lumOff val="0"/>
                  <a:alphaOff val="0"/>
                </a:srgbClr>
              </a:solidFill>
              <a:latin typeface="Calisto MT"/>
              <a:ea typeface="+mn-ea"/>
              <a:cs typeface="+mn-cs"/>
            </a:rPr>
            <a:t>Promote economic and social development in regions on both sides of common borders</a:t>
          </a:r>
          <a:endParaRPr lang="fr-FR">
            <a:solidFill>
              <a:srgbClr val="000000">
                <a:hueOff val="0"/>
                <a:satOff val="0"/>
                <a:lumOff val="0"/>
                <a:alphaOff val="0"/>
              </a:srgbClr>
            </a:solidFill>
            <a:latin typeface="Calisto MT"/>
            <a:ea typeface="+mn-ea"/>
            <a:cs typeface="+mn-cs"/>
          </a:endParaRPr>
        </a:p>
      </dgm:t>
    </dgm:pt>
    <dgm:pt modelId="{090D49B7-B97E-174D-B6B1-770E0B657351}" type="parTrans" cxnId="{76EDC30E-D0C0-1D43-A79A-8B11CB6967E3}">
      <dgm:prSet/>
      <dgm:spPr/>
      <dgm:t>
        <a:bodyPr/>
        <a:lstStyle/>
        <a:p>
          <a:endParaRPr lang="fr-FR"/>
        </a:p>
      </dgm:t>
    </dgm:pt>
    <dgm:pt modelId="{F4F13387-58B5-454A-8498-EAD7412CAE1A}" type="sibTrans" cxnId="{76EDC30E-D0C0-1D43-A79A-8B11CB6967E3}">
      <dgm:prSet/>
      <dgm:spPr/>
      <dgm:t>
        <a:bodyPr/>
        <a:lstStyle/>
        <a:p>
          <a:endParaRPr lang="fr-FR"/>
        </a:p>
      </dgm:t>
    </dgm:pt>
    <dgm:pt modelId="{D24582B5-DCCE-614D-ACDA-1B1819BF2FBE}">
      <dgm:prSet phldrT="[Texte]" custT="1"/>
      <dgm:spPr>
        <a:xfrm rot="10800000">
          <a:off x="0" y="664694"/>
          <a:ext cx="6705600" cy="670925"/>
        </a:xfrm>
        <a:solidFill>
          <a:srgbClr val="C1AD79">
            <a:alpha val="90000"/>
            <a:hueOff val="0"/>
            <a:satOff val="0"/>
            <a:lumOff val="0"/>
            <a:alphaOff val="-20000"/>
          </a:srgbClr>
        </a:solidFill>
        <a:ln w="31750" cap="flat" cmpd="sng" algn="ctr">
          <a:solidFill>
            <a:srgbClr val="FFFFFF">
              <a:hueOff val="0"/>
              <a:satOff val="0"/>
              <a:lumOff val="0"/>
              <a:alphaOff val="0"/>
            </a:srgbClr>
          </a:solidFill>
          <a:prstDash val="solid"/>
        </a:ln>
        <a:effectLst/>
      </dgm:spPr>
      <dgm:t>
        <a:bodyPr/>
        <a:lstStyle/>
        <a:p>
          <a:r>
            <a:rPr lang="fr-FR" sz="1200">
              <a:solidFill>
                <a:srgbClr val="FFFFFF"/>
              </a:solidFill>
              <a:latin typeface="Calisto MT"/>
              <a:ea typeface="+mn-ea"/>
              <a:cs typeface="+mn-cs"/>
            </a:rPr>
            <a:t>ENI CBC Thematic Objective 1</a:t>
          </a:r>
        </a:p>
      </dgm:t>
    </dgm:pt>
    <dgm:pt modelId="{47A499FE-AC1C-FC4E-904F-29F039629FBD}" type="parTrans" cxnId="{7539759B-C128-7A40-8680-F4CE00398EA9}">
      <dgm:prSet/>
      <dgm:spPr/>
      <dgm:t>
        <a:bodyPr/>
        <a:lstStyle/>
        <a:p>
          <a:endParaRPr lang="fr-FR"/>
        </a:p>
      </dgm:t>
    </dgm:pt>
    <dgm:pt modelId="{9C7B6D34-6D42-2342-8A10-DFD9A54E9836}" type="sibTrans" cxnId="{7539759B-C128-7A40-8680-F4CE00398EA9}">
      <dgm:prSet/>
      <dgm:spPr/>
      <dgm:t>
        <a:bodyPr/>
        <a:lstStyle/>
        <a:p>
          <a:endParaRPr lang="fr-FR"/>
        </a:p>
      </dgm:t>
    </dgm:pt>
    <dgm:pt modelId="{19E19C0F-AF5B-2A46-A2FB-5A0537B53EBF}">
      <dgm:prSet phldrT="[Texte]" custT="1"/>
      <dgm:spPr>
        <a:xfrm>
          <a:off x="0" y="900189"/>
          <a:ext cx="6705600" cy="200606"/>
        </a:xfrm>
        <a:solidFill>
          <a:srgbClr val="C1AD79">
            <a:alpha val="90000"/>
            <a:tint val="40000"/>
            <a:hueOff val="0"/>
            <a:satOff val="0"/>
            <a:lumOff val="0"/>
            <a:alphaOff val="-20000"/>
          </a:srgbClr>
        </a:solidFill>
        <a:ln w="31750" cap="flat" cmpd="sng" algn="ctr">
          <a:solidFill>
            <a:srgbClr val="C1AD79">
              <a:alpha val="90000"/>
              <a:tint val="40000"/>
              <a:hueOff val="0"/>
              <a:satOff val="0"/>
              <a:lumOff val="0"/>
              <a:alphaOff val="0"/>
            </a:srgbClr>
          </a:solidFill>
          <a:prstDash val="solid"/>
        </a:ln>
        <a:effectLst/>
      </dgm:spPr>
      <dgm:t>
        <a:bodyPr/>
        <a:lstStyle/>
        <a:p>
          <a:r>
            <a:rPr lang="fr-FR" sz="1200">
              <a:solidFill>
                <a:srgbClr val="000000">
                  <a:hueOff val="0"/>
                  <a:satOff val="0"/>
                  <a:lumOff val="0"/>
                  <a:alphaOff val="0"/>
                </a:srgbClr>
              </a:solidFill>
              <a:latin typeface="Calisto MT"/>
              <a:ea typeface="+mn-ea"/>
              <a:cs typeface="+mn-cs"/>
            </a:rPr>
            <a:t>Business and SME development</a:t>
          </a:r>
        </a:p>
      </dgm:t>
    </dgm:pt>
    <dgm:pt modelId="{F6961F8A-121C-3248-9602-4918D90D7036}" type="parTrans" cxnId="{B88A1DFF-79E2-C04C-BB32-C36BF38DD4D2}">
      <dgm:prSet/>
      <dgm:spPr/>
      <dgm:t>
        <a:bodyPr/>
        <a:lstStyle/>
        <a:p>
          <a:endParaRPr lang="fr-FR"/>
        </a:p>
      </dgm:t>
    </dgm:pt>
    <dgm:pt modelId="{4B5C7BB0-DDEE-A14F-A878-98E16C02F5C2}" type="sibTrans" cxnId="{B88A1DFF-79E2-C04C-BB32-C36BF38DD4D2}">
      <dgm:prSet/>
      <dgm:spPr/>
      <dgm:t>
        <a:bodyPr/>
        <a:lstStyle/>
        <a:p>
          <a:endParaRPr lang="fr-FR"/>
        </a:p>
      </dgm:t>
    </dgm:pt>
    <dgm:pt modelId="{5BCF6014-5D8E-294A-B26E-EB67CEBA2A75}">
      <dgm:prSet phldrT="[Texte]" custT="1"/>
      <dgm:spPr>
        <a:xfrm>
          <a:off x="0" y="1329388"/>
          <a:ext cx="6705600" cy="436232"/>
        </a:xfrm>
        <a:solidFill>
          <a:srgbClr val="C1AD79">
            <a:alpha val="90000"/>
            <a:hueOff val="0"/>
            <a:satOff val="0"/>
            <a:lumOff val="0"/>
            <a:alphaOff val="0"/>
          </a:srgbClr>
        </a:solidFill>
        <a:ln w="31750" cap="flat" cmpd="sng" algn="ctr">
          <a:solidFill>
            <a:srgbClr val="FFFFFF">
              <a:hueOff val="0"/>
              <a:satOff val="0"/>
              <a:lumOff val="0"/>
              <a:alphaOff val="0"/>
            </a:srgbClr>
          </a:solidFill>
          <a:prstDash val="solid"/>
        </a:ln>
        <a:effectLst/>
      </dgm:spPr>
      <dgm:t>
        <a:bodyPr/>
        <a:lstStyle/>
        <a:p>
          <a:r>
            <a:rPr lang="fr-FR" sz="1200">
              <a:solidFill>
                <a:srgbClr val="FFFFFF"/>
              </a:solidFill>
              <a:latin typeface="Calisto MT"/>
              <a:ea typeface="+mn-ea"/>
              <a:cs typeface="+mn-cs"/>
            </a:rPr>
            <a:t>Black Sea Basin Programme Objective 1</a:t>
          </a:r>
        </a:p>
      </dgm:t>
    </dgm:pt>
    <dgm:pt modelId="{A916E58A-7E6C-1340-8D5A-6C57865D2D16}" type="parTrans" cxnId="{60ADC3C4-02D9-E240-9D22-A1EEFD017C0D}">
      <dgm:prSet/>
      <dgm:spPr/>
      <dgm:t>
        <a:bodyPr/>
        <a:lstStyle/>
        <a:p>
          <a:endParaRPr lang="fr-FR"/>
        </a:p>
      </dgm:t>
    </dgm:pt>
    <dgm:pt modelId="{BCB190A3-5349-1B41-866F-7A5768797584}" type="sibTrans" cxnId="{60ADC3C4-02D9-E240-9D22-A1EEFD017C0D}">
      <dgm:prSet/>
      <dgm:spPr/>
      <dgm:t>
        <a:bodyPr/>
        <a:lstStyle/>
        <a:p>
          <a:endParaRPr lang="fr-FR"/>
        </a:p>
      </dgm:t>
    </dgm:pt>
    <dgm:pt modelId="{B5E03A3A-0DFE-0548-B18E-D20ADEB346AB}">
      <dgm:prSet phldrT="[Texte]"/>
      <dgm:spPr>
        <a:xfrm>
          <a:off x="0" y="1555917"/>
          <a:ext cx="6705600" cy="200666"/>
        </a:xfrm>
        <a:solidFill>
          <a:srgbClr val="C1AD79">
            <a:alpha val="90000"/>
            <a:tint val="40000"/>
            <a:hueOff val="0"/>
            <a:satOff val="0"/>
            <a:lumOff val="0"/>
            <a:alphaOff val="0"/>
          </a:srgbClr>
        </a:solidFill>
        <a:ln w="31750" cap="flat" cmpd="sng" algn="ctr">
          <a:solidFill>
            <a:srgbClr val="C1AD79">
              <a:alpha val="90000"/>
              <a:tint val="40000"/>
              <a:hueOff val="0"/>
              <a:satOff val="0"/>
              <a:lumOff val="0"/>
              <a:alphaOff val="0"/>
            </a:srgbClr>
          </a:solidFill>
          <a:prstDash val="solid"/>
        </a:ln>
        <a:effectLst/>
      </dgm:spPr>
      <dgm:t>
        <a:bodyPr/>
        <a:lstStyle/>
        <a:p>
          <a:r>
            <a:rPr lang="en-GB" b="0">
              <a:solidFill>
                <a:srgbClr val="000000">
                  <a:hueOff val="0"/>
                  <a:satOff val="0"/>
                  <a:lumOff val="0"/>
                  <a:alphaOff val="0"/>
                </a:srgbClr>
              </a:solidFill>
              <a:latin typeface="Calisto MT"/>
              <a:ea typeface="+mn-ea"/>
              <a:cs typeface="+mn-cs"/>
            </a:rPr>
            <a:t>Promote business and entrepreneurship within the Black Sea Basin </a:t>
          </a:r>
          <a:endParaRPr lang="fr-FR" b="0">
            <a:solidFill>
              <a:srgbClr val="000000">
                <a:hueOff val="0"/>
                <a:satOff val="0"/>
                <a:lumOff val="0"/>
                <a:alphaOff val="0"/>
              </a:srgbClr>
            </a:solidFill>
            <a:latin typeface="Calisto MT"/>
            <a:ea typeface="+mn-ea"/>
            <a:cs typeface="+mn-cs"/>
          </a:endParaRPr>
        </a:p>
      </dgm:t>
    </dgm:pt>
    <dgm:pt modelId="{FF15CBC5-26A2-6048-889B-36648920B6B3}" type="parTrans" cxnId="{D803D840-4F92-6446-B88B-C150B9B36880}">
      <dgm:prSet/>
      <dgm:spPr/>
      <dgm:t>
        <a:bodyPr/>
        <a:lstStyle/>
        <a:p>
          <a:endParaRPr lang="fr-FR"/>
        </a:p>
      </dgm:t>
    </dgm:pt>
    <dgm:pt modelId="{3F7D471E-521D-4A48-BA9E-61E02EC707F8}" type="sibTrans" cxnId="{D803D840-4F92-6446-B88B-C150B9B36880}">
      <dgm:prSet/>
      <dgm:spPr/>
      <dgm:t>
        <a:bodyPr/>
        <a:lstStyle/>
        <a:p>
          <a:endParaRPr lang="fr-FR"/>
        </a:p>
      </dgm:t>
    </dgm:pt>
    <dgm:pt modelId="{0C806010-91FA-FC40-9264-D1711C8010F8}" type="pres">
      <dgm:prSet presAssocID="{AB8B8612-77FB-954F-8B4D-85F5FB94AE45}" presName="Name0" presStyleCnt="0">
        <dgm:presLayoutVars>
          <dgm:dir/>
          <dgm:animLvl val="lvl"/>
          <dgm:resizeHandles val="exact"/>
        </dgm:presLayoutVars>
      </dgm:prSet>
      <dgm:spPr/>
      <dgm:t>
        <a:bodyPr/>
        <a:lstStyle/>
        <a:p>
          <a:endParaRPr lang="fr-FR"/>
        </a:p>
      </dgm:t>
    </dgm:pt>
    <dgm:pt modelId="{9823E97E-B34A-C34C-A0C3-C56A8B1738FC}" type="pres">
      <dgm:prSet presAssocID="{5BCF6014-5D8E-294A-B26E-EB67CEBA2A75}" presName="boxAndChildren" presStyleCnt="0"/>
      <dgm:spPr/>
    </dgm:pt>
    <dgm:pt modelId="{BF13155E-E1D4-C94E-840D-E3B6147F579F}" type="pres">
      <dgm:prSet presAssocID="{5BCF6014-5D8E-294A-B26E-EB67CEBA2A75}" presName="parentTextBox" presStyleLbl="node1" presStyleIdx="0" presStyleCnt="3"/>
      <dgm:spPr>
        <a:prstGeom prst="rect">
          <a:avLst/>
        </a:prstGeom>
      </dgm:spPr>
      <dgm:t>
        <a:bodyPr/>
        <a:lstStyle/>
        <a:p>
          <a:endParaRPr lang="fr-FR"/>
        </a:p>
      </dgm:t>
    </dgm:pt>
    <dgm:pt modelId="{936A3711-A388-FB49-BFF6-552795C30A53}" type="pres">
      <dgm:prSet presAssocID="{5BCF6014-5D8E-294A-B26E-EB67CEBA2A75}" presName="entireBox" presStyleLbl="node1" presStyleIdx="0" presStyleCnt="3" custLinFactNeighborY="1049"/>
      <dgm:spPr/>
      <dgm:t>
        <a:bodyPr/>
        <a:lstStyle/>
        <a:p>
          <a:endParaRPr lang="fr-FR"/>
        </a:p>
      </dgm:t>
    </dgm:pt>
    <dgm:pt modelId="{0E41FF41-CC5E-814F-AC06-DAEF1CAF8352}" type="pres">
      <dgm:prSet presAssocID="{5BCF6014-5D8E-294A-B26E-EB67CEBA2A75}" presName="descendantBox" presStyleCnt="0"/>
      <dgm:spPr/>
    </dgm:pt>
    <dgm:pt modelId="{B11730FB-18E1-C943-B084-4CDF1F59127B}" type="pres">
      <dgm:prSet presAssocID="{B5E03A3A-0DFE-0548-B18E-D20ADEB346AB}" presName="childTextBox" presStyleLbl="fgAccFollowNode1" presStyleIdx="0" presStyleCnt="3">
        <dgm:presLayoutVars>
          <dgm:bulletEnabled val="1"/>
        </dgm:presLayoutVars>
      </dgm:prSet>
      <dgm:spPr>
        <a:prstGeom prst="rect">
          <a:avLst/>
        </a:prstGeom>
      </dgm:spPr>
      <dgm:t>
        <a:bodyPr/>
        <a:lstStyle/>
        <a:p>
          <a:endParaRPr lang="fr-FR"/>
        </a:p>
      </dgm:t>
    </dgm:pt>
    <dgm:pt modelId="{0056E223-4919-5841-B300-29C7E7C262C1}" type="pres">
      <dgm:prSet presAssocID="{9C7B6D34-6D42-2342-8A10-DFD9A54E9836}" presName="sp" presStyleCnt="0"/>
      <dgm:spPr/>
    </dgm:pt>
    <dgm:pt modelId="{E12FFFDB-907F-7846-918E-A80AD247B760}" type="pres">
      <dgm:prSet presAssocID="{D24582B5-DCCE-614D-ACDA-1B1819BF2FBE}" presName="arrowAndChildren" presStyleCnt="0"/>
      <dgm:spPr/>
    </dgm:pt>
    <dgm:pt modelId="{AD4AA184-E06C-1343-BDF3-D32F35A6F300}" type="pres">
      <dgm:prSet presAssocID="{D24582B5-DCCE-614D-ACDA-1B1819BF2FBE}" presName="parentTextArrow" presStyleLbl="node1" presStyleIdx="0" presStyleCnt="3"/>
      <dgm:spPr>
        <a:prstGeom prst="upArrowCallout">
          <a:avLst/>
        </a:prstGeom>
      </dgm:spPr>
      <dgm:t>
        <a:bodyPr/>
        <a:lstStyle/>
        <a:p>
          <a:endParaRPr lang="fr-FR"/>
        </a:p>
      </dgm:t>
    </dgm:pt>
    <dgm:pt modelId="{56F73381-5B2C-D24B-B832-B5FAE6BF7A7E}" type="pres">
      <dgm:prSet presAssocID="{D24582B5-DCCE-614D-ACDA-1B1819BF2FBE}" presName="arrow" presStyleLbl="node1" presStyleIdx="1" presStyleCnt="3"/>
      <dgm:spPr/>
      <dgm:t>
        <a:bodyPr/>
        <a:lstStyle/>
        <a:p>
          <a:endParaRPr lang="fr-FR"/>
        </a:p>
      </dgm:t>
    </dgm:pt>
    <dgm:pt modelId="{BA2DF540-A247-F84F-A8DD-20534248739B}" type="pres">
      <dgm:prSet presAssocID="{D24582B5-DCCE-614D-ACDA-1B1819BF2FBE}" presName="descendantArrow" presStyleCnt="0"/>
      <dgm:spPr/>
    </dgm:pt>
    <dgm:pt modelId="{1A2A1C0C-BF5A-0847-8E7B-04D461F52224}" type="pres">
      <dgm:prSet presAssocID="{19E19C0F-AF5B-2A46-A2FB-5A0537B53EBF}" presName="childTextArrow" presStyleLbl="fgAccFollowNode1" presStyleIdx="1" presStyleCnt="3">
        <dgm:presLayoutVars>
          <dgm:bulletEnabled val="1"/>
        </dgm:presLayoutVars>
      </dgm:prSet>
      <dgm:spPr>
        <a:prstGeom prst="rect">
          <a:avLst/>
        </a:prstGeom>
      </dgm:spPr>
      <dgm:t>
        <a:bodyPr/>
        <a:lstStyle/>
        <a:p>
          <a:endParaRPr lang="fr-FR"/>
        </a:p>
      </dgm:t>
    </dgm:pt>
    <dgm:pt modelId="{92394C7B-B3DC-D942-9EAE-B273069C8A9A}" type="pres">
      <dgm:prSet presAssocID="{74850DD5-D7B5-AF44-AED0-415B7D79E98A}" presName="sp" presStyleCnt="0"/>
      <dgm:spPr/>
    </dgm:pt>
    <dgm:pt modelId="{827199D0-4FA4-1B43-A9F9-676E1B001FE1}" type="pres">
      <dgm:prSet presAssocID="{B9BCEA11-4DF8-7A4A-9023-1C688A34996D}" presName="arrowAndChildren" presStyleCnt="0"/>
      <dgm:spPr/>
    </dgm:pt>
    <dgm:pt modelId="{90F00A74-CD56-0642-BBA2-6588A72D2CEC}" type="pres">
      <dgm:prSet presAssocID="{B9BCEA11-4DF8-7A4A-9023-1C688A34996D}" presName="parentTextArrow" presStyleLbl="node1" presStyleIdx="1" presStyleCnt="3"/>
      <dgm:spPr>
        <a:prstGeom prst="upArrowCallout">
          <a:avLst/>
        </a:prstGeom>
      </dgm:spPr>
      <dgm:t>
        <a:bodyPr/>
        <a:lstStyle/>
        <a:p>
          <a:endParaRPr lang="fr-FR"/>
        </a:p>
      </dgm:t>
    </dgm:pt>
    <dgm:pt modelId="{1F20F8E4-735C-9148-8848-5FB51BE7FC46}" type="pres">
      <dgm:prSet presAssocID="{B9BCEA11-4DF8-7A4A-9023-1C688A34996D}" presName="arrow" presStyleLbl="node1" presStyleIdx="2" presStyleCnt="3"/>
      <dgm:spPr/>
      <dgm:t>
        <a:bodyPr/>
        <a:lstStyle/>
        <a:p>
          <a:endParaRPr lang="fr-FR"/>
        </a:p>
      </dgm:t>
    </dgm:pt>
    <dgm:pt modelId="{8B636B42-2EB2-4745-BC3A-704FC1AF5A11}" type="pres">
      <dgm:prSet presAssocID="{B9BCEA11-4DF8-7A4A-9023-1C688A34996D}" presName="descendantArrow" presStyleCnt="0"/>
      <dgm:spPr/>
    </dgm:pt>
    <dgm:pt modelId="{87155499-1E5A-8E48-BFC0-FF4E62E7012B}" type="pres">
      <dgm:prSet presAssocID="{29A0D074-3E59-A449-A042-B4D5992CD7A1}" presName="childTextArrow" presStyleLbl="fgAccFollowNode1" presStyleIdx="2" presStyleCnt="3">
        <dgm:presLayoutVars>
          <dgm:bulletEnabled val="1"/>
        </dgm:presLayoutVars>
      </dgm:prSet>
      <dgm:spPr>
        <a:prstGeom prst="rect">
          <a:avLst/>
        </a:prstGeom>
      </dgm:spPr>
      <dgm:t>
        <a:bodyPr/>
        <a:lstStyle/>
        <a:p>
          <a:endParaRPr lang="fr-FR"/>
        </a:p>
      </dgm:t>
    </dgm:pt>
  </dgm:ptLst>
  <dgm:cxnLst>
    <dgm:cxn modelId="{99E3F806-A6F4-42A2-A690-0DF000E13092}" type="presOf" srcId="{B5E03A3A-0DFE-0548-B18E-D20ADEB346AB}" destId="{B11730FB-18E1-C943-B084-4CDF1F59127B}" srcOrd="0" destOrd="0" presId="urn:microsoft.com/office/officeart/2005/8/layout/process4"/>
    <dgm:cxn modelId="{7539759B-C128-7A40-8680-F4CE00398EA9}" srcId="{AB8B8612-77FB-954F-8B4D-85F5FB94AE45}" destId="{D24582B5-DCCE-614D-ACDA-1B1819BF2FBE}" srcOrd="1" destOrd="0" parTransId="{47A499FE-AC1C-FC4E-904F-29F039629FBD}" sibTransId="{9C7B6D34-6D42-2342-8A10-DFD9A54E9836}"/>
    <dgm:cxn modelId="{76EDC30E-D0C0-1D43-A79A-8B11CB6967E3}" srcId="{B9BCEA11-4DF8-7A4A-9023-1C688A34996D}" destId="{29A0D074-3E59-A449-A042-B4D5992CD7A1}" srcOrd="0" destOrd="0" parTransId="{090D49B7-B97E-174D-B6B1-770E0B657351}" sibTransId="{F4F13387-58B5-454A-8498-EAD7412CAE1A}"/>
    <dgm:cxn modelId="{7786B544-FF00-4D80-9241-787116C4A229}" type="presOf" srcId="{AB8B8612-77FB-954F-8B4D-85F5FB94AE45}" destId="{0C806010-91FA-FC40-9264-D1711C8010F8}" srcOrd="0" destOrd="0" presId="urn:microsoft.com/office/officeart/2005/8/layout/process4"/>
    <dgm:cxn modelId="{0D4F6AE6-39FD-45E6-9734-7A1A5018BB28}" type="presOf" srcId="{B9BCEA11-4DF8-7A4A-9023-1C688A34996D}" destId="{1F20F8E4-735C-9148-8848-5FB51BE7FC46}" srcOrd="1" destOrd="0" presId="urn:microsoft.com/office/officeart/2005/8/layout/process4"/>
    <dgm:cxn modelId="{3181B419-9F60-4ADD-BE07-B2DF45CEAE4D}" type="presOf" srcId="{29A0D074-3E59-A449-A042-B4D5992CD7A1}" destId="{87155499-1E5A-8E48-BFC0-FF4E62E7012B}" srcOrd="0" destOrd="0" presId="urn:microsoft.com/office/officeart/2005/8/layout/process4"/>
    <dgm:cxn modelId="{61390533-21D6-4A7D-A4D2-04A7974638AA}" type="presOf" srcId="{5BCF6014-5D8E-294A-B26E-EB67CEBA2A75}" destId="{936A3711-A388-FB49-BFF6-552795C30A53}" srcOrd="1" destOrd="0" presId="urn:microsoft.com/office/officeart/2005/8/layout/process4"/>
    <dgm:cxn modelId="{4C44D979-4048-4CCF-B1C9-2F59F73E5C06}" type="presOf" srcId="{D24582B5-DCCE-614D-ACDA-1B1819BF2FBE}" destId="{AD4AA184-E06C-1343-BDF3-D32F35A6F300}" srcOrd="0" destOrd="0" presId="urn:microsoft.com/office/officeart/2005/8/layout/process4"/>
    <dgm:cxn modelId="{10D70A0E-FBC8-463E-BB6A-3D55F8209796}" type="presOf" srcId="{D24582B5-DCCE-614D-ACDA-1B1819BF2FBE}" destId="{56F73381-5B2C-D24B-B832-B5FAE6BF7A7E}" srcOrd="1" destOrd="0" presId="urn:microsoft.com/office/officeart/2005/8/layout/process4"/>
    <dgm:cxn modelId="{9879F1B5-94ED-4AF3-8EDD-7A7EA601DB71}" type="presOf" srcId="{19E19C0F-AF5B-2A46-A2FB-5A0537B53EBF}" destId="{1A2A1C0C-BF5A-0847-8E7B-04D461F52224}" srcOrd="0" destOrd="0" presId="urn:microsoft.com/office/officeart/2005/8/layout/process4"/>
    <dgm:cxn modelId="{ACCFB2D7-BD8B-114C-B5F8-169D718DFFD0}" srcId="{AB8B8612-77FB-954F-8B4D-85F5FB94AE45}" destId="{B9BCEA11-4DF8-7A4A-9023-1C688A34996D}" srcOrd="0" destOrd="0" parTransId="{DD67A57A-7A8A-EC4D-92D0-67B864110427}" sibTransId="{74850DD5-D7B5-AF44-AED0-415B7D79E98A}"/>
    <dgm:cxn modelId="{B88A1DFF-79E2-C04C-BB32-C36BF38DD4D2}" srcId="{D24582B5-DCCE-614D-ACDA-1B1819BF2FBE}" destId="{19E19C0F-AF5B-2A46-A2FB-5A0537B53EBF}" srcOrd="0" destOrd="0" parTransId="{F6961F8A-121C-3248-9602-4918D90D7036}" sibTransId="{4B5C7BB0-DDEE-A14F-A878-98E16C02F5C2}"/>
    <dgm:cxn modelId="{60ADC3C4-02D9-E240-9D22-A1EEFD017C0D}" srcId="{AB8B8612-77FB-954F-8B4D-85F5FB94AE45}" destId="{5BCF6014-5D8E-294A-B26E-EB67CEBA2A75}" srcOrd="2" destOrd="0" parTransId="{A916E58A-7E6C-1340-8D5A-6C57865D2D16}" sibTransId="{BCB190A3-5349-1B41-866F-7A5768797584}"/>
    <dgm:cxn modelId="{739B385A-A708-4C8A-8846-FFE9671579EF}" type="presOf" srcId="{B9BCEA11-4DF8-7A4A-9023-1C688A34996D}" destId="{90F00A74-CD56-0642-BBA2-6588A72D2CEC}" srcOrd="0" destOrd="0" presId="urn:microsoft.com/office/officeart/2005/8/layout/process4"/>
    <dgm:cxn modelId="{D803D840-4F92-6446-B88B-C150B9B36880}" srcId="{5BCF6014-5D8E-294A-B26E-EB67CEBA2A75}" destId="{B5E03A3A-0DFE-0548-B18E-D20ADEB346AB}" srcOrd="0" destOrd="0" parTransId="{FF15CBC5-26A2-6048-889B-36648920B6B3}" sibTransId="{3F7D471E-521D-4A48-BA9E-61E02EC707F8}"/>
    <dgm:cxn modelId="{E2B4184B-ACDB-4D36-BBB9-BA3993051173}" type="presOf" srcId="{5BCF6014-5D8E-294A-B26E-EB67CEBA2A75}" destId="{BF13155E-E1D4-C94E-840D-E3B6147F579F}" srcOrd="0" destOrd="0" presId="urn:microsoft.com/office/officeart/2005/8/layout/process4"/>
    <dgm:cxn modelId="{48215D6F-951E-476B-BEAC-1D38FE9932EF}" type="presParOf" srcId="{0C806010-91FA-FC40-9264-D1711C8010F8}" destId="{9823E97E-B34A-C34C-A0C3-C56A8B1738FC}" srcOrd="0" destOrd="0" presId="urn:microsoft.com/office/officeart/2005/8/layout/process4"/>
    <dgm:cxn modelId="{BCF20A6F-62AA-4D06-AB03-CF6B28F7376E}" type="presParOf" srcId="{9823E97E-B34A-C34C-A0C3-C56A8B1738FC}" destId="{BF13155E-E1D4-C94E-840D-E3B6147F579F}" srcOrd="0" destOrd="0" presId="urn:microsoft.com/office/officeart/2005/8/layout/process4"/>
    <dgm:cxn modelId="{317B72F1-66EE-4033-887B-591D080A34CE}" type="presParOf" srcId="{9823E97E-B34A-C34C-A0C3-C56A8B1738FC}" destId="{936A3711-A388-FB49-BFF6-552795C30A53}" srcOrd="1" destOrd="0" presId="urn:microsoft.com/office/officeart/2005/8/layout/process4"/>
    <dgm:cxn modelId="{850F0EE4-3F3F-4611-BF15-D4DAA508B824}" type="presParOf" srcId="{9823E97E-B34A-C34C-A0C3-C56A8B1738FC}" destId="{0E41FF41-CC5E-814F-AC06-DAEF1CAF8352}" srcOrd="2" destOrd="0" presId="urn:microsoft.com/office/officeart/2005/8/layout/process4"/>
    <dgm:cxn modelId="{206714FD-5CDE-421C-9351-10EA4DC284F2}" type="presParOf" srcId="{0E41FF41-CC5E-814F-AC06-DAEF1CAF8352}" destId="{B11730FB-18E1-C943-B084-4CDF1F59127B}" srcOrd="0" destOrd="0" presId="urn:microsoft.com/office/officeart/2005/8/layout/process4"/>
    <dgm:cxn modelId="{3C7BCADE-170C-48C4-AE55-7D2E9F2E53AA}" type="presParOf" srcId="{0C806010-91FA-FC40-9264-D1711C8010F8}" destId="{0056E223-4919-5841-B300-29C7E7C262C1}" srcOrd="1" destOrd="0" presId="urn:microsoft.com/office/officeart/2005/8/layout/process4"/>
    <dgm:cxn modelId="{0BC186EC-8AFB-45EA-A972-73E0E8AB1445}" type="presParOf" srcId="{0C806010-91FA-FC40-9264-D1711C8010F8}" destId="{E12FFFDB-907F-7846-918E-A80AD247B760}" srcOrd="2" destOrd="0" presId="urn:microsoft.com/office/officeart/2005/8/layout/process4"/>
    <dgm:cxn modelId="{10E4B003-34C8-46A5-9683-039F5B639D54}" type="presParOf" srcId="{E12FFFDB-907F-7846-918E-A80AD247B760}" destId="{AD4AA184-E06C-1343-BDF3-D32F35A6F300}" srcOrd="0" destOrd="0" presId="urn:microsoft.com/office/officeart/2005/8/layout/process4"/>
    <dgm:cxn modelId="{FEA1280C-566F-474E-B4F3-184F348F3283}" type="presParOf" srcId="{E12FFFDB-907F-7846-918E-A80AD247B760}" destId="{56F73381-5B2C-D24B-B832-B5FAE6BF7A7E}" srcOrd="1" destOrd="0" presId="urn:microsoft.com/office/officeart/2005/8/layout/process4"/>
    <dgm:cxn modelId="{F75097B3-3E40-4CA0-A853-94FAA3B4401E}" type="presParOf" srcId="{E12FFFDB-907F-7846-918E-A80AD247B760}" destId="{BA2DF540-A247-F84F-A8DD-20534248739B}" srcOrd="2" destOrd="0" presId="urn:microsoft.com/office/officeart/2005/8/layout/process4"/>
    <dgm:cxn modelId="{1A6756A6-C86D-4C24-A83A-D708F93CABC8}" type="presParOf" srcId="{BA2DF540-A247-F84F-A8DD-20534248739B}" destId="{1A2A1C0C-BF5A-0847-8E7B-04D461F52224}" srcOrd="0" destOrd="0" presId="urn:microsoft.com/office/officeart/2005/8/layout/process4"/>
    <dgm:cxn modelId="{CA3E87F9-6494-495A-B428-A0E3FCC9D9C5}" type="presParOf" srcId="{0C806010-91FA-FC40-9264-D1711C8010F8}" destId="{92394C7B-B3DC-D942-9EAE-B273069C8A9A}" srcOrd="3" destOrd="0" presId="urn:microsoft.com/office/officeart/2005/8/layout/process4"/>
    <dgm:cxn modelId="{9648AEAC-A6AE-4A62-B444-D3E76CA9D317}" type="presParOf" srcId="{0C806010-91FA-FC40-9264-D1711C8010F8}" destId="{827199D0-4FA4-1B43-A9F9-676E1B001FE1}" srcOrd="4" destOrd="0" presId="urn:microsoft.com/office/officeart/2005/8/layout/process4"/>
    <dgm:cxn modelId="{DAB9A315-B521-4057-80AA-0E512F7F4E7C}" type="presParOf" srcId="{827199D0-4FA4-1B43-A9F9-676E1B001FE1}" destId="{90F00A74-CD56-0642-BBA2-6588A72D2CEC}" srcOrd="0" destOrd="0" presId="urn:microsoft.com/office/officeart/2005/8/layout/process4"/>
    <dgm:cxn modelId="{91561C9F-9A13-4B2A-9479-FD51FE2F4FE8}" type="presParOf" srcId="{827199D0-4FA4-1B43-A9F9-676E1B001FE1}" destId="{1F20F8E4-735C-9148-8848-5FB51BE7FC46}" srcOrd="1" destOrd="0" presId="urn:microsoft.com/office/officeart/2005/8/layout/process4"/>
    <dgm:cxn modelId="{06845681-D80A-4F87-857F-6A02534E127A}" type="presParOf" srcId="{827199D0-4FA4-1B43-A9F9-676E1B001FE1}" destId="{8B636B42-2EB2-4745-BC3A-704FC1AF5A11}" srcOrd="2" destOrd="0" presId="urn:microsoft.com/office/officeart/2005/8/layout/process4"/>
    <dgm:cxn modelId="{372207C8-5B99-4888-AB46-A78A4C80168C}" type="presParOf" srcId="{8B636B42-2EB2-4745-BC3A-704FC1AF5A11}" destId="{87155499-1E5A-8E48-BFC0-FF4E62E7012B}" srcOrd="0" destOrd="0" presId="urn:microsoft.com/office/officeart/2005/8/layout/process4"/>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8B8612-77FB-954F-8B4D-85F5FB94AE45}" type="doc">
      <dgm:prSet loTypeId="urn:microsoft.com/office/officeart/2005/8/layout/process4" loCatId="" qsTypeId="urn:microsoft.com/office/officeart/2005/8/quickstyle/simple1" qsCatId="simple" csTypeId="urn:microsoft.com/office/officeart/2005/8/colors/accent4_5" csCatId="accent4" phldr="1"/>
      <dgm:spPr/>
      <dgm:t>
        <a:bodyPr/>
        <a:lstStyle/>
        <a:p>
          <a:endParaRPr lang="fr-FR"/>
        </a:p>
      </dgm:t>
    </dgm:pt>
    <dgm:pt modelId="{B9BCEA11-4DF8-7A4A-9023-1C688A34996D}">
      <dgm:prSet phldrT="[Texte]" custT="1"/>
      <dgm:spPr>
        <a:xfrm rot="10800000">
          <a:off x="0" y="311"/>
          <a:ext cx="6635520" cy="670321"/>
        </a:xfrm>
        <a:solidFill>
          <a:srgbClr val="C1AD79">
            <a:alpha val="90000"/>
            <a:hueOff val="0"/>
            <a:satOff val="0"/>
            <a:lumOff val="0"/>
            <a:alphaOff val="-40000"/>
          </a:srgbClr>
        </a:solidFill>
        <a:ln w="31750" cap="flat" cmpd="sng" algn="ctr">
          <a:solidFill>
            <a:srgbClr val="FFFFFF">
              <a:hueOff val="0"/>
              <a:satOff val="0"/>
              <a:lumOff val="0"/>
              <a:alphaOff val="0"/>
            </a:srgbClr>
          </a:solidFill>
          <a:prstDash val="solid"/>
        </a:ln>
        <a:effectLst/>
      </dgm:spPr>
      <dgm:t>
        <a:bodyPr/>
        <a:lstStyle/>
        <a:p>
          <a:r>
            <a:rPr lang="fr-FR" sz="1200">
              <a:solidFill>
                <a:srgbClr val="FFFFFF"/>
              </a:solidFill>
              <a:latin typeface="Calisto MT"/>
              <a:ea typeface="+mn-ea"/>
              <a:cs typeface="+mn-cs"/>
            </a:rPr>
            <a:t>ENI CBC Overarching Strategic Objective B</a:t>
          </a:r>
        </a:p>
      </dgm:t>
    </dgm:pt>
    <dgm:pt modelId="{DD67A57A-7A8A-EC4D-92D0-67B864110427}" type="parTrans" cxnId="{ACCFB2D7-BD8B-114C-B5F8-169D718DFFD0}">
      <dgm:prSet/>
      <dgm:spPr/>
      <dgm:t>
        <a:bodyPr/>
        <a:lstStyle/>
        <a:p>
          <a:endParaRPr lang="fr-FR"/>
        </a:p>
      </dgm:t>
    </dgm:pt>
    <dgm:pt modelId="{74850DD5-D7B5-AF44-AED0-415B7D79E98A}" type="sibTrans" cxnId="{ACCFB2D7-BD8B-114C-B5F8-169D718DFFD0}">
      <dgm:prSet/>
      <dgm:spPr/>
      <dgm:t>
        <a:bodyPr/>
        <a:lstStyle/>
        <a:p>
          <a:endParaRPr lang="fr-FR"/>
        </a:p>
      </dgm:t>
    </dgm:pt>
    <dgm:pt modelId="{29A0D074-3E59-A449-A042-B4D5992CD7A1}">
      <dgm:prSet phldrT="[Texte]"/>
      <dgm:spPr>
        <a:xfrm>
          <a:off x="0" y="235594"/>
          <a:ext cx="6635520" cy="200425"/>
        </a:xfrm>
        <a:solidFill>
          <a:srgbClr val="C1AD79">
            <a:alpha val="90000"/>
            <a:tint val="40000"/>
            <a:hueOff val="0"/>
            <a:satOff val="0"/>
            <a:lumOff val="0"/>
            <a:alphaOff val="-40000"/>
          </a:srgbClr>
        </a:solidFill>
        <a:ln w="31750" cap="flat" cmpd="sng" algn="ctr">
          <a:solidFill>
            <a:srgbClr val="C1AD79">
              <a:alpha val="90000"/>
              <a:tint val="40000"/>
              <a:hueOff val="0"/>
              <a:satOff val="0"/>
              <a:lumOff val="0"/>
              <a:alphaOff val="0"/>
            </a:srgbClr>
          </a:solidFill>
          <a:prstDash val="solid"/>
        </a:ln>
        <a:effectLst/>
      </dgm:spPr>
      <dgm:t>
        <a:bodyPr/>
        <a:lstStyle/>
        <a:p>
          <a:r>
            <a:rPr lang="en-GB">
              <a:solidFill>
                <a:srgbClr val="000000">
                  <a:hueOff val="0"/>
                  <a:satOff val="0"/>
                  <a:lumOff val="0"/>
                  <a:alphaOff val="0"/>
                </a:srgbClr>
              </a:solidFill>
              <a:latin typeface="Calisto MT"/>
              <a:ea typeface="+mn-ea"/>
              <a:cs typeface="+mn-cs"/>
            </a:rPr>
            <a:t>Address common challenges in environment, public health, safety and security</a:t>
          </a:r>
          <a:endParaRPr lang="fr-FR">
            <a:solidFill>
              <a:srgbClr val="000000">
                <a:hueOff val="0"/>
                <a:satOff val="0"/>
                <a:lumOff val="0"/>
                <a:alphaOff val="0"/>
              </a:srgbClr>
            </a:solidFill>
            <a:latin typeface="Calisto MT"/>
            <a:ea typeface="+mn-ea"/>
            <a:cs typeface="+mn-cs"/>
          </a:endParaRPr>
        </a:p>
      </dgm:t>
    </dgm:pt>
    <dgm:pt modelId="{090D49B7-B97E-174D-B6B1-770E0B657351}" type="parTrans" cxnId="{76EDC30E-D0C0-1D43-A79A-8B11CB6967E3}">
      <dgm:prSet/>
      <dgm:spPr/>
      <dgm:t>
        <a:bodyPr/>
        <a:lstStyle/>
        <a:p>
          <a:endParaRPr lang="fr-FR"/>
        </a:p>
      </dgm:t>
    </dgm:pt>
    <dgm:pt modelId="{F4F13387-58B5-454A-8498-EAD7412CAE1A}" type="sibTrans" cxnId="{76EDC30E-D0C0-1D43-A79A-8B11CB6967E3}">
      <dgm:prSet/>
      <dgm:spPr/>
      <dgm:t>
        <a:bodyPr/>
        <a:lstStyle/>
        <a:p>
          <a:endParaRPr lang="fr-FR"/>
        </a:p>
      </dgm:t>
    </dgm:pt>
    <dgm:pt modelId="{D24582B5-DCCE-614D-ACDA-1B1819BF2FBE}">
      <dgm:prSet phldrT="[Texte]" custT="1"/>
      <dgm:spPr>
        <a:xfrm rot="10800000">
          <a:off x="0" y="664095"/>
          <a:ext cx="6635520" cy="670321"/>
        </a:xfrm>
        <a:solidFill>
          <a:srgbClr val="C1AD79">
            <a:alpha val="90000"/>
            <a:hueOff val="0"/>
            <a:satOff val="0"/>
            <a:lumOff val="0"/>
            <a:alphaOff val="-20000"/>
          </a:srgbClr>
        </a:solidFill>
        <a:ln w="31750" cap="flat" cmpd="sng" algn="ctr">
          <a:solidFill>
            <a:srgbClr val="FFFFFF">
              <a:hueOff val="0"/>
              <a:satOff val="0"/>
              <a:lumOff val="0"/>
              <a:alphaOff val="0"/>
            </a:srgbClr>
          </a:solidFill>
          <a:prstDash val="solid"/>
        </a:ln>
        <a:effectLst/>
      </dgm:spPr>
      <dgm:t>
        <a:bodyPr/>
        <a:lstStyle/>
        <a:p>
          <a:r>
            <a:rPr lang="fr-FR" sz="1200">
              <a:solidFill>
                <a:srgbClr val="FFFFFF"/>
              </a:solidFill>
              <a:latin typeface="Calisto MT"/>
              <a:ea typeface="+mn-ea"/>
              <a:cs typeface="+mn-cs"/>
            </a:rPr>
            <a:t>ENI CBC Thematic Objective 6</a:t>
          </a:r>
        </a:p>
      </dgm:t>
    </dgm:pt>
    <dgm:pt modelId="{47A499FE-AC1C-FC4E-904F-29F039629FBD}" type="parTrans" cxnId="{7539759B-C128-7A40-8680-F4CE00398EA9}">
      <dgm:prSet/>
      <dgm:spPr/>
      <dgm:t>
        <a:bodyPr/>
        <a:lstStyle/>
        <a:p>
          <a:endParaRPr lang="fr-FR"/>
        </a:p>
      </dgm:t>
    </dgm:pt>
    <dgm:pt modelId="{9C7B6D34-6D42-2342-8A10-DFD9A54E9836}" type="sibTrans" cxnId="{7539759B-C128-7A40-8680-F4CE00398EA9}">
      <dgm:prSet/>
      <dgm:spPr/>
      <dgm:t>
        <a:bodyPr/>
        <a:lstStyle/>
        <a:p>
          <a:endParaRPr lang="fr-FR"/>
        </a:p>
      </dgm:t>
    </dgm:pt>
    <dgm:pt modelId="{19E19C0F-AF5B-2A46-A2FB-5A0537B53EBF}">
      <dgm:prSet phldrT="[Texte]" custT="1"/>
      <dgm:spPr>
        <a:xfrm>
          <a:off x="0" y="899377"/>
          <a:ext cx="6635520" cy="200425"/>
        </a:xfrm>
        <a:solidFill>
          <a:srgbClr val="C1AD79">
            <a:alpha val="90000"/>
            <a:tint val="40000"/>
            <a:hueOff val="0"/>
            <a:satOff val="0"/>
            <a:lumOff val="0"/>
            <a:alphaOff val="-20000"/>
          </a:srgbClr>
        </a:solidFill>
        <a:ln w="31750" cap="flat" cmpd="sng" algn="ctr">
          <a:solidFill>
            <a:srgbClr val="C1AD79">
              <a:alpha val="90000"/>
              <a:tint val="40000"/>
              <a:hueOff val="0"/>
              <a:satOff val="0"/>
              <a:lumOff val="0"/>
              <a:alphaOff val="0"/>
            </a:srgbClr>
          </a:solidFill>
          <a:prstDash val="solid"/>
        </a:ln>
        <a:effectLst/>
      </dgm:spPr>
      <dgm:t>
        <a:bodyPr/>
        <a:lstStyle/>
        <a:p>
          <a:r>
            <a:rPr lang="en-GB" sz="1200">
              <a:solidFill>
                <a:srgbClr val="000000">
                  <a:hueOff val="0"/>
                  <a:satOff val="0"/>
                  <a:lumOff val="0"/>
                  <a:alphaOff val="0"/>
                </a:srgbClr>
              </a:solidFill>
              <a:latin typeface="Calisto MT"/>
              <a:ea typeface="+mn-ea"/>
              <a:cs typeface="+mn-cs"/>
            </a:rPr>
            <a:t>Environmental protection, and climate change mitigation and adaptation</a:t>
          </a:r>
          <a:endParaRPr lang="fr-FR" sz="1200">
            <a:solidFill>
              <a:srgbClr val="000000">
                <a:hueOff val="0"/>
                <a:satOff val="0"/>
                <a:lumOff val="0"/>
                <a:alphaOff val="0"/>
              </a:srgbClr>
            </a:solidFill>
            <a:latin typeface="Calisto MT"/>
            <a:ea typeface="+mn-ea"/>
            <a:cs typeface="+mn-cs"/>
          </a:endParaRPr>
        </a:p>
      </dgm:t>
    </dgm:pt>
    <dgm:pt modelId="{F6961F8A-121C-3248-9602-4918D90D7036}" type="parTrans" cxnId="{B88A1DFF-79E2-C04C-BB32-C36BF38DD4D2}">
      <dgm:prSet/>
      <dgm:spPr/>
      <dgm:t>
        <a:bodyPr/>
        <a:lstStyle/>
        <a:p>
          <a:endParaRPr lang="fr-FR"/>
        </a:p>
      </dgm:t>
    </dgm:pt>
    <dgm:pt modelId="{4B5C7BB0-DDEE-A14F-A878-98E16C02F5C2}" type="sibTrans" cxnId="{B88A1DFF-79E2-C04C-BB32-C36BF38DD4D2}">
      <dgm:prSet/>
      <dgm:spPr/>
      <dgm:t>
        <a:bodyPr/>
        <a:lstStyle/>
        <a:p>
          <a:endParaRPr lang="fr-FR"/>
        </a:p>
      </dgm:t>
    </dgm:pt>
    <dgm:pt modelId="{5BCF6014-5D8E-294A-B26E-EB67CEBA2A75}">
      <dgm:prSet phldrT="[Texte]" custT="1"/>
      <dgm:spPr>
        <a:xfrm>
          <a:off x="0" y="1327878"/>
          <a:ext cx="6635520" cy="435839"/>
        </a:xfrm>
        <a:solidFill>
          <a:srgbClr val="C1AD79">
            <a:alpha val="90000"/>
            <a:hueOff val="0"/>
            <a:satOff val="0"/>
            <a:lumOff val="0"/>
            <a:alphaOff val="0"/>
          </a:srgbClr>
        </a:solidFill>
        <a:ln w="31750" cap="flat" cmpd="sng" algn="ctr">
          <a:solidFill>
            <a:srgbClr val="FFFFFF">
              <a:hueOff val="0"/>
              <a:satOff val="0"/>
              <a:lumOff val="0"/>
              <a:alphaOff val="0"/>
            </a:srgbClr>
          </a:solidFill>
          <a:prstDash val="solid"/>
        </a:ln>
        <a:effectLst/>
      </dgm:spPr>
      <dgm:t>
        <a:bodyPr/>
        <a:lstStyle/>
        <a:p>
          <a:r>
            <a:rPr lang="fr-FR" sz="1200">
              <a:solidFill>
                <a:srgbClr val="FFFFFF"/>
              </a:solidFill>
              <a:latin typeface="Calisto MT"/>
              <a:ea typeface="+mn-ea"/>
              <a:cs typeface="+mn-cs"/>
            </a:rPr>
            <a:t>Black Sea Basin Programme Objective 2</a:t>
          </a:r>
        </a:p>
      </dgm:t>
    </dgm:pt>
    <dgm:pt modelId="{A916E58A-7E6C-1340-8D5A-6C57865D2D16}" type="parTrans" cxnId="{60ADC3C4-02D9-E240-9D22-A1EEFD017C0D}">
      <dgm:prSet/>
      <dgm:spPr/>
      <dgm:t>
        <a:bodyPr/>
        <a:lstStyle/>
        <a:p>
          <a:endParaRPr lang="fr-FR"/>
        </a:p>
      </dgm:t>
    </dgm:pt>
    <dgm:pt modelId="{BCB190A3-5349-1B41-866F-7A5768797584}" type="sibTrans" cxnId="{60ADC3C4-02D9-E240-9D22-A1EEFD017C0D}">
      <dgm:prSet/>
      <dgm:spPr/>
      <dgm:t>
        <a:bodyPr/>
        <a:lstStyle/>
        <a:p>
          <a:endParaRPr lang="fr-FR"/>
        </a:p>
      </dgm:t>
    </dgm:pt>
    <dgm:pt modelId="{B5E03A3A-0DFE-0548-B18E-D20ADEB346AB}">
      <dgm:prSet phldrT="[Texte]"/>
      <dgm:spPr>
        <a:xfrm>
          <a:off x="0" y="1554515"/>
          <a:ext cx="6635520" cy="200486"/>
        </a:xfrm>
        <a:solidFill>
          <a:srgbClr val="C1AD79">
            <a:alpha val="90000"/>
            <a:tint val="40000"/>
            <a:hueOff val="0"/>
            <a:satOff val="0"/>
            <a:lumOff val="0"/>
            <a:alphaOff val="0"/>
          </a:srgbClr>
        </a:solidFill>
        <a:ln w="31750" cap="flat" cmpd="sng" algn="ctr">
          <a:solidFill>
            <a:srgbClr val="C1AD79">
              <a:alpha val="90000"/>
              <a:tint val="40000"/>
              <a:hueOff val="0"/>
              <a:satOff val="0"/>
              <a:lumOff val="0"/>
              <a:alphaOff val="0"/>
            </a:srgbClr>
          </a:solidFill>
          <a:prstDash val="solid"/>
        </a:ln>
        <a:effectLst/>
      </dgm:spPr>
      <dgm:t>
        <a:bodyPr/>
        <a:lstStyle/>
        <a:p>
          <a:r>
            <a:rPr lang="en-GB" b="0">
              <a:solidFill>
                <a:srgbClr val="000000">
                  <a:hueOff val="0"/>
                  <a:satOff val="0"/>
                  <a:lumOff val="0"/>
                  <a:alphaOff val="0"/>
                </a:srgbClr>
              </a:solidFill>
              <a:latin typeface="Calisto MT"/>
              <a:ea typeface="+mn-ea"/>
              <a:cs typeface="+mn-cs"/>
            </a:rPr>
            <a:t>Promote coordination of environmental protection and joint reduction of marine litter </a:t>
          </a:r>
          <a:endParaRPr lang="fr-FR" b="0">
            <a:solidFill>
              <a:srgbClr val="000000">
                <a:hueOff val="0"/>
                <a:satOff val="0"/>
                <a:lumOff val="0"/>
                <a:alphaOff val="0"/>
              </a:srgbClr>
            </a:solidFill>
            <a:latin typeface="Calisto MT"/>
            <a:ea typeface="+mn-ea"/>
            <a:cs typeface="+mn-cs"/>
          </a:endParaRPr>
        </a:p>
      </dgm:t>
    </dgm:pt>
    <dgm:pt modelId="{FF15CBC5-26A2-6048-889B-36648920B6B3}" type="parTrans" cxnId="{D803D840-4F92-6446-B88B-C150B9B36880}">
      <dgm:prSet/>
      <dgm:spPr/>
      <dgm:t>
        <a:bodyPr/>
        <a:lstStyle/>
        <a:p>
          <a:endParaRPr lang="fr-FR"/>
        </a:p>
      </dgm:t>
    </dgm:pt>
    <dgm:pt modelId="{3F7D471E-521D-4A48-BA9E-61E02EC707F8}" type="sibTrans" cxnId="{D803D840-4F92-6446-B88B-C150B9B36880}">
      <dgm:prSet/>
      <dgm:spPr/>
      <dgm:t>
        <a:bodyPr/>
        <a:lstStyle/>
        <a:p>
          <a:endParaRPr lang="fr-FR"/>
        </a:p>
      </dgm:t>
    </dgm:pt>
    <dgm:pt modelId="{0C806010-91FA-FC40-9264-D1711C8010F8}" type="pres">
      <dgm:prSet presAssocID="{AB8B8612-77FB-954F-8B4D-85F5FB94AE45}" presName="Name0" presStyleCnt="0">
        <dgm:presLayoutVars>
          <dgm:dir/>
          <dgm:animLvl val="lvl"/>
          <dgm:resizeHandles val="exact"/>
        </dgm:presLayoutVars>
      </dgm:prSet>
      <dgm:spPr/>
      <dgm:t>
        <a:bodyPr/>
        <a:lstStyle/>
        <a:p>
          <a:endParaRPr lang="fr-FR"/>
        </a:p>
      </dgm:t>
    </dgm:pt>
    <dgm:pt modelId="{9823E97E-B34A-C34C-A0C3-C56A8B1738FC}" type="pres">
      <dgm:prSet presAssocID="{5BCF6014-5D8E-294A-B26E-EB67CEBA2A75}" presName="boxAndChildren" presStyleCnt="0"/>
      <dgm:spPr/>
    </dgm:pt>
    <dgm:pt modelId="{BF13155E-E1D4-C94E-840D-E3B6147F579F}" type="pres">
      <dgm:prSet presAssocID="{5BCF6014-5D8E-294A-B26E-EB67CEBA2A75}" presName="parentTextBox" presStyleLbl="node1" presStyleIdx="0" presStyleCnt="3"/>
      <dgm:spPr>
        <a:prstGeom prst="rect">
          <a:avLst/>
        </a:prstGeom>
      </dgm:spPr>
      <dgm:t>
        <a:bodyPr/>
        <a:lstStyle/>
        <a:p>
          <a:endParaRPr lang="fr-FR"/>
        </a:p>
      </dgm:t>
    </dgm:pt>
    <dgm:pt modelId="{936A3711-A388-FB49-BFF6-552795C30A53}" type="pres">
      <dgm:prSet presAssocID="{5BCF6014-5D8E-294A-B26E-EB67CEBA2A75}" presName="entireBox" presStyleLbl="node1" presStyleIdx="0" presStyleCnt="3"/>
      <dgm:spPr/>
      <dgm:t>
        <a:bodyPr/>
        <a:lstStyle/>
        <a:p>
          <a:endParaRPr lang="fr-FR"/>
        </a:p>
      </dgm:t>
    </dgm:pt>
    <dgm:pt modelId="{0E41FF41-CC5E-814F-AC06-DAEF1CAF8352}" type="pres">
      <dgm:prSet presAssocID="{5BCF6014-5D8E-294A-B26E-EB67CEBA2A75}" presName="descendantBox" presStyleCnt="0"/>
      <dgm:spPr/>
    </dgm:pt>
    <dgm:pt modelId="{B11730FB-18E1-C943-B084-4CDF1F59127B}" type="pres">
      <dgm:prSet presAssocID="{B5E03A3A-0DFE-0548-B18E-D20ADEB346AB}" presName="childTextBox" presStyleLbl="fgAccFollowNode1" presStyleIdx="0" presStyleCnt="3">
        <dgm:presLayoutVars>
          <dgm:bulletEnabled val="1"/>
        </dgm:presLayoutVars>
      </dgm:prSet>
      <dgm:spPr>
        <a:prstGeom prst="rect">
          <a:avLst/>
        </a:prstGeom>
      </dgm:spPr>
      <dgm:t>
        <a:bodyPr/>
        <a:lstStyle/>
        <a:p>
          <a:endParaRPr lang="fr-FR"/>
        </a:p>
      </dgm:t>
    </dgm:pt>
    <dgm:pt modelId="{0056E223-4919-5841-B300-29C7E7C262C1}" type="pres">
      <dgm:prSet presAssocID="{9C7B6D34-6D42-2342-8A10-DFD9A54E9836}" presName="sp" presStyleCnt="0"/>
      <dgm:spPr/>
    </dgm:pt>
    <dgm:pt modelId="{E12FFFDB-907F-7846-918E-A80AD247B760}" type="pres">
      <dgm:prSet presAssocID="{D24582B5-DCCE-614D-ACDA-1B1819BF2FBE}" presName="arrowAndChildren" presStyleCnt="0"/>
      <dgm:spPr/>
    </dgm:pt>
    <dgm:pt modelId="{AD4AA184-E06C-1343-BDF3-D32F35A6F300}" type="pres">
      <dgm:prSet presAssocID="{D24582B5-DCCE-614D-ACDA-1B1819BF2FBE}" presName="parentTextArrow" presStyleLbl="node1" presStyleIdx="0" presStyleCnt="3"/>
      <dgm:spPr>
        <a:prstGeom prst="upArrowCallout">
          <a:avLst/>
        </a:prstGeom>
      </dgm:spPr>
      <dgm:t>
        <a:bodyPr/>
        <a:lstStyle/>
        <a:p>
          <a:endParaRPr lang="fr-FR"/>
        </a:p>
      </dgm:t>
    </dgm:pt>
    <dgm:pt modelId="{56F73381-5B2C-D24B-B832-B5FAE6BF7A7E}" type="pres">
      <dgm:prSet presAssocID="{D24582B5-DCCE-614D-ACDA-1B1819BF2FBE}" presName="arrow" presStyleLbl="node1" presStyleIdx="1" presStyleCnt="3"/>
      <dgm:spPr/>
      <dgm:t>
        <a:bodyPr/>
        <a:lstStyle/>
        <a:p>
          <a:endParaRPr lang="fr-FR"/>
        </a:p>
      </dgm:t>
    </dgm:pt>
    <dgm:pt modelId="{BA2DF540-A247-F84F-A8DD-20534248739B}" type="pres">
      <dgm:prSet presAssocID="{D24582B5-DCCE-614D-ACDA-1B1819BF2FBE}" presName="descendantArrow" presStyleCnt="0"/>
      <dgm:spPr/>
    </dgm:pt>
    <dgm:pt modelId="{1A2A1C0C-BF5A-0847-8E7B-04D461F52224}" type="pres">
      <dgm:prSet presAssocID="{19E19C0F-AF5B-2A46-A2FB-5A0537B53EBF}" presName="childTextArrow" presStyleLbl="fgAccFollowNode1" presStyleIdx="1" presStyleCnt="3">
        <dgm:presLayoutVars>
          <dgm:bulletEnabled val="1"/>
        </dgm:presLayoutVars>
      </dgm:prSet>
      <dgm:spPr>
        <a:prstGeom prst="rect">
          <a:avLst/>
        </a:prstGeom>
      </dgm:spPr>
      <dgm:t>
        <a:bodyPr/>
        <a:lstStyle/>
        <a:p>
          <a:endParaRPr lang="fr-FR"/>
        </a:p>
      </dgm:t>
    </dgm:pt>
    <dgm:pt modelId="{92394C7B-B3DC-D942-9EAE-B273069C8A9A}" type="pres">
      <dgm:prSet presAssocID="{74850DD5-D7B5-AF44-AED0-415B7D79E98A}" presName="sp" presStyleCnt="0"/>
      <dgm:spPr/>
    </dgm:pt>
    <dgm:pt modelId="{827199D0-4FA4-1B43-A9F9-676E1B001FE1}" type="pres">
      <dgm:prSet presAssocID="{B9BCEA11-4DF8-7A4A-9023-1C688A34996D}" presName="arrowAndChildren" presStyleCnt="0"/>
      <dgm:spPr/>
    </dgm:pt>
    <dgm:pt modelId="{90F00A74-CD56-0642-BBA2-6588A72D2CEC}" type="pres">
      <dgm:prSet presAssocID="{B9BCEA11-4DF8-7A4A-9023-1C688A34996D}" presName="parentTextArrow" presStyleLbl="node1" presStyleIdx="1" presStyleCnt="3"/>
      <dgm:spPr>
        <a:prstGeom prst="upArrowCallout">
          <a:avLst/>
        </a:prstGeom>
      </dgm:spPr>
      <dgm:t>
        <a:bodyPr/>
        <a:lstStyle/>
        <a:p>
          <a:endParaRPr lang="fr-FR"/>
        </a:p>
      </dgm:t>
    </dgm:pt>
    <dgm:pt modelId="{1F20F8E4-735C-9148-8848-5FB51BE7FC46}" type="pres">
      <dgm:prSet presAssocID="{B9BCEA11-4DF8-7A4A-9023-1C688A34996D}" presName="arrow" presStyleLbl="node1" presStyleIdx="2" presStyleCnt="3"/>
      <dgm:spPr/>
      <dgm:t>
        <a:bodyPr/>
        <a:lstStyle/>
        <a:p>
          <a:endParaRPr lang="fr-FR"/>
        </a:p>
      </dgm:t>
    </dgm:pt>
    <dgm:pt modelId="{8B636B42-2EB2-4745-BC3A-704FC1AF5A11}" type="pres">
      <dgm:prSet presAssocID="{B9BCEA11-4DF8-7A4A-9023-1C688A34996D}" presName="descendantArrow" presStyleCnt="0"/>
      <dgm:spPr/>
    </dgm:pt>
    <dgm:pt modelId="{87155499-1E5A-8E48-BFC0-FF4E62E7012B}" type="pres">
      <dgm:prSet presAssocID="{29A0D074-3E59-A449-A042-B4D5992CD7A1}" presName="childTextArrow" presStyleLbl="fgAccFollowNode1" presStyleIdx="2" presStyleCnt="3">
        <dgm:presLayoutVars>
          <dgm:bulletEnabled val="1"/>
        </dgm:presLayoutVars>
      </dgm:prSet>
      <dgm:spPr>
        <a:prstGeom prst="rect">
          <a:avLst/>
        </a:prstGeom>
      </dgm:spPr>
      <dgm:t>
        <a:bodyPr/>
        <a:lstStyle/>
        <a:p>
          <a:endParaRPr lang="fr-FR"/>
        </a:p>
      </dgm:t>
    </dgm:pt>
  </dgm:ptLst>
  <dgm:cxnLst>
    <dgm:cxn modelId="{76EDC30E-D0C0-1D43-A79A-8B11CB6967E3}" srcId="{B9BCEA11-4DF8-7A4A-9023-1C688A34996D}" destId="{29A0D074-3E59-A449-A042-B4D5992CD7A1}" srcOrd="0" destOrd="0" parTransId="{090D49B7-B97E-174D-B6B1-770E0B657351}" sibTransId="{F4F13387-58B5-454A-8498-EAD7412CAE1A}"/>
    <dgm:cxn modelId="{7539759B-C128-7A40-8680-F4CE00398EA9}" srcId="{AB8B8612-77FB-954F-8B4D-85F5FB94AE45}" destId="{D24582B5-DCCE-614D-ACDA-1B1819BF2FBE}" srcOrd="1" destOrd="0" parTransId="{47A499FE-AC1C-FC4E-904F-29F039629FBD}" sibTransId="{9C7B6D34-6D42-2342-8A10-DFD9A54E9836}"/>
    <dgm:cxn modelId="{CDB07D8D-1041-4AD5-A1D3-70580A187C37}" type="presOf" srcId="{D24582B5-DCCE-614D-ACDA-1B1819BF2FBE}" destId="{AD4AA184-E06C-1343-BDF3-D32F35A6F300}" srcOrd="0" destOrd="0" presId="urn:microsoft.com/office/officeart/2005/8/layout/process4"/>
    <dgm:cxn modelId="{AF244CBF-823A-4E8E-89F4-26002197ADD8}" type="presOf" srcId="{AB8B8612-77FB-954F-8B4D-85F5FB94AE45}" destId="{0C806010-91FA-FC40-9264-D1711C8010F8}" srcOrd="0" destOrd="0" presId="urn:microsoft.com/office/officeart/2005/8/layout/process4"/>
    <dgm:cxn modelId="{3D4D8D37-01E6-44E3-853E-0044BD5D32E0}" type="presOf" srcId="{19E19C0F-AF5B-2A46-A2FB-5A0537B53EBF}" destId="{1A2A1C0C-BF5A-0847-8E7B-04D461F52224}" srcOrd="0" destOrd="0" presId="urn:microsoft.com/office/officeart/2005/8/layout/process4"/>
    <dgm:cxn modelId="{5BCF8995-40EC-41AE-9B2A-4CB51E212033}" type="presOf" srcId="{D24582B5-DCCE-614D-ACDA-1B1819BF2FBE}" destId="{56F73381-5B2C-D24B-B832-B5FAE6BF7A7E}" srcOrd="1" destOrd="0" presId="urn:microsoft.com/office/officeart/2005/8/layout/process4"/>
    <dgm:cxn modelId="{3E7B6F84-86C8-40BA-A123-0BEED82731D9}" type="presOf" srcId="{5BCF6014-5D8E-294A-B26E-EB67CEBA2A75}" destId="{936A3711-A388-FB49-BFF6-552795C30A53}" srcOrd="1" destOrd="0" presId="urn:microsoft.com/office/officeart/2005/8/layout/process4"/>
    <dgm:cxn modelId="{1B000384-6E18-48D8-A172-E257F1517C1E}" type="presOf" srcId="{29A0D074-3E59-A449-A042-B4D5992CD7A1}" destId="{87155499-1E5A-8E48-BFC0-FF4E62E7012B}" srcOrd="0" destOrd="0" presId="urn:microsoft.com/office/officeart/2005/8/layout/process4"/>
    <dgm:cxn modelId="{FD78CA24-DF14-48BC-9188-4DE4112E9A77}" type="presOf" srcId="{5BCF6014-5D8E-294A-B26E-EB67CEBA2A75}" destId="{BF13155E-E1D4-C94E-840D-E3B6147F579F}" srcOrd="0" destOrd="0" presId="urn:microsoft.com/office/officeart/2005/8/layout/process4"/>
    <dgm:cxn modelId="{227370E2-3623-4DCD-9C02-8BE10A219FF7}" type="presOf" srcId="{B9BCEA11-4DF8-7A4A-9023-1C688A34996D}" destId="{90F00A74-CD56-0642-BBA2-6588A72D2CEC}" srcOrd="0" destOrd="0" presId="urn:microsoft.com/office/officeart/2005/8/layout/process4"/>
    <dgm:cxn modelId="{79068840-F53F-455F-90E5-DAD0265DB55C}" type="presOf" srcId="{B5E03A3A-0DFE-0548-B18E-D20ADEB346AB}" destId="{B11730FB-18E1-C943-B084-4CDF1F59127B}" srcOrd="0" destOrd="0" presId="urn:microsoft.com/office/officeart/2005/8/layout/process4"/>
    <dgm:cxn modelId="{ACCFB2D7-BD8B-114C-B5F8-169D718DFFD0}" srcId="{AB8B8612-77FB-954F-8B4D-85F5FB94AE45}" destId="{B9BCEA11-4DF8-7A4A-9023-1C688A34996D}" srcOrd="0" destOrd="0" parTransId="{DD67A57A-7A8A-EC4D-92D0-67B864110427}" sibTransId="{74850DD5-D7B5-AF44-AED0-415B7D79E98A}"/>
    <dgm:cxn modelId="{B88A1DFF-79E2-C04C-BB32-C36BF38DD4D2}" srcId="{D24582B5-DCCE-614D-ACDA-1B1819BF2FBE}" destId="{19E19C0F-AF5B-2A46-A2FB-5A0537B53EBF}" srcOrd="0" destOrd="0" parTransId="{F6961F8A-121C-3248-9602-4918D90D7036}" sibTransId="{4B5C7BB0-DDEE-A14F-A878-98E16C02F5C2}"/>
    <dgm:cxn modelId="{60ADC3C4-02D9-E240-9D22-A1EEFD017C0D}" srcId="{AB8B8612-77FB-954F-8B4D-85F5FB94AE45}" destId="{5BCF6014-5D8E-294A-B26E-EB67CEBA2A75}" srcOrd="2" destOrd="0" parTransId="{A916E58A-7E6C-1340-8D5A-6C57865D2D16}" sibTransId="{BCB190A3-5349-1B41-866F-7A5768797584}"/>
    <dgm:cxn modelId="{3551260D-5D6F-4F4A-BDAA-2EFDE520F344}" type="presOf" srcId="{B9BCEA11-4DF8-7A4A-9023-1C688A34996D}" destId="{1F20F8E4-735C-9148-8848-5FB51BE7FC46}" srcOrd="1" destOrd="0" presId="urn:microsoft.com/office/officeart/2005/8/layout/process4"/>
    <dgm:cxn modelId="{D803D840-4F92-6446-B88B-C150B9B36880}" srcId="{5BCF6014-5D8E-294A-B26E-EB67CEBA2A75}" destId="{B5E03A3A-0DFE-0548-B18E-D20ADEB346AB}" srcOrd="0" destOrd="0" parTransId="{FF15CBC5-26A2-6048-889B-36648920B6B3}" sibTransId="{3F7D471E-521D-4A48-BA9E-61E02EC707F8}"/>
    <dgm:cxn modelId="{346761B5-570C-4D20-8D63-5770B4CF07EE}" type="presParOf" srcId="{0C806010-91FA-FC40-9264-D1711C8010F8}" destId="{9823E97E-B34A-C34C-A0C3-C56A8B1738FC}" srcOrd="0" destOrd="0" presId="urn:microsoft.com/office/officeart/2005/8/layout/process4"/>
    <dgm:cxn modelId="{45028480-C11D-4F8A-97C7-8B48B495B740}" type="presParOf" srcId="{9823E97E-B34A-C34C-A0C3-C56A8B1738FC}" destId="{BF13155E-E1D4-C94E-840D-E3B6147F579F}" srcOrd="0" destOrd="0" presId="urn:microsoft.com/office/officeart/2005/8/layout/process4"/>
    <dgm:cxn modelId="{1E1130E4-E6E8-4C77-83E3-0E4C363583F1}" type="presParOf" srcId="{9823E97E-B34A-C34C-A0C3-C56A8B1738FC}" destId="{936A3711-A388-FB49-BFF6-552795C30A53}" srcOrd="1" destOrd="0" presId="urn:microsoft.com/office/officeart/2005/8/layout/process4"/>
    <dgm:cxn modelId="{75D86910-67D4-4B45-A47F-7836382C5E39}" type="presParOf" srcId="{9823E97E-B34A-C34C-A0C3-C56A8B1738FC}" destId="{0E41FF41-CC5E-814F-AC06-DAEF1CAF8352}" srcOrd="2" destOrd="0" presId="urn:microsoft.com/office/officeart/2005/8/layout/process4"/>
    <dgm:cxn modelId="{56771AC8-86AA-4FA1-9B35-DD29916FD4BC}" type="presParOf" srcId="{0E41FF41-CC5E-814F-AC06-DAEF1CAF8352}" destId="{B11730FB-18E1-C943-B084-4CDF1F59127B}" srcOrd="0" destOrd="0" presId="urn:microsoft.com/office/officeart/2005/8/layout/process4"/>
    <dgm:cxn modelId="{117C15FF-A36E-47D2-8719-A3BAC75947B7}" type="presParOf" srcId="{0C806010-91FA-FC40-9264-D1711C8010F8}" destId="{0056E223-4919-5841-B300-29C7E7C262C1}" srcOrd="1" destOrd="0" presId="urn:microsoft.com/office/officeart/2005/8/layout/process4"/>
    <dgm:cxn modelId="{102BD94E-2964-4B1A-9C11-9DF1B6FDE0A7}" type="presParOf" srcId="{0C806010-91FA-FC40-9264-D1711C8010F8}" destId="{E12FFFDB-907F-7846-918E-A80AD247B760}" srcOrd="2" destOrd="0" presId="urn:microsoft.com/office/officeart/2005/8/layout/process4"/>
    <dgm:cxn modelId="{15C04D15-8932-4078-9685-5B37C4850422}" type="presParOf" srcId="{E12FFFDB-907F-7846-918E-A80AD247B760}" destId="{AD4AA184-E06C-1343-BDF3-D32F35A6F300}" srcOrd="0" destOrd="0" presId="urn:microsoft.com/office/officeart/2005/8/layout/process4"/>
    <dgm:cxn modelId="{834A9E16-19BB-40CD-81FA-9E3545F38EF4}" type="presParOf" srcId="{E12FFFDB-907F-7846-918E-A80AD247B760}" destId="{56F73381-5B2C-D24B-B832-B5FAE6BF7A7E}" srcOrd="1" destOrd="0" presId="urn:microsoft.com/office/officeart/2005/8/layout/process4"/>
    <dgm:cxn modelId="{2C10FC98-2984-45B9-9D08-1582587042A5}" type="presParOf" srcId="{E12FFFDB-907F-7846-918E-A80AD247B760}" destId="{BA2DF540-A247-F84F-A8DD-20534248739B}" srcOrd="2" destOrd="0" presId="urn:microsoft.com/office/officeart/2005/8/layout/process4"/>
    <dgm:cxn modelId="{F7F8A0CB-3EAC-466B-99A1-91607E2502E4}" type="presParOf" srcId="{BA2DF540-A247-F84F-A8DD-20534248739B}" destId="{1A2A1C0C-BF5A-0847-8E7B-04D461F52224}" srcOrd="0" destOrd="0" presId="urn:microsoft.com/office/officeart/2005/8/layout/process4"/>
    <dgm:cxn modelId="{B58203A0-C1F8-4781-AA8E-86708EDF7633}" type="presParOf" srcId="{0C806010-91FA-FC40-9264-D1711C8010F8}" destId="{92394C7B-B3DC-D942-9EAE-B273069C8A9A}" srcOrd="3" destOrd="0" presId="urn:microsoft.com/office/officeart/2005/8/layout/process4"/>
    <dgm:cxn modelId="{3D1EA864-50AC-4C91-B8B3-DB2B533D7340}" type="presParOf" srcId="{0C806010-91FA-FC40-9264-D1711C8010F8}" destId="{827199D0-4FA4-1B43-A9F9-676E1B001FE1}" srcOrd="4" destOrd="0" presId="urn:microsoft.com/office/officeart/2005/8/layout/process4"/>
    <dgm:cxn modelId="{AF5813AE-99AB-4698-91AE-6F2A5939B9DD}" type="presParOf" srcId="{827199D0-4FA4-1B43-A9F9-676E1B001FE1}" destId="{90F00A74-CD56-0642-BBA2-6588A72D2CEC}" srcOrd="0" destOrd="0" presId="urn:microsoft.com/office/officeart/2005/8/layout/process4"/>
    <dgm:cxn modelId="{A4866E53-5B7F-4030-B9A4-94F212858281}" type="presParOf" srcId="{827199D0-4FA4-1B43-A9F9-676E1B001FE1}" destId="{1F20F8E4-735C-9148-8848-5FB51BE7FC46}" srcOrd="1" destOrd="0" presId="urn:microsoft.com/office/officeart/2005/8/layout/process4"/>
    <dgm:cxn modelId="{F9F35128-7DBD-4BCD-B2CE-B5720AAD9B0B}" type="presParOf" srcId="{827199D0-4FA4-1B43-A9F9-676E1B001FE1}" destId="{8B636B42-2EB2-4745-BC3A-704FC1AF5A11}" srcOrd="2" destOrd="0" presId="urn:microsoft.com/office/officeart/2005/8/layout/process4"/>
    <dgm:cxn modelId="{AA763401-8AE3-449A-994A-0AD4EDCFA3A2}" type="presParOf" srcId="{8B636B42-2EB2-4745-BC3A-704FC1AF5A11}" destId="{87155499-1E5A-8E48-BFC0-FF4E62E7012B}" srcOrd="0" destOrd="0" presId="urn:microsoft.com/office/officeart/2005/8/layout/process4"/>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2FA628-FE3C-0745-8728-F80F8402BD4D}">
      <dsp:nvSpPr>
        <dsp:cNvPr id="0" name=""/>
        <dsp:cNvSpPr/>
      </dsp:nvSpPr>
      <dsp:spPr>
        <a:xfrm>
          <a:off x="0" y="3250462"/>
          <a:ext cx="5974333" cy="672909"/>
        </a:xfrm>
        <a:prstGeom prst="roundRect">
          <a:avLst>
            <a:gd name="adj" fmla="val 10000"/>
          </a:avLst>
        </a:prstGeom>
        <a:solidFill>
          <a:srgbClr val="C1AD79">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dirty="0" smtClean="0">
              <a:solidFill>
                <a:srgbClr val="000000">
                  <a:hueOff val="0"/>
                  <a:satOff val="0"/>
                  <a:lumOff val="0"/>
                  <a:alphaOff val="0"/>
                </a:srgbClr>
              </a:solidFill>
              <a:latin typeface="Calisto MT"/>
              <a:ea typeface="+mn-ea"/>
              <a:cs typeface="+mn-cs"/>
            </a:rPr>
            <a:t>Proposed BSB strategy</a:t>
          </a:r>
          <a:endParaRPr lang="en-GB" sz="1200" b="1" kern="1200" dirty="0">
            <a:solidFill>
              <a:srgbClr val="000000">
                <a:hueOff val="0"/>
                <a:satOff val="0"/>
                <a:lumOff val="0"/>
                <a:alphaOff val="0"/>
              </a:srgbClr>
            </a:solidFill>
            <a:latin typeface="Calisto MT"/>
            <a:ea typeface="+mn-ea"/>
            <a:cs typeface="+mn-cs"/>
          </a:endParaRPr>
        </a:p>
      </dsp:txBody>
      <dsp:txXfrm>
        <a:off x="0" y="3250462"/>
        <a:ext cx="1792299" cy="672909"/>
      </dsp:txXfrm>
    </dsp:sp>
    <dsp:sp modelId="{7F955147-9AEA-D94B-80AB-3AAD06E26597}">
      <dsp:nvSpPr>
        <dsp:cNvPr id="0" name=""/>
        <dsp:cNvSpPr/>
      </dsp:nvSpPr>
      <dsp:spPr>
        <a:xfrm>
          <a:off x="0" y="2458748"/>
          <a:ext cx="5974333" cy="738136"/>
        </a:xfrm>
        <a:prstGeom prst="roundRect">
          <a:avLst>
            <a:gd name="adj" fmla="val 10000"/>
          </a:avLst>
        </a:prstGeom>
        <a:solidFill>
          <a:srgbClr val="C1AD79">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dirty="0" smtClean="0">
              <a:solidFill>
                <a:srgbClr val="000000">
                  <a:hueOff val="0"/>
                  <a:satOff val="0"/>
                  <a:lumOff val="0"/>
                  <a:alphaOff val="0"/>
                </a:srgbClr>
              </a:solidFill>
              <a:latin typeface="Calisto MT"/>
              <a:ea typeface="+mn-ea"/>
              <a:cs typeface="+mn-cs"/>
            </a:rPr>
            <a:t>Outcome of coherence analysis with other EU programmes</a:t>
          </a:r>
          <a:endParaRPr lang="en-GB" sz="1200" b="1" kern="1200" dirty="0">
            <a:solidFill>
              <a:srgbClr val="000000">
                <a:hueOff val="0"/>
                <a:satOff val="0"/>
                <a:lumOff val="0"/>
                <a:alphaOff val="0"/>
              </a:srgbClr>
            </a:solidFill>
            <a:latin typeface="Calisto MT"/>
            <a:ea typeface="+mn-ea"/>
            <a:cs typeface="+mn-cs"/>
          </a:endParaRPr>
        </a:p>
      </dsp:txBody>
      <dsp:txXfrm>
        <a:off x="0" y="2458748"/>
        <a:ext cx="1792299" cy="738136"/>
      </dsp:txXfrm>
    </dsp:sp>
    <dsp:sp modelId="{FE92E8C1-4F22-0441-BD9A-6800DEFC0AF3}">
      <dsp:nvSpPr>
        <dsp:cNvPr id="0" name=""/>
        <dsp:cNvSpPr/>
      </dsp:nvSpPr>
      <dsp:spPr>
        <a:xfrm>
          <a:off x="0" y="1667029"/>
          <a:ext cx="5974333" cy="738139"/>
        </a:xfrm>
        <a:prstGeom prst="roundRect">
          <a:avLst>
            <a:gd name="adj" fmla="val 10000"/>
          </a:avLst>
        </a:prstGeom>
        <a:solidFill>
          <a:srgbClr val="C1AD79">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dirty="0" smtClean="0">
              <a:solidFill>
                <a:srgbClr val="000000">
                  <a:hueOff val="0"/>
                  <a:satOff val="0"/>
                  <a:lumOff val="0"/>
                  <a:alphaOff val="0"/>
                </a:srgbClr>
              </a:solidFill>
              <a:latin typeface="Calisto MT"/>
              <a:ea typeface="+mn-ea"/>
              <a:cs typeface="+mn-cs"/>
            </a:rPr>
            <a:t>Outcome of consultations</a:t>
          </a:r>
          <a:endParaRPr lang="en-GB" sz="1200" b="1" kern="1200" dirty="0">
            <a:solidFill>
              <a:srgbClr val="000000">
                <a:hueOff val="0"/>
                <a:satOff val="0"/>
                <a:lumOff val="0"/>
                <a:alphaOff val="0"/>
              </a:srgbClr>
            </a:solidFill>
            <a:latin typeface="Calisto MT"/>
            <a:ea typeface="+mn-ea"/>
            <a:cs typeface="+mn-cs"/>
          </a:endParaRPr>
        </a:p>
      </dsp:txBody>
      <dsp:txXfrm>
        <a:off x="0" y="1667029"/>
        <a:ext cx="1792299" cy="738139"/>
      </dsp:txXfrm>
    </dsp:sp>
    <dsp:sp modelId="{A971637C-39EB-854B-B9B5-975A26144568}">
      <dsp:nvSpPr>
        <dsp:cNvPr id="0" name=""/>
        <dsp:cNvSpPr/>
      </dsp:nvSpPr>
      <dsp:spPr>
        <a:xfrm>
          <a:off x="0" y="833021"/>
          <a:ext cx="5974333" cy="780429"/>
        </a:xfrm>
        <a:prstGeom prst="roundRect">
          <a:avLst>
            <a:gd name="adj" fmla="val 10000"/>
          </a:avLst>
        </a:prstGeom>
        <a:solidFill>
          <a:srgbClr val="C1AD79">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dirty="0" smtClean="0">
              <a:solidFill>
                <a:srgbClr val="000000">
                  <a:hueOff val="0"/>
                  <a:satOff val="0"/>
                  <a:lumOff val="0"/>
                  <a:alphaOff val="0"/>
                </a:srgbClr>
              </a:solidFill>
              <a:latin typeface="Calisto MT"/>
              <a:ea typeface="+mn-ea"/>
              <a:cs typeface="+mn-cs"/>
            </a:rPr>
            <a:t>Outcome of SWOT + past experience analyses</a:t>
          </a:r>
          <a:endParaRPr lang="en-GB" sz="1200" b="1" kern="1200" dirty="0">
            <a:solidFill>
              <a:srgbClr val="000000">
                <a:hueOff val="0"/>
                <a:satOff val="0"/>
                <a:lumOff val="0"/>
                <a:alphaOff val="0"/>
              </a:srgbClr>
            </a:solidFill>
            <a:latin typeface="Calisto MT"/>
            <a:ea typeface="+mn-ea"/>
            <a:cs typeface="+mn-cs"/>
          </a:endParaRPr>
        </a:p>
      </dsp:txBody>
      <dsp:txXfrm>
        <a:off x="0" y="833021"/>
        <a:ext cx="1792299" cy="780429"/>
      </dsp:txXfrm>
    </dsp:sp>
    <dsp:sp modelId="{C90DF278-E356-2C49-9278-72956A827DBF}">
      <dsp:nvSpPr>
        <dsp:cNvPr id="0" name=""/>
        <dsp:cNvSpPr/>
      </dsp:nvSpPr>
      <dsp:spPr>
        <a:xfrm>
          <a:off x="0" y="0"/>
          <a:ext cx="5974333" cy="779405"/>
        </a:xfrm>
        <a:prstGeom prst="roundRect">
          <a:avLst>
            <a:gd name="adj" fmla="val 10000"/>
          </a:avLst>
        </a:prstGeom>
        <a:solidFill>
          <a:srgbClr val="C1AD79">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dirty="0" smtClean="0">
              <a:solidFill>
                <a:srgbClr val="000000">
                  <a:hueOff val="0"/>
                  <a:satOff val="0"/>
                  <a:lumOff val="0"/>
                  <a:alphaOff val="0"/>
                </a:srgbClr>
              </a:solidFill>
              <a:latin typeface="Calisto MT"/>
              <a:ea typeface="+mn-ea"/>
              <a:cs typeface="+mn-cs"/>
            </a:rPr>
            <a:t>ENI</a:t>
          </a:r>
          <a:r>
            <a:rPr lang="en-GB" sz="1200" kern="1200" dirty="0" smtClean="0">
              <a:solidFill>
                <a:srgbClr val="000000">
                  <a:hueOff val="0"/>
                  <a:satOff val="0"/>
                  <a:lumOff val="0"/>
                  <a:alphaOff val="0"/>
                </a:srgbClr>
              </a:solidFill>
              <a:latin typeface="Calisto MT"/>
              <a:ea typeface="+mn-ea"/>
              <a:cs typeface="+mn-cs"/>
            </a:rPr>
            <a:t> </a:t>
          </a:r>
          <a:r>
            <a:rPr lang="en-GB" sz="1200" b="1" kern="1200" dirty="0" smtClean="0">
              <a:solidFill>
                <a:srgbClr val="000000">
                  <a:hueOff val="0"/>
                  <a:satOff val="0"/>
                  <a:lumOff val="0"/>
                  <a:alphaOff val="0"/>
                </a:srgbClr>
              </a:solidFill>
              <a:latin typeface="Calisto MT"/>
              <a:ea typeface="+mn-ea"/>
              <a:cs typeface="+mn-cs"/>
            </a:rPr>
            <a:t>CBC</a:t>
          </a:r>
          <a:r>
            <a:rPr lang="en-GB" sz="1200" kern="1200" dirty="0" smtClean="0">
              <a:solidFill>
                <a:srgbClr val="000000">
                  <a:hueOff val="0"/>
                  <a:satOff val="0"/>
                  <a:lumOff val="0"/>
                  <a:alphaOff val="0"/>
                </a:srgbClr>
              </a:solidFill>
              <a:latin typeface="Calisto MT"/>
              <a:ea typeface="+mn-ea"/>
              <a:cs typeface="+mn-cs"/>
            </a:rPr>
            <a:t> </a:t>
          </a:r>
          <a:r>
            <a:rPr lang="en-GB" sz="1200" b="1" kern="1200" dirty="0" smtClean="0">
              <a:solidFill>
                <a:srgbClr val="000000">
                  <a:hueOff val="0"/>
                  <a:satOff val="0"/>
                  <a:lumOff val="0"/>
                  <a:alphaOff val="0"/>
                </a:srgbClr>
              </a:solidFill>
              <a:latin typeface="Calisto MT"/>
              <a:ea typeface="+mn-ea"/>
              <a:cs typeface="+mn-cs"/>
            </a:rPr>
            <a:t>strategy</a:t>
          </a:r>
          <a:endParaRPr lang="en-GB" sz="1200" b="1" kern="1200" dirty="0">
            <a:solidFill>
              <a:srgbClr val="000000">
                <a:hueOff val="0"/>
                <a:satOff val="0"/>
                <a:lumOff val="0"/>
                <a:alphaOff val="0"/>
              </a:srgbClr>
            </a:solidFill>
            <a:latin typeface="Calisto MT"/>
            <a:ea typeface="+mn-ea"/>
            <a:cs typeface="+mn-cs"/>
          </a:endParaRPr>
        </a:p>
      </dsp:txBody>
      <dsp:txXfrm>
        <a:off x="0" y="0"/>
        <a:ext cx="1792299" cy="779405"/>
      </dsp:txXfrm>
    </dsp:sp>
    <dsp:sp modelId="{EA4D87FA-4A21-3D43-9DBA-CF67A1D2F6EC}">
      <dsp:nvSpPr>
        <dsp:cNvPr id="0" name=""/>
        <dsp:cNvSpPr/>
      </dsp:nvSpPr>
      <dsp:spPr>
        <a:xfrm>
          <a:off x="1852619" y="220529"/>
          <a:ext cx="3988479" cy="314403"/>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dirty="0" smtClean="0">
              <a:solidFill>
                <a:srgbClr val="000000"/>
              </a:solidFill>
              <a:latin typeface="Calisto MT"/>
              <a:ea typeface="+mn-ea"/>
              <a:cs typeface="+mn-cs"/>
            </a:rPr>
            <a:t>10 thematic objectives (TO)</a:t>
          </a:r>
          <a:endParaRPr lang="en-GB" sz="1200" b="1" kern="1200" dirty="0">
            <a:solidFill>
              <a:srgbClr val="000000"/>
            </a:solidFill>
            <a:latin typeface="Calisto MT"/>
            <a:ea typeface="+mn-ea"/>
            <a:cs typeface="+mn-cs"/>
          </a:endParaRPr>
        </a:p>
      </dsp:txBody>
      <dsp:txXfrm>
        <a:off x="1852619" y="220529"/>
        <a:ext cx="3988479" cy="314403"/>
      </dsp:txXfrm>
    </dsp:sp>
    <dsp:sp modelId="{46AB25BD-F58B-3749-A677-D92968572A9A}">
      <dsp:nvSpPr>
        <dsp:cNvPr id="0" name=""/>
        <dsp:cNvSpPr/>
      </dsp:nvSpPr>
      <dsp:spPr>
        <a:xfrm>
          <a:off x="2001366" y="534933"/>
          <a:ext cx="1845493" cy="572546"/>
        </a:xfrm>
        <a:custGeom>
          <a:avLst/>
          <a:gdLst/>
          <a:ahLst/>
          <a:cxnLst/>
          <a:rect l="0" t="0" r="0" b="0"/>
          <a:pathLst>
            <a:path>
              <a:moveTo>
                <a:pt x="1845023" y="0"/>
              </a:moveTo>
              <a:lnTo>
                <a:pt x="1845023" y="286200"/>
              </a:lnTo>
              <a:lnTo>
                <a:pt x="0" y="286200"/>
              </a:lnTo>
              <a:lnTo>
                <a:pt x="0" y="572400"/>
              </a:lnTo>
            </a:path>
          </a:pathLst>
        </a:custGeom>
        <a:noFill/>
        <a:ln w="31750" cap="flat" cmpd="sng" algn="ctr">
          <a:solidFill>
            <a:srgbClr val="C1AD7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9C80516-0712-E94C-ADCA-D6FAB3002E93}">
      <dsp:nvSpPr>
        <dsp:cNvPr id="0" name=""/>
        <dsp:cNvSpPr/>
      </dsp:nvSpPr>
      <dsp:spPr>
        <a:xfrm>
          <a:off x="1800447" y="1107479"/>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u="none" kern="1200" dirty="0" smtClean="0">
              <a:solidFill>
                <a:srgbClr val="000000"/>
              </a:solidFill>
              <a:latin typeface="Calisto MT"/>
              <a:ea typeface="+mn-ea"/>
              <a:cs typeface="+mn-cs"/>
            </a:rPr>
            <a:t>TO1</a:t>
          </a:r>
          <a:endParaRPr lang="en-GB" sz="1100" b="1" u="none" kern="1200" dirty="0">
            <a:solidFill>
              <a:srgbClr val="000000"/>
            </a:solidFill>
            <a:latin typeface="Calisto MT"/>
            <a:ea typeface="+mn-ea"/>
            <a:cs typeface="+mn-cs"/>
          </a:endParaRPr>
        </a:p>
      </dsp:txBody>
      <dsp:txXfrm>
        <a:off x="1800447" y="1107479"/>
        <a:ext cx="401838" cy="267892"/>
      </dsp:txXfrm>
    </dsp:sp>
    <dsp:sp modelId="{288801B9-5417-6B4F-9133-C42FD27A48BD}">
      <dsp:nvSpPr>
        <dsp:cNvPr id="0" name=""/>
        <dsp:cNvSpPr/>
      </dsp:nvSpPr>
      <dsp:spPr>
        <a:xfrm>
          <a:off x="1955642" y="1375372"/>
          <a:ext cx="91440" cy="514714"/>
        </a:xfrm>
        <a:custGeom>
          <a:avLst/>
          <a:gdLst/>
          <a:ahLst/>
          <a:cxnLst/>
          <a:rect l="0" t="0" r="0" b="0"/>
          <a:pathLst>
            <a:path>
              <a:moveTo>
                <a:pt x="45724" y="0"/>
              </a:moveTo>
              <a:lnTo>
                <a:pt x="45724" y="257291"/>
              </a:lnTo>
              <a:lnTo>
                <a:pt x="45720" y="257291"/>
              </a:lnTo>
              <a:lnTo>
                <a:pt x="45720" y="514583"/>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5667AD-6F76-CC47-8856-502C3553AC2F}">
      <dsp:nvSpPr>
        <dsp:cNvPr id="0" name=""/>
        <dsp:cNvSpPr/>
      </dsp:nvSpPr>
      <dsp:spPr>
        <a:xfrm>
          <a:off x="1800442" y="1890086"/>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0000"/>
              </a:solidFill>
              <a:latin typeface="Calisto MT"/>
              <a:ea typeface="+mn-ea"/>
              <a:cs typeface="+mn-cs"/>
            </a:rPr>
            <a:t>TO1</a:t>
          </a:r>
          <a:endParaRPr lang="en-GB" sz="1100" b="1" kern="1200" dirty="0">
            <a:solidFill>
              <a:srgbClr val="000000"/>
            </a:solidFill>
            <a:latin typeface="Calisto MT"/>
            <a:ea typeface="+mn-ea"/>
            <a:cs typeface="+mn-cs"/>
          </a:endParaRPr>
        </a:p>
      </dsp:txBody>
      <dsp:txXfrm>
        <a:off x="1800442" y="1890086"/>
        <a:ext cx="401838" cy="267892"/>
      </dsp:txXfrm>
    </dsp:sp>
    <dsp:sp modelId="{B707356E-A657-D049-BD56-AA40F790F54D}">
      <dsp:nvSpPr>
        <dsp:cNvPr id="0" name=""/>
        <dsp:cNvSpPr/>
      </dsp:nvSpPr>
      <dsp:spPr>
        <a:xfrm>
          <a:off x="1955642" y="2157978"/>
          <a:ext cx="91440" cy="514711"/>
        </a:xfrm>
        <a:custGeom>
          <a:avLst/>
          <a:gdLst/>
          <a:ahLst/>
          <a:cxnLst/>
          <a:rect l="0" t="0" r="0" b="0"/>
          <a:pathLst>
            <a:path>
              <a:moveTo>
                <a:pt x="45720" y="0"/>
              </a:moveTo>
              <a:lnTo>
                <a:pt x="45720" y="514580"/>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D86FC8-9480-A34C-A45C-14F26BC2EB2D}">
      <dsp:nvSpPr>
        <dsp:cNvPr id="0" name=""/>
        <dsp:cNvSpPr/>
      </dsp:nvSpPr>
      <dsp:spPr>
        <a:xfrm>
          <a:off x="1800442" y="2672690"/>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0000"/>
              </a:solidFill>
              <a:latin typeface="Calisto MT"/>
              <a:ea typeface="+mn-ea"/>
              <a:cs typeface="+mn-cs"/>
            </a:rPr>
            <a:t>TO1</a:t>
          </a:r>
          <a:endParaRPr lang="en-GB" sz="1100" b="1" kern="1200" dirty="0">
            <a:solidFill>
              <a:srgbClr val="000000"/>
            </a:solidFill>
            <a:latin typeface="Calisto MT"/>
            <a:ea typeface="+mn-ea"/>
            <a:cs typeface="+mn-cs"/>
          </a:endParaRPr>
        </a:p>
      </dsp:txBody>
      <dsp:txXfrm>
        <a:off x="1800442" y="2672690"/>
        <a:ext cx="401838" cy="267892"/>
      </dsp:txXfrm>
    </dsp:sp>
    <dsp:sp modelId="{9A3AE737-1479-0043-8BE9-4C87D08E8A76}">
      <dsp:nvSpPr>
        <dsp:cNvPr id="0" name=""/>
        <dsp:cNvSpPr/>
      </dsp:nvSpPr>
      <dsp:spPr>
        <a:xfrm>
          <a:off x="1955642" y="2940582"/>
          <a:ext cx="91440" cy="514711"/>
        </a:xfrm>
        <a:custGeom>
          <a:avLst/>
          <a:gdLst/>
          <a:ahLst/>
          <a:cxnLst/>
          <a:rect l="0" t="0" r="0" b="0"/>
          <a:pathLst>
            <a:path>
              <a:moveTo>
                <a:pt x="45720" y="0"/>
              </a:moveTo>
              <a:lnTo>
                <a:pt x="45720" y="514580"/>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2413BD0-F315-0540-829B-4D9B0026A557}">
      <dsp:nvSpPr>
        <dsp:cNvPr id="0" name=""/>
        <dsp:cNvSpPr/>
      </dsp:nvSpPr>
      <dsp:spPr>
        <a:xfrm>
          <a:off x="1800442" y="3455293"/>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0000"/>
              </a:solidFill>
              <a:latin typeface="Calisto MT"/>
              <a:ea typeface="+mn-ea"/>
              <a:cs typeface="+mn-cs"/>
            </a:rPr>
            <a:t>TO1</a:t>
          </a:r>
          <a:endParaRPr lang="en-GB" sz="1100" b="1" kern="1200" dirty="0">
            <a:solidFill>
              <a:srgbClr val="000000"/>
            </a:solidFill>
            <a:latin typeface="Calisto MT"/>
            <a:ea typeface="+mn-ea"/>
            <a:cs typeface="+mn-cs"/>
          </a:endParaRPr>
        </a:p>
      </dsp:txBody>
      <dsp:txXfrm>
        <a:off x="1800442" y="3455293"/>
        <a:ext cx="401838" cy="267892"/>
      </dsp:txXfrm>
    </dsp:sp>
    <dsp:sp modelId="{2ADD5497-5C23-434B-B629-C10D0793BC65}">
      <dsp:nvSpPr>
        <dsp:cNvPr id="0" name=""/>
        <dsp:cNvSpPr/>
      </dsp:nvSpPr>
      <dsp:spPr>
        <a:xfrm>
          <a:off x="2523100" y="534933"/>
          <a:ext cx="1323759" cy="572546"/>
        </a:xfrm>
        <a:custGeom>
          <a:avLst/>
          <a:gdLst/>
          <a:ahLst/>
          <a:cxnLst/>
          <a:rect l="0" t="0" r="0" b="0"/>
          <a:pathLst>
            <a:path>
              <a:moveTo>
                <a:pt x="1323421" y="0"/>
              </a:moveTo>
              <a:lnTo>
                <a:pt x="1323421" y="286200"/>
              </a:lnTo>
              <a:lnTo>
                <a:pt x="0" y="286200"/>
              </a:lnTo>
              <a:lnTo>
                <a:pt x="0" y="572400"/>
              </a:lnTo>
            </a:path>
          </a:pathLst>
        </a:custGeom>
        <a:noFill/>
        <a:ln w="31750" cap="flat" cmpd="sng" algn="ctr">
          <a:solidFill>
            <a:srgbClr val="C1AD7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F3EEE40-1F02-E448-9719-CA8DC3126F70}">
      <dsp:nvSpPr>
        <dsp:cNvPr id="0" name=""/>
        <dsp:cNvSpPr/>
      </dsp:nvSpPr>
      <dsp:spPr>
        <a:xfrm>
          <a:off x="2322181" y="1107479"/>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0000"/>
              </a:solidFill>
              <a:latin typeface="Calisto MT"/>
              <a:ea typeface="+mn-ea"/>
              <a:cs typeface="+mn-cs"/>
            </a:rPr>
            <a:t>TO2</a:t>
          </a:r>
          <a:r>
            <a:rPr lang="en-GB" sz="1100" kern="1200" dirty="0" smtClean="0">
              <a:solidFill>
                <a:srgbClr val="000000"/>
              </a:solidFill>
              <a:latin typeface="Calisto MT"/>
              <a:ea typeface="+mn-ea"/>
              <a:cs typeface="+mn-cs"/>
            </a:rPr>
            <a:t> </a:t>
          </a:r>
          <a:endParaRPr lang="en-GB" sz="1100" kern="1200" dirty="0">
            <a:solidFill>
              <a:srgbClr val="000000"/>
            </a:solidFill>
            <a:latin typeface="Calisto MT"/>
            <a:ea typeface="+mn-ea"/>
            <a:cs typeface="+mn-cs"/>
          </a:endParaRPr>
        </a:p>
      </dsp:txBody>
      <dsp:txXfrm>
        <a:off x="2322181" y="1107479"/>
        <a:ext cx="401838" cy="267892"/>
      </dsp:txXfrm>
    </dsp:sp>
    <dsp:sp modelId="{C535E999-CBDC-6C45-A3BE-B542E7121C2F}">
      <dsp:nvSpPr>
        <dsp:cNvPr id="0" name=""/>
        <dsp:cNvSpPr/>
      </dsp:nvSpPr>
      <dsp:spPr>
        <a:xfrm>
          <a:off x="2477380" y="1375372"/>
          <a:ext cx="91440" cy="514711"/>
        </a:xfrm>
        <a:custGeom>
          <a:avLst/>
          <a:gdLst/>
          <a:ahLst/>
          <a:cxnLst/>
          <a:rect l="0" t="0" r="0" b="0"/>
          <a:pathLst>
            <a:path>
              <a:moveTo>
                <a:pt x="45720" y="0"/>
              </a:moveTo>
              <a:lnTo>
                <a:pt x="45720" y="514580"/>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7BA3E17-452D-994A-91F0-4AD71FB9D03F}">
      <dsp:nvSpPr>
        <dsp:cNvPr id="0" name=""/>
        <dsp:cNvSpPr/>
      </dsp:nvSpPr>
      <dsp:spPr>
        <a:xfrm>
          <a:off x="2322181" y="1890083"/>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dirty="0" smtClean="0">
              <a:solidFill>
                <a:srgbClr val="000000"/>
              </a:solidFill>
              <a:latin typeface="Calisto MT"/>
              <a:ea typeface="+mn-ea"/>
              <a:cs typeface="+mn-cs"/>
            </a:rPr>
            <a:t>TO2</a:t>
          </a:r>
          <a:endParaRPr lang="en-GB" sz="1100" b="0" kern="1200" dirty="0">
            <a:solidFill>
              <a:srgbClr val="000000"/>
            </a:solidFill>
            <a:latin typeface="Calisto MT"/>
            <a:ea typeface="+mn-ea"/>
            <a:cs typeface="+mn-cs"/>
          </a:endParaRPr>
        </a:p>
      </dsp:txBody>
      <dsp:txXfrm>
        <a:off x="2322181" y="1890083"/>
        <a:ext cx="401838" cy="267892"/>
      </dsp:txXfrm>
    </dsp:sp>
    <dsp:sp modelId="{C0EBB89C-1132-2541-9ED1-E42B8D95D842}">
      <dsp:nvSpPr>
        <dsp:cNvPr id="0" name=""/>
        <dsp:cNvSpPr/>
      </dsp:nvSpPr>
      <dsp:spPr>
        <a:xfrm>
          <a:off x="3044835" y="534933"/>
          <a:ext cx="802024" cy="572546"/>
        </a:xfrm>
        <a:custGeom>
          <a:avLst/>
          <a:gdLst/>
          <a:ahLst/>
          <a:cxnLst/>
          <a:rect l="0" t="0" r="0" b="0"/>
          <a:pathLst>
            <a:path>
              <a:moveTo>
                <a:pt x="801820" y="0"/>
              </a:moveTo>
              <a:lnTo>
                <a:pt x="801820" y="286200"/>
              </a:lnTo>
              <a:lnTo>
                <a:pt x="0" y="286200"/>
              </a:lnTo>
              <a:lnTo>
                <a:pt x="0" y="572400"/>
              </a:lnTo>
            </a:path>
          </a:pathLst>
        </a:custGeom>
        <a:noFill/>
        <a:ln w="31750" cap="flat" cmpd="sng" algn="ctr">
          <a:solidFill>
            <a:srgbClr val="C1AD7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48BD61E-7034-FC4C-B002-24045EF7895D}">
      <dsp:nvSpPr>
        <dsp:cNvPr id="0" name=""/>
        <dsp:cNvSpPr/>
      </dsp:nvSpPr>
      <dsp:spPr>
        <a:xfrm>
          <a:off x="2843916" y="1107479"/>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0000"/>
              </a:solidFill>
              <a:latin typeface="Calisto MT"/>
              <a:ea typeface="+mn-ea"/>
              <a:cs typeface="+mn-cs"/>
            </a:rPr>
            <a:t>TO3</a:t>
          </a:r>
          <a:endParaRPr lang="en-GB" sz="1100" b="1" kern="1200" dirty="0">
            <a:solidFill>
              <a:srgbClr val="000000"/>
            </a:solidFill>
            <a:latin typeface="Calisto MT"/>
            <a:ea typeface="+mn-ea"/>
            <a:cs typeface="+mn-cs"/>
          </a:endParaRPr>
        </a:p>
      </dsp:txBody>
      <dsp:txXfrm>
        <a:off x="2843916" y="1107479"/>
        <a:ext cx="401838" cy="267892"/>
      </dsp:txXfrm>
    </dsp:sp>
    <dsp:sp modelId="{938F8DE4-BC3C-E04A-9D33-BD7E4738FDB9}">
      <dsp:nvSpPr>
        <dsp:cNvPr id="0" name=""/>
        <dsp:cNvSpPr/>
      </dsp:nvSpPr>
      <dsp:spPr>
        <a:xfrm>
          <a:off x="2999115" y="1375372"/>
          <a:ext cx="91440" cy="514714"/>
        </a:xfrm>
        <a:custGeom>
          <a:avLst/>
          <a:gdLst/>
          <a:ahLst/>
          <a:cxnLst/>
          <a:rect l="0" t="0" r="0" b="0"/>
          <a:pathLst>
            <a:path>
              <a:moveTo>
                <a:pt x="45720" y="0"/>
              </a:moveTo>
              <a:lnTo>
                <a:pt x="45720" y="514583"/>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19060F1-1FE3-4448-AA66-AC37920503D6}">
      <dsp:nvSpPr>
        <dsp:cNvPr id="0" name=""/>
        <dsp:cNvSpPr/>
      </dsp:nvSpPr>
      <dsp:spPr>
        <a:xfrm>
          <a:off x="2843916" y="1890086"/>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solidFill>
                <a:srgbClr val="000000"/>
              </a:solidFill>
              <a:latin typeface="Calisto MT"/>
              <a:ea typeface="+mn-ea"/>
              <a:cs typeface="+mn-cs"/>
            </a:rPr>
            <a:t>TO3</a:t>
          </a:r>
          <a:endParaRPr lang="en-GB" sz="1100" kern="1200" dirty="0">
            <a:solidFill>
              <a:srgbClr val="000000"/>
            </a:solidFill>
            <a:latin typeface="Calisto MT"/>
            <a:ea typeface="+mn-ea"/>
            <a:cs typeface="+mn-cs"/>
          </a:endParaRPr>
        </a:p>
      </dsp:txBody>
      <dsp:txXfrm>
        <a:off x="2843916" y="1890086"/>
        <a:ext cx="401838" cy="267892"/>
      </dsp:txXfrm>
    </dsp:sp>
    <dsp:sp modelId="{5C898253-548E-DA4F-B5CF-0D8464743193}">
      <dsp:nvSpPr>
        <dsp:cNvPr id="0" name=""/>
        <dsp:cNvSpPr/>
      </dsp:nvSpPr>
      <dsp:spPr>
        <a:xfrm>
          <a:off x="2999115" y="2157978"/>
          <a:ext cx="91440" cy="514711"/>
        </a:xfrm>
        <a:custGeom>
          <a:avLst/>
          <a:gdLst/>
          <a:ahLst/>
          <a:cxnLst/>
          <a:rect l="0" t="0" r="0" b="0"/>
          <a:pathLst>
            <a:path>
              <a:moveTo>
                <a:pt x="45720" y="0"/>
              </a:moveTo>
              <a:lnTo>
                <a:pt x="45720" y="514580"/>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81CA204-4193-3A42-9412-6EBD5A9B1A3B}">
      <dsp:nvSpPr>
        <dsp:cNvPr id="0" name=""/>
        <dsp:cNvSpPr/>
      </dsp:nvSpPr>
      <dsp:spPr>
        <a:xfrm>
          <a:off x="2843916" y="2672690"/>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solidFill>
                <a:srgbClr val="000000"/>
              </a:solidFill>
              <a:latin typeface="Calisto MT"/>
              <a:ea typeface="+mn-ea"/>
              <a:cs typeface="+mn-cs"/>
            </a:rPr>
            <a:t>TO3</a:t>
          </a:r>
          <a:endParaRPr lang="en-GB" sz="1100" kern="1200" dirty="0">
            <a:solidFill>
              <a:srgbClr val="000000"/>
            </a:solidFill>
            <a:latin typeface="Calisto MT"/>
            <a:ea typeface="+mn-ea"/>
            <a:cs typeface="+mn-cs"/>
          </a:endParaRPr>
        </a:p>
      </dsp:txBody>
      <dsp:txXfrm>
        <a:off x="2843916" y="2672690"/>
        <a:ext cx="401838" cy="267892"/>
      </dsp:txXfrm>
    </dsp:sp>
    <dsp:sp modelId="{52DFEFD5-E777-0B40-9876-8A86E56ACCFD}">
      <dsp:nvSpPr>
        <dsp:cNvPr id="0" name=""/>
        <dsp:cNvSpPr/>
      </dsp:nvSpPr>
      <dsp:spPr>
        <a:xfrm>
          <a:off x="3566573" y="534933"/>
          <a:ext cx="280286" cy="572546"/>
        </a:xfrm>
        <a:custGeom>
          <a:avLst/>
          <a:gdLst/>
          <a:ahLst/>
          <a:cxnLst/>
          <a:rect l="0" t="0" r="0" b="0"/>
          <a:pathLst>
            <a:path>
              <a:moveTo>
                <a:pt x="280214" y="0"/>
              </a:moveTo>
              <a:lnTo>
                <a:pt x="280214" y="286200"/>
              </a:lnTo>
              <a:lnTo>
                <a:pt x="0" y="286200"/>
              </a:lnTo>
              <a:lnTo>
                <a:pt x="0" y="572400"/>
              </a:lnTo>
            </a:path>
          </a:pathLst>
        </a:custGeom>
        <a:noFill/>
        <a:ln w="31750" cap="flat" cmpd="sng" algn="ctr">
          <a:solidFill>
            <a:srgbClr val="C1AD7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082CAD-FF11-624D-BB5B-EAE17C644611}">
      <dsp:nvSpPr>
        <dsp:cNvPr id="0" name=""/>
        <dsp:cNvSpPr/>
      </dsp:nvSpPr>
      <dsp:spPr>
        <a:xfrm>
          <a:off x="3365654" y="1107479"/>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u="none" kern="1200" dirty="0" smtClean="0">
              <a:solidFill>
                <a:srgbClr val="000000"/>
              </a:solidFill>
              <a:latin typeface="Calisto MT"/>
              <a:ea typeface="+mn-ea"/>
              <a:cs typeface="+mn-cs"/>
            </a:rPr>
            <a:t>TO4</a:t>
          </a:r>
          <a:endParaRPr lang="en-GB" sz="1100" b="1" u="none" kern="1200" dirty="0">
            <a:solidFill>
              <a:srgbClr val="000000"/>
            </a:solidFill>
            <a:latin typeface="Calisto MT"/>
            <a:ea typeface="+mn-ea"/>
            <a:cs typeface="+mn-cs"/>
          </a:endParaRPr>
        </a:p>
      </dsp:txBody>
      <dsp:txXfrm>
        <a:off x="3365654" y="1107479"/>
        <a:ext cx="401838" cy="267892"/>
      </dsp:txXfrm>
    </dsp:sp>
    <dsp:sp modelId="{09A88717-8E93-D546-935B-85D3A6556405}">
      <dsp:nvSpPr>
        <dsp:cNvPr id="0" name=""/>
        <dsp:cNvSpPr/>
      </dsp:nvSpPr>
      <dsp:spPr>
        <a:xfrm>
          <a:off x="3520853" y="1375372"/>
          <a:ext cx="91440" cy="514714"/>
        </a:xfrm>
        <a:custGeom>
          <a:avLst/>
          <a:gdLst/>
          <a:ahLst/>
          <a:cxnLst/>
          <a:rect l="0" t="0" r="0" b="0"/>
          <a:pathLst>
            <a:path>
              <a:moveTo>
                <a:pt x="45720" y="0"/>
              </a:moveTo>
              <a:lnTo>
                <a:pt x="45720" y="514583"/>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1849D49-4FB4-5D44-B96B-45A423FB93FD}">
      <dsp:nvSpPr>
        <dsp:cNvPr id="0" name=""/>
        <dsp:cNvSpPr/>
      </dsp:nvSpPr>
      <dsp:spPr>
        <a:xfrm>
          <a:off x="3365654" y="1890086"/>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solidFill>
                <a:srgbClr val="000000"/>
              </a:solidFill>
              <a:latin typeface="Calisto MT"/>
              <a:ea typeface="+mn-ea"/>
              <a:cs typeface="+mn-cs"/>
            </a:rPr>
            <a:t>TO4</a:t>
          </a:r>
          <a:endParaRPr lang="en-GB" sz="1100" kern="1200" dirty="0">
            <a:solidFill>
              <a:srgbClr val="000000"/>
            </a:solidFill>
            <a:latin typeface="Calisto MT"/>
            <a:ea typeface="+mn-ea"/>
            <a:cs typeface="+mn-cs"/>
          </a:endParaRPr>
        </a:p>
      </dsp:txBody>
      <dsp:txXfrm>
        <a:off x="3365654" y="1890086"/>
        <a:ext cx="401838" cy="267892"/>
      </dsp:txXfrm>
    </dsp:sp>
    <dsp:sp modelId="{4EF12772-E395-3F4F-AA83-20CB7EB080A7}">
      <dsp:nvSpPr>
        <dsp:cNvPr id="0" name=""/>
        <dsp:cNvSpPr/>
      </dsp:nvSpPr>
      <dsp:spPr>
        <a:xfrm>
          <a:off x="3520853" y="2157978"/>
          <a:ext cx="91440" cy="514711"/>
        </a:xfrm>
        <a:custGeom>
          <a:avLst/>
          <a:gdLst/>
          <a:ahLst/>
          <a:cxnLst/>
          <a:rect l="0" t="0" r="0" b="0"/>
          <a:pathLst>
            <a:path>
              <a:moveTo>
                <a:pt x="45720" y="0"/>
              </a:moveTo>
              <a:lnTo>
                <a:pt x="45720" y="514580"/>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13AC43B-3701-654C-A9CA-8B597AF5D20B}">
      <dsp:nvSpPr>
        <dsp:cNvPr id="0" name=""/>
        <dsp:cNvSpPr/>
      </dsp:nvSpPr>
      <dsp:spPr>
        <a:xfrm>
          <a:off x="3365654" y="2672690"/>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solidFill>
                <a:srgbClr val="000000"/>
              </a:solidFill>
              <a:latin typeface="Calisto MT"/>
              <a:ea typeface="+mn-ea"/>
              <a:cs typeface="+mn-cs"/>
            </a:rPr>
            <a:t>TO4</a:t>
          </a:r>
          <a:endParaRPr lang="en-GB" sz="1100" kern="1200" dirty="0">
            <a:solidFill>
              <a:srgbClr val="000000"/>
            </a:solidFill>
            <a:latin typeface="Calisto MT"/>
            <a:ea typeface="+mn-ea"/>
            <a:cs typeface="+mn-cs"/>
          </a:endParaRPr>
        </a:p>
      </dsp:txBody>
      <dsp:txXfrm>
        <a:off x="3365654" y="2672690"/>
        <a:ext cx="401838" cy="267892"/>
      </dsp:txXfrm>
    </dsp:sp>
    <dsp:sp modelId="{2F7493ED-AEBB-7F4D-B24E-B156DF26D80A}">
      <dsp:nvSpPr>
        <dsp:cNvPr id="0" name=""/>
        <dsp:cNvSpPr/>
      </dsp:nvSpPr>
      <dsp:spPr>
        <a:xfrm>
          <a:off x="3846859" y="534933"/>
          <a:ext cx="241448" cy="572546"/>
        </a:xfrm>
        <a:custGeom>
          <a:avLst/>
          <a:gdLst/>
          <a:ahLst/>
          <a:cxnLst/>
          <a:rect l="0" t="0" r="0" b="0"/>
          <a:pathLst>
            <a:path>
              <a:moveTo>
                <a:pt x="0" y="0"/>
              </a:moveTo>
              <a:lnTo>
                <a:pt x="0" y="286200"/>
              </a:lnTo>
              <a:lnTo>
                <a:pt x="241386" y="286200"/>
              </a:lnTo>
              <a:lnTo>
                <a:pt x="241386" y="572400"/>
              </a:lnTo>
            </a:path>
          </a:pathLst>
        </a:custGeom>
        <a:noFill/>
        <a:ln w="31750" cap="flat" cmpd="sng" algn="ctr">
          <a:solidFill>
            <a:srgbClr val="C1AD7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EA9C09-8BDB-8D4C-8898-AA92AB480B55}">
      <dsp:nvSpPr>
        <dsp:cNvPr id="0" name=""/>
        <dsp:cNvSpPr/>
      </dsp:nvSpPr>
      <dsp:spPr>
        <a:xfrm>
          <a:off x="3887389" y="1107479"/>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solidFill>
                <a:srgbClr val="000000"/>
              </a:solidFill>
              <a:latin typeface="Calisto MT"/>
              <a:ea typeface="+mn-ea"/>
              <a:cs typeface="+mn-cs"/>
            </a:rPr>
            <a:t>TO5</a:t>
          </a:r>
          <a:endParaRPr lang="en-GB" sz="1100" kern="1200" dirty="0">
            <a:solidFill>
              <a:srgbClr val="000000"/>
            </a:solidFill>
            <a:latin typeface="Calisto MT"/>
            <a:ea typeface="+mn-ea"/>
            <a:cs typeface="+mn-cs"/>
          </a:endParaRPr>
        </a:p>
      </dsp:txBody>
      <dsp:txXfrm>
        <a:off x="3887389" y="1107479"/>
        <a:ext cx="401838" cy="267892"/>
      </dsp:txXfrm>
    </dsp:sp>
    <dsp:sp modelId="{FE84D422-D38E-E147-BBCA-B8672E335698}">
      <dsp:nvSpPr>
        <dsp:cNvPr id="0" name=""/>
        <dsp:cNvSpPr/>
      </dsp:nvSpPr>
      <dsp:spPr>
        <a:xfrm>
          <a:off x="3846859" y="534933"/>
          <a:ext cx="763182" cy="572546"/>
        </a:xfrm>
        <a:custGeom>
          <a:avLst/>
          <a:gdLst/>
          <a:ahLst/>
          <a:cxnLst/>
          <a:rect l="0" t="0" r="0" b="0"/>
          <a:pathLst>
            <a:path>
              <a:moveTo>
                <a:pt x="0" y="0"/>
              </a:moveTo>
              <a:lnTo>
                <a:pt x="0" y="286200"/>
              </a:lnTo>
              <a:lnTo>
                <a:pt x="762988" y="286200"/>
              </a:lnTo>
              <a:lnTo>
                <a:pt x="762988" y="572400"/>
              </a:lnTo>
            </a:path>
          </a:pathLst>
        </a:custGeom>
        <a:noFill/>
        <a:ln w="31750" cap="flat" cmpd="sng" algn="ctr">
          <a:solidFill>
            <a:srgbClr val="C1AD7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4BDA8E4-074B-E24C-83B6-E761FE08AA16}">
      <dsp:nvSpPr>
        <dsp:cNvPr id="0" name=""/>
        <dsp:cNvSpPr/>
      </dsp:nvSpPr>
      <dsp:spPr>
        <a:xfrm>
          <a:off x="4409123" y="1107479"/>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u="none" kern="1200" dirty="0" smtClean="0">
              <a:solidFill>
                <a:srgbClr val="000000"/>
              </a:solidFill>
              <a:latin typeface="Calisto MT"/>
              <a:ea typeface="+mn-ea"/>
              <a:cs typeface="+mn-cs"/>
            </a:rPr>
            <a:t>TO6</a:t>
          </a:r>
          <a:endParaRPr lang="en-GB" sz="1100" b="1" u="none" kern="1200" dirty="0">
            <a:solidFill>
              <a:srgbClr val="000000"/>
            </a:solidFill>
            <a:latin typeface="Calisto MT"/>
            <a:ea typeface="+mn-ea"/>
            <a:cs typeface="+mn-cs"/>
          </a:endParaRPr>
        </a:p>
      </dsp:txBody>
      <dsp:txXfrm>
        <a:off x="4409123" y="1107479"/>
        <a:ext cx="401838" cy="267892"/>
      </dsp:txXfrm>
    </dsp:sp>
    <dsp:sp modelId="{7EB36DB8-3514-7340-A480-159548F62196}">
      <dsp:nvSpPr>
        <dsp:cNvPr id="0" name=""/>
        <dsp:cNvSpPr/>
      </dsp:nvSpPr>
      <dsp:spPr>
        <a:xfrm>
          <a:off x="4564322" y="1375372"/>
          <a:ext cx="91440" cy="514714"/>
        </a:xfrm>
        <a:custGeom>
          <a:avLst/>
          <a:gdLst/>
          <a:ahLst/>
          <a:cxnLst/>
          <a:rect l="0" t="0" r="0" b="0"/>
          <a:pathLst>
            <a:path>
              <a:moveTo>
                <a:pt x="45720" y="0"/>
              </a:moveTo>
              <a:lnTo>
                <a:pt x="45720" y="514583"/>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694EDF-CA1D-6445-A44B-56A99ED1427E}">
      <dsp:nvSpPr>
        <dsp:cNvPr id="0" name=""/>
        <dsp:cNvSpPr/>
      </dsp:nvSpPr>
      <dsp:spPr>
        <a:xfrm>
          <a:off x="4409123" y="1890086"/>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0000"/>
              </a:solidFill>
              <a:latin typeface="Calisto MT"/>
              <a:ea typeface="+mn-ea"/>
              <a:cs typeface="+mn-cs"/>
            </a:rPr>
            <a:t>TO6</a:t>
          </a:r>
          <a:endParaRPr lang="en-GB" sz="1100" b="1" kern="1200" dirty="0">
            <a:solidFill>
              <a:srgbClr val="000000"/>
            </a:solidFill>
            <a:latin typeface="Calisto MT"/>
            <a:ea typeface="+mn-ea"/>
            <a:cs typeface="+mn-cs"/>
          </a:endParaRPr>
        </a:p>
      </dsp:txBody>
      <dsp:txXfrm>
        <a:off x="4409123" y="1890086"/>
        <a:ext cx="401838" cy="267892"/>
      </dsp:txXfrm>
    </dsp:sp>
    <dsp:sp modelId="{B1A33558-C3FD-3B43-BDA5-1ED83C38D871}">
      <dsp:nvSpPr>
        <dsp:cNvPr id="0" name=""/>
        <dsp:cNvSpPr/>
      </dsp:nvSpPr>
      <dsp:spPr>
        <a:xfrm>
          <a:off x="4564322" y="2157978"/>
          <a:ext cx="91440" cy="514711"/>
        </a:xfrm>
        <a:custGeom>
          <a:avLst/>
          <a:gdLst/>
          <a:ahLst/>
          <a:cxnLst/>
          <a:rect l="0" t="0" r="0" b="0"/>
          <a:pathLst>
            <a:path>
              <a:moveTo>
                <a:pt x="45720" y="0"/>
              </a:moveTo>
              <a:lnTo>
                <a:pt x="45720" y="514580"/>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4F850AE-ADB9-DC4D-B3CE-5C45F5F15B3E}">
      <dsp:nvSpPr>
        <dsp:cNvPr id="0" name=""/>
        <dsp:cNvSpPr/>
      </dsp:nvSpPr>
      <dsp:spPr>
        <a:xfrm>
          <a:off x="4409123" y="2672690"/>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0000"/>
              </a:solidFill>
              <a:latin typeface="Calisto MT"/>
              <a:ea typeface="+mn-ea"/>
              <a:cs typeface="+mn-cs"/>
            </a:rPr>
            <a:t>TO6</a:t>
          </a:r>
          <a:endParaRPr lang="en-GB" sz="1100" b="1" kern="1200" dirty="0">
            <a:solidFill>
              <a:srgbClr val="000000"/>
            </a:solidFill>
            <a:latin typeface="Calisto MT"/>
            <a:ea typeface="+mn-ea"/>
            <a:cs typeface="+mn-cs"/>
          </a:endParaRPr>
        </a:p>
      </dsp:txBody>
      <dsp:txXfrm>
        <a:off x="4409123" y="2672690"/>
        <a:ext cx="401838" cy="267892"/>
      </dsp:txXfrm>
    </dsp:sp>
    <dsp:sp modelId="{46CFD97B-B0E6-A54A-9802-F98DB8D4D6E8}">
      <dsp:nvSpPr>
        <dsp:cNvPr id="0" name=""/>
        <dsp:cNvSpPr/>
      </dsp:nvSpPr>
      <dsp:spPr>
        <a:xfrm>
          <a:off x="4564322" y="2940582"/>
          <a:ext cx="91440" cy="514711"/>
        </a:xfrm>
        <a:custGeom>
          <a:avLst/>
          <a:gdLst/>
          <a:ahLst/>
          <a:cxnLst/>
          <a:rect l="0" t="0" r="0" b="0"/>
          <a:pathLst>
            <a:path>
              <a:moveTo>
                <a:pt x="45720" y="0"/>
              </a:moveTo>
              <a:lnTo>
                <a:pt x="45720" y="514580"/>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7A67DB0-B265-BC43-A7CB-0CCB4E79D8E2}">
      <dsp:nvSpPr>
        <dsp:cNvPr id="0" name=""/>
        <dsp:cNvSpPr/>
      </dsp:nvSpPr>
      <dsp:spPr>
        <a:xfrm>
          <a:off x="4409123" y="3455293"/>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0000"/>
              </a:solidFill>
              <a:latin typeface="Calisto MT"/>
              <a:ea typeface="+mn-ea"/>
              <a:cs typeface="+mn-cs"/>
            </a:rPr>
            <a:t>TO6</a:t>
          </a:r>
          <a:endParaRPr lang="en-GB" sz="1100" b="1" kern="1200" dirty="0">
            <a:solidFill>
              <a:srgbClr val="000000"/>
            </a:solidFill>
            <a:latin typeface="Calisto MT"/>
            <a:ea typeface="+mn-ea"/>
            <a:cs typeface="+mn-cs"/>
          </a:endParaRPr>
        </a:p>
      </dsp:txBody>
      <dsp:txXfrm>
        <a:off x="4409123" y="3455293"/>
        <a:ext cx="401838" cy="267892"/>
      </dsp:txXfrm>
    </dsp:sp>
    <dsp:sp modelId="{060CC184-2F23-2448-85A5-F170983B1D05}">
      <dsp:nvSpPr>
        <dsp:cNvPr id="0" name=""/>
        <dsp:cNvSpPr/>
      </dsp:nvSpPr>
      <dsp:spPr>
        <a:xfrm>
          <a:off x="3846859" y="534933"/>
          <a:ext cx="1284921" cy="572546"/>
        </a:xfrm>
        <a:custGeom>
          <a:avLst/>
          <a:gdLst/>
          <a:ahLst/>
          <a:cxnLst/>
          <a:rect l="0" t="0" r="0" b="0"/>
          <a:pathLst>
            <a:path>
              <a:moveTo>
                <a:pt x="0" y="0"/>
              </a:moveTo>
              <a:lnTo>
                <a:pt x="0" y="286200"/>
              </a:lnTo>
              <a:lnTo>
                <a:pt x="1284593" y="286200"/>
              </a:lnTo>
              <a:lnTo>
                <a:pt x="1284593" y="572400"/>
              </a:lnTo>
            </a:path>
          </a:pathLst>
        </a:custGeom>
        <a:noFill/>
        <a:ln w="31750" cap="flat" cmpd="sng" algn="ctr">
          <a:solidFill>
            <a:srgbClr val="C1AD7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ADAC34F-D397-8842-B46F-22D67905F0C8}">
      <dsp:nvSpPr>
        <dsp:cNvPr id="0" name=""/>
        <dsp:cNvSpPr/>
      </dsp:nvSpPr>
      <dsp:spPr>
        <a:xfrm>
          <a:off x="4930862" y="1107479"/>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u="none" kern="1200" dirty="0" smtClean="0">
              <a:solidFill>
                <a:srgbClr val="000000"/>
              </a:solidFill>
              <a:latin typeface="Calisto MT"/>
              <a:ea typeface="+mn-ea"/>
              <a:cs typeface="+mn-cs"/>
            </a:rPr>
            <a:t>TO7</a:t>
          </a:r>
          <a:endParaRPr lang="en-GB" sz="1100" b="1" u="none" kern="1200" dirty="0">
            <a:solidFill>
              <a:srgbClr val="000000"/>
            </a:solidFill>
            <a:latin typeface="Calisto MT"/>
            <a:ea typeface="+mn-ea"/>
            <a:cs typeface="+mn-cs"/>
          </a:endParaRPr>
        </a:p>
      </dsp:txBody>
      <dsp:txXfrm>
        <a:off x="4930862" y="1107479"/>
        <a:ext cx="401838" cy="267892"/>
      </dsp:txXfrm>
    </dsp:sp>
    <dsp:sp modelId="{C9566D97-C3F0-7F4F-B0B3-4F23B5612AEC}">
      <dsp:nvSpPr>
        <dsp:cNvPr id="0" name=""/>
        <dsp:cNvSpPr/>
      </dsp:nvSpPr>
      <dsp:spPr>
        <a:xfrm>
          <a:off x="5086061" y="1375372"/>
          <a:ext cx="91440" cy="514714"/>
        </a:xfrm>
        <a:custGeom>
          <a:avLst/>
          <a:gdLst/>
          <a:ahLst/>
          <a:cxnLst/>
          <a:rect l="0" t="0" r="0" b="0"/>
          <a:pathLst>
            <a:path>
              <a:moveTo>
                <a:pt x="45720" y="0"/>
              </a:moveTo>
              <a:lnTo>
                <a:pt x="45720" y="514583"/>
              </a:lnTo>
            </a:path>
          </a:pathLst>
        </a:custGeom>
        <a:noFill/>
        <a:ln w="31750" cap="flat" cmpd="sng" algn="ctr">
          <a:solidFill>
            <a:srgbClr val="C1AD7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FFCCE20-97FB-9B4B-B626-B86C40ADBABD}">
      <dsp:nvSpPr>
        <dsp:cNvPr id="0" name=""/>
        <dsp:cNvSpPr/>
      </dsp:nvSpPr>
      <dsp:spPr>
        <a:xfrm>
          <a:off x="4930862" y="1890086"/>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solidFill>
                <a:srgbClr val="000000"/>
              </a:solidFill>
              <a:latin typeface="Calisto MT"/>
              <a:ea typeface="+mn-ea"/>
              <a:cs typeface="+mn-cs"/>
            </a:rPr>
            <a:t>TO7</a:t>
          </a:r>
          <a:endParaRPr lang="en-GB" sz="1100" kern="1200" dirty="0">
            <a:solidFill>
              <a:srgbClr val="000000"/>
            </a:solidFill>
            <a:latin typeface="Calisto MT"/>
            <a:ea typeface="+mn-ea"/>
            <a:cs typeface="+mn-cs"/>
          </a:endParaRPr>
        </a:p>
      </dsp:txBody>
      <dsp:txXfrm>
        <a:off x="4930862" y="1890086"/>
        <a:ext cx="401838" cy="267892"/>
      </dsp:txXfrm>
    </dsp:sp>
    <dsp:sp modelId="{6020B5B9-8A87-B349-A4D7-B722917DFA10}">
      <dsp:nvSpPr>
        <dsp:cNvPr id="0" name=""/>
        <dsp:cNvSpPr/>
      </dsp:nvSpPr>
      <dsp:spPr>
        <a:xfrm>
          <a:off x="3846859" y="534933"/>
          <a:ext cx="1806655" cy="572546"/>
        </a:xfrm>
        <a:custGeom>
          <a:avLst/>
          <a:gdLst/>
          <a:ahLst/>
          <a:cxnLst/>
          <a:rect l="0" t="0" r="0" b="0"/>
          <a:pathLst>
            <a:path>
              <a:moveTo>
                <a:pt x="0" y="0"/>
              </a:moveTo>
              <a:lnTo>
                <a:pt x="0" y="286200"/>
              </a:lnTo>
              <a:lnTo>
                <a:pt x="1806195" y="286200"/>
              </a:lnTo>
              <a:lnTo>
                <a:pt x="1806195" y="572400"/>
              </a:lnTo>
            </a:path>
          </a:pathLst>
        </a:custGeom>
        <a:noFill/>
        <a:ln w="31750" cap="flat" cmpd="sng" algn="ctr">
          <a:solidFill>
            <a:srgbClr val="C1AD7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010171C-E8BF-3849-A32B-5F1E7A65FCD6}">
      <dsp:nvSpPr>
        <dsp:cNvPr id="0" name=""/>
        <dsp:cNvSpPr/>
      </dsp:nvSpPr>
      <dsp:spPr>
        <a:xfrm>
          <a:off x="5452596" y="1107479"/>
          <a:ext cx="401838" cy="267892"/>
        </a:xfrm>
        <a:prstGeom prst="roundRect">
          <a:avLst>
            <a:gd name="adj" fmla="val 10000"/>
          </a:avLst>
        </a:prstGeom>
        <a:blipFill rotWithShape="0">
          <a:blip xmlns:r="http://schemas.openxmlformats.org/officeDocument/2006/relationships" r:embed="rId1">
            <a:duotone>
              <a:srgbClr val="C1AD79">
                <a:hueOff val="0"/>
                <a:satOff val="0"/>
                <a:lumOff val="0"/>
                <a:alphaOff val="0"/>
                <a:satMod val="150000"/>
                <a:lumMod val="50000"/>
              </a:srgbClr>
              <a:srgbClr val="C1AD79">
                <a:hueOff val="0"/>
                <a:satOff val="0"/>
                <a:lumOff val="0"/>
                <a:alphaOff val="0"/>
                <a:satMod val="300000"/>
                <a:lumMod val="125000"/>
              </a:srgb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0000"/>
              </a:solidFill>
              <a:latin typeface="Calisto MT"/>
              <a:ea typeface="+mn-ea"/>
              <a:cs typeface="+mn-cs"/>
            </a:rPr>
            <a:t>TO8</a:t>
          </a:r>
          <a:endParaRPr lang="en-GB" sz="1100" b="1" kern="1200" dirty="0">
            <a:solidFill>
              <a:srgbClr val="000000"/>
            </a:solidFill>
            <a:latin typeface="Calisto MT"/>
            <a:ea typeface="+mn-ea"/>
            <a:cs typeface="+mn-cs"/>
          </a:endParaRPr>
        </a:p>
      </dsp:txBody>
      <dsp:txXfrm>
        <a:off x="5452596" y="1107479"/>
        <a:ext cx="401838" cy="26789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36A3711-A388-FB49-BFF6-552795C30A53}">
      <dsp:nvSpPr>
        <dsp:cNvPr id="0" name=""/>
        <dsp:cNvSpPr/>
      </dsp:nvSpPr>
      <dsp:spPr>
        <a:xfrm>
          <a:off x="0" y="1326655"/>
          <a:ext cx="6703703" cy="435335"/>
        </a:xfrm>
        <a:prstGeom prst="rect">
          <a:avLst/>
        </a:prstGeom>
        <a:solidFill>
          <a:srgbClr val="C1AD79">
            <a:alpha val="90000"/>
            <a:hueOff val="0"/>
            <a:satOff val="0"/>
            <a:lumOff val="0"/>
            <a:alphaOff val="0"/>
          </a:srgbClr>
        </a:solidFill>
        <a:ln w="3175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solidFill>
                <a:srgbClr val="FFFFFF"/>
              </a:solidFill>
              <a:latin typeface="Calisto MT"/>
              <a:ea typeface="+mn-ea"/>
              <a:cs typeface="+mn-cs"/>
            </a:rPr>
            <a:t>Black Sea Basin Programme Objective 1</a:t>
          </a:r>
        </a:p>
      </dsp:txBody>
      <dsp:txXfrm>
        <a:off x="0" y="1326655"/>
        <a:ext cx="6703703" cy="235081"/>
      </dsp:txXfrm>
    </dsp:sp>
    <dsp:sp modelId="{B11730FB-18E1-C943-B084-4CDF1F59127B}">
      <dsp:nvSpPr>
        <dsp:cNvPr id="0" name=""/>
        <dsp:cNvSpPr/>
      </dsp:nvSpPr>
      <dsp:spPr>
        <a:xfrm>
          <a:off x="0" y="1552718"/>
          <a:ext cx="6703703" cy="200254"/>
        </a:xfrm>
        <a:prstGeom prst="rect">
          <a:avLst/>
        </a:prstGeom>
        <a:solidFill>
          <a:srgbClr val="C1AD79">
            <a:alpha val="90000"/>
            <a:tint val="40000"/>
            <a:hueOff val="0"/>
            <a:satOff val="0"/>
            <a:lumOff val="0"/>
            <a:alphaOff val="0"/>
          </a:srgbClr>
        </a:solidFill>
        <a:ln w="31750" cap="flat" cmpd="sng" algn="ctr">
          <a:solidFill>
            <a:srgbClr val="C1AD79">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b="0" kern="1200">
              <a:solidFill>
                <a:srgbClr val="000000">
                  <a:hueOff val="0"/>
                  <a:satOff val="0"/>
                  <a:lumOff val="0"/>
                  <a:alphaOff val="0"/>
                </a:srgbClr>
              </a:solidFill>
              <a:latin typeface="Calisto MT"/>
              <a:ea typeface="+mn-ea"/>
              <a:cs typeface="+mn-cs"/>
            </a:rPr>
            <a:t>Promote business and entrepreneurship within the Black Sea Basin </a:t>
          </a:r>
          <a:endParaRPr lang="fr-FR" sz="1200" b="0" kern="1200">
            <a:solidFill>
              <a:srgbClr val="000000">
                <a:hueOff val="0"/>
                <a:satOff val="0"/>
                <a:lumOff val="0"/>
                <a:alphaOff val="0"/>
              </a:srgbClr>
            </a:solidFill>
            <a:latin typeface="Calisto MT"/>
            <a:ea typeface="+mn-ea"/>
            <a:cs typeface="+mn-cs"/>
          </a:endParaRPr>
        </a:p>
      </dsp:txBody>
      <dsp:txXfrm>
        <a:off x="0" y="1552718"/>
        <a:ext cx="6703703" cy="200254"/>
      </dsp:txXfrm>
    </dsp:sp>
    <dsp:sp modelId="{56F73381-5B2C-D24B-B832-B5FAE6BF7A7E}">
      <dsp:nvSpPr>
        <dsp:cNvPr id="0" name=""/>
        <dsp:cNvSpPr/>
      </dsp:nvSpPr>
      <dsp:spPr>
        <a:xfrm rot="10800000">
          <a:off x="0" y="663327"/>
          <a:ext cx="6703703" cy="669546"/>
        </a:xfrm>
        <a:prstGeom prst="upArrowCallout">
          <a:avLst/>
        </a:prstGeom>
        <a:solidFill>
          <a:srgbClr val="C1AD79">
            <a:alpha val="90000"/>
            <a:hueOff val="0"/>
            <a:satOff val="0"/>
            <a:lumOff val="0"/>
            <a:alphaOff val="-20000"/>
          </a:srgbClr>
        </a:solidFill>
        <a:ln w="3175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solidFill>
                <a:srgbClr val="FFFFFF"/>
              </a:solidFill>
              <a:latin typeface="Calisto MT"/>
              <a:ea typeface="+mn-ea"/>
              <a:cs typeface="+mn-cs"/>
            </a:rPr>
            <a:t>ENI CBC Thematic Objective 1</a:t>
          </a:r>
        </a:p>
      </dsp:txBody>
      <dsp:txXfrm>
        <a:off x="0" y="663327"/>
        <a:ext cx="6703703" cy="235010"/>
      </dsp:txXfrm>
    </dsp:sp>
    <dsp:sp modelId="{1A2A1C0C-BF5A-0847-8E7B-04D461F52224}">
      <dsp:nvSpPr>
        <dsp:cNvPr id="0" name=""/>
        <dsp:cNvSpPr/>
      </dsp:nvSpPr>
      <dsp:spPr>
        <a:xfrm>
          <a:off x="0" y="898338"/>
          <a:ext cx="6703703" cy="200194"/>
        </a:xfrm>
        <a:prstGeom prst="rect">
          <a:avLst/>
        </a:prstGeom>
        <a:solidFill>
          <a:srgbClr val="C1AD79">
            <a:alpha val="90000"/>
            <a:tint val="40000"/>
            <a:hueOff val="0"/>
            <a:satOff val="0"/>
            <a:lumOff val="0"/>
            <a:alphaOff val="-20000"/>
          </a:srgbClr>
        </a:solidFill>
        <a:ln w="31750" cap="flat" cmpd="sng" algn="ctr">
          <a:solidFill>
            <a:srgbClr val="C1AD79">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FR" sz="1200" kern="1200">
              <a:solidFill>
                <a:srgbClr val="000000">
                  <a:hueOff val="0"/>
                  <a:satOff val="0"/>
                  <a:lumOff val="0"/>
                  <a:alphaOff val="0"/>
                </a:srgbClr>
              </a:solidFill>
              <a:latin typeface="Calisto MT"/>
              <a:ea typeface="+mn-ea"/>
              <a:cs typeface="+mn-cs"/>
            </a:rPr>
            <a:t>Business and SME development</a:t>
          </a:r>
        </a:p>
      </dsp:txBody>
      <dsp:txXfrm>
        <a:off x="0" y="898338"/>
        <a:ext cx="6703703" cy="200194"/>
      </dsp:txXfrm>
    </dsp:sp>
    <dsp:sp modelId="{1F20F8E4-735C-9148-8848-5FB51BE7FC46}">
      <dsp:nvSpPr>
        <dsp:cNvPr id="0" name=""/>
        <dsp:cNvSpPr/>
      </dsp:nvSpPr>
      <dsp:spPr>
        <a:xfrm rot="10800000">
          <a:off x="0" y="311"/>
          <a:ext cx="6703703" cy="669546"/>
        </a:xfrm>
        <a:prstGeom prst="upArrowCallout">
          <a:avLst/>
        </a:prstGeom>
        <a:solidFill>
          <a:srgbClr val="C1AD79">
            <a:alpha val="90000"/>
            <a:hueOff val="0"/>
            <a:satOff val="0"/>
            <a:lumOff val="0"/>
            <a:alphaOff val="-40000"/>
          </a:srgbClr>
        </a:solidFill>
        <a:ln w="3175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solidFill>
                <a:srgbClr val="FFFFFF"/>
              </a:solidFill>
              <a:latin typeface="Calisto MT"/>
              <a:ea typeface="+mn-ea"/>
              <a:cs typeface="+mn-cs"/>
            </a:rPr>
            <a:t>ENI CBC Overarching Strategic Objective A</a:t>
          </a:r>
        </a:p>
      </dsp:txBody>
      <dsp:txXfrm>
        <a:off x="0" y="311"/>
        <a:ext cx="6703703" cy="235010"/>
      </dsp:txXfrm>
    </dsp:sp>
    <dsp:sp modelId="{87155499-1E5A-8E48-BFC0-FF4E62E7012B}">
      <dsp:nvSpPr>
        <dsp:cNvPr id="0" name=""/>
        <dsp:cNvSpPr/>
      </dsp:nvSpPr>
      <dsp:spPr>
        <a:xfrm>
          <a:off x="0" y="235322"/>
          <a:ext cx="6703703" cy="200194"/>
        </a:xfrm>
        <a:prstGeom prst="rect">
          <a:avLst/>
        </a:prstGeom>
        <a:solidFill>
          <a:srgbClr val="C1AD79">
            <a:alpha val="90000"/>
            <a:tint val="40000"/>
            <a:hueOff val="0"/>
            <a:satOff val="0"/>
            <a:lumOff val="0"/>
            <a:alphaOff val="-40000"/>
          </a:srgbClr>
        </a:solidFill>
        <a:ln w="31750" cap="flat" cmpd="sng" algn="ctr">
          <a:solidFill>
            <a:srgbClr val="C1AD79">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kern="1200">
              <a:solidFill>
                <a:srgbClr val="000000">
                  <a:hueOff val="0"/>
                  <a:satOff val="0"/>
                  <a:lumOff val="0"/>
                  <a:alphaOff val="0"/>
                </a:srgbClr>
              </a:solidFill>
              <a:latin typeface="Calisto MT"/>
              <a:ea typeface="+mn-ea"/>
              <a:cs typeface="+mn-cs"/>
            </a:rPr>
            <a:t>Promote economic and social development in regions on both sides of common borders</a:t>
          </a:r>
          <a:endParaRPr lang="fr-FR" sz="1200" kern="1200">
            <a:solidFill>
              <a:srgbClr val="000000">
                <a:hueOff val="0"/>
                <a:satOff val="0"/>
                <a:lumOff val="0"/>
                <a:alphaOff val="0"/>
              </a:srgbClr>
            </a:solidFill>
            <a:latin typeface="Calisto MT"/>
            <a:ea typeface="+mn-ea"/>
            <a:cs typeface="+mn-cs"/>
          </a:endParaRPr>
        </a:p>
      </dsp:txBody>
      <dsp:txXfrm>
        <a:off x="0" y="235322"/>
        <a:ext cx="6703703" cy="20019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36A3711-A388-FB49-BFF6-552795C30A53}">
      <dsp:nvSpPr>
        <dsp:cNvPr id="0" name=""/>
        <dsp:cNvSpPr/>
      </dsp:nvSpPr>
      <dsp:spPr>
        <a:xfrm>
          <a:off x="0" y="1329831"/>
          <a:ext cx="6639670" cy="436480"/>
        </a:xfrm>
        <a:prstGeom prst="rect">
          <a:avLst/>
        </a:prstGeom>
        <a:solidFill>
          <a:srgbClr val="C1AD79">
            <a:alpha val="90000"/>
            <a:hueOff val="0"/>
            <a:satOff val="0"/>
            <a:lumOff val="0"/>
            <a:alphaOff val="0"/>
          </a:srgbClr>
        </a:solidFill>
        <a:ln w="3175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solidFill>
                <a:srgbClr val="FFFFFF"/>
              </a:solidFill>
              <a:latin typeface="Calisto MT"/>
              <a:ea typeface="+mn-ea"/>
              <a:cs typeface="+mn-cs"/>
            </a:rPr>
            <a:t>Black Sea Basin Programme Objective 2</a:t>
          </a:r>
        </a:p>
      </dsp:txBody>
      <dsp:txXfrm>
        <a:off x="0" y="1329831"/>
        <a:ext cx="6639670" cy="235699"/>
      </dsp:txXfrm>
    </dsp:sp>
    <dsp:sp modelId="{B11730FB-18E1-C943-B084-4CDF1F59127B}">
      <dsp:nvSpPr>
        <dsp:cNvPr id="0" name=""/>
        <dsp:cNvSpPr/>
      </dsp:nvSpPr>
      <dsp:spPr>
        <a:xfrm>
          <a:off x="0" y="1556801"/>
          <a:ext cx="6639670" cy="200780"/>
        </a:xfrm>
        <a:prstGeom prst="rect">
          <a:avLst/>
        </a:prstGeom>
        <a:solidFill>
          <a:srgbClr val="C1AD79">
            <a:alpha val="90000"/>
            <a:tint val="40000"/>
            <a:hueOff val="0"/>
            <a:satOff val="0"/>
            <a:lumOff val="0"/>
            <a:alphaOff val="0"/>
          </a:srgbClr>
        </a:solidFill>
        <a:ln w="31750" cap="flat" cmpd="sng" algn="ctr">
          <a:solidFill>
            <a:srgbClr val="C1AD79">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b="0" kern="1200">
              <a:solidFill>
                <a:srgbClr val="000000">
                  <a:hueOff val="0"/>
                  <a:satOff val="0"/>
                  <a:lumOff val="0"/>
                  <a:alphaOff val="0"/>
                </a:srgbClr>
              </a:solidFill>
              <a:latin typeface="Calisto MT"/>
              <a:ea typeface="+mn-ea"/>
              <a:cs typeface="+mn-cs"/>
            </a:rPr>
            <a:t>Promote coordination of environmental protection and joint reduction of marine litter </a:t>
          </a:r>
          <a:endParaRPr lang="fr-FR" sz="1200" b="0" kern="1200">
            <a:solidFill>
              <a:srgbClr val="000000">
                <a:hueOff val="0"/>
                <a:satOff val="0"/>
                <a:lumOff val="0"/>
                <a:alphaOff val="0"/>
              </a:srgbClr>
            </a:solidFill>
            <a:latin typeface="Calisto MT"/>
            <a:ea typeface="+mn-ea"/>
            <a:cs typeface="+mn-cs"/>
          </a:endParaRPr>
        </a:p>
      </dsp:txBody>
      <dsp:txXfrm>
        <a:off x="0" y="1556801"/>
        <a:ext cx="6639670" cy="200780"/>
      </dsp:txXfrm>
    </dsp:sp>
    <dsp:sp modelId="{56F73381-5B2C-D24B-B832-B5FAE6BF7A7E}">
      <dsp:nvSpPr>
        <dsp:cNvPr id="0" name=""/>
        <dsp:cNvSpPr/>
      </dsp:nvSpPr>
      <dsp:spPr>
        <a:xfrm rot="10800000">
          <a:off x="0" y="665071"/>
          <a:ext cx="6639670" cy="671306"/>
        </a:xfrm>
        <a:prstGeom prst="upArrowCallout">
          <a:avLst/>
        </a:prstGeom>
        <a:solidFill>
          <a:srgbClr val="C1AD79">
            <a:alpha val="90000"/>
            <a:hueOff val="0"/>
            <a:satOff val="0"/>
            <a:lumOff val="0"/>
            <a:alphaOff val="-20000"/>
          </a:srgbClr>
        </a:solidFill>
        <a:ln w="3175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solidFill>
                <a:srgbClr val="FFFFFF"/>
              </a:solidFill>
              <a:latin typeface="Calisto MT"/>
              <a:ea typeface="+mn-ea"/>
              <a:cs typeface="+mn-cs"/>
            </a:rPr>
            <a:t>ENI CBC Thematic Objective 6</a:t>
          </a:r>
        </a:p>
      </dsp:txBody>
      <dsp:txXfrm>
        <a:off x="0" y="665071"/>
        <a:ext cx="6639670" cy="235628"/>
      </dsp:txXfrm>
    </dsp:sp>
    <dsp:sp modelId="{1A2A1C0C-BF5A-0847-8E7B-04D461F52224}">
      <dsp:nvSpPr>
        <dsp:cNvPr id="0" name=""/>
        <dsp:cNvSpPr/>
      </dsp:nvSpPr>
      <dsp:spPr>
        <a:xfrm>
          <a:off x="0" y="900700"/>
          <a:ext cx="6639670" cy="200720"/>
        </a:xfrm>
        <a:prstGeom prst="rect">
          <a:avLst/>
        </a:prstGeom>
        <a:solidFill>
          <a:srgbClr val="C1AD79">
            <a:alpha val="90000"/>
            <a:tint val="40000"/>
            <a:hueOff val="0"/>
            <a:satOff val="0"/>
            <a:lumOff val="0"/>
            <a:alphaOff val="-20000"/>
          </a:srgbClr>
        </a:solidFill>
        <a:ln w="31750" cap="flat" cmpd="sng" algn="ctr">
          <a:solidFill>
            <a:srgbClr val="C1AD79">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kern="1200">
              <a:solidFill>
                <a:srgbClr val="000000">
                  <a:hueOff val="0"/>
                  <a:satOff val="0"/>
                  <a:lumOff val="0"/>
                  <a:alphaOff val="0"/>
                </a:srgbClr>
              </a:solidFill>
              <a:latin typeface="Calisto MT"/>
              <a:ea typeface="+mn-ea"/>
              <a:cs typeface="+mn-cs"/>
            </a:rPr>
            <a:t>Environmental protection, and climate change mitigation and adaptation</a:t>
          </a:r>
          <a:endParaRPr lang="fr-FR" sz="1200" kern="1200">
            <a:solidFill>
              <a:srgbClr val="000000">
                <a:hueOff val="0"/>
                <a:satOff val="0"/>
                <a:lumOff val="0"/>
                <a:alphaOff val="0"/>
              </a:srgbClr>
            </a:solidFill>
            <a:latin typeface="Calisto MT"/>
            <a:ea typeface="+mn-ea"/>
            <a:cs typeface="+mn-cs"/>
          </a:endParaRPr>
        </a:p>
      </dsp:txBody>
      <dsp:txXfrm>
        <a:off x="0" y="900700"/>
        <a:ext cx="6639670" cy="200720"/>
      </dsp:txXfrm>
    </dsp:sp>
    <dsp:sp modelId="{1F20F8E4-735C-9148-8848-5FB51BE7FC46}">
      <dsp:nvSpPr>
        <dsp:cNvPr id="0" name=""/>
        <dsp:cNvSpPr/>
      </dsp:nvSpPr>
      <dsp:spPr>
        <a:xfrm rot="10800000">
          <a:off x="0" y="312"/>
          <a:ext cx="6639670" cy="671306"/>
        </a:xfrm>
        <a:prstGeom prst="upArrowCallout">
          <a:avLst/>
        </a:prstGeom>
        <a:solidFill>
          <a:srgbClr val="C1AD79">
            <a:alpha val="90000"/>
            <a:hueOff val="0"/>
            <a:satOff val="0"/>
            <a:lumOff val="0"/>
            <a:alphaOff val="-40000"/>
          </a:srgbClr>
        </a:solidFill>
        <a:ln w="3175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solidFill>
                <a:srgbClr val="FFFFFF"/>
              </a:solidFill>
              <a:latin typeface="Calisto MT"/>
              <a:ea typeface="+mn-ea"/>
              <a:cs typeface="+mn-cs"/>
            </a:rPr>
            <a:t>ENI CBC Overarching Strategic Objective B</a:t>
          </a:r>
        </a:p>
      </dsp:txBody>
      <dsp:txXfrm>
        <a:off x="0" y="312"/>
        <a:ext cx="6639670" cy="235628"/>
      </dsp:txXfrm>
    </dsp:sp>
    <dsp:sp modelId="{87155499-1E5A-8E48-BFC0-FF4E62E7012B}">
      <dsp:nvSpPr>
        <dsp:cNvPr id="0" name=""/>
        <dsp:cNvSpPr/>
      </dsp:nvSpPr>
      <dsp:spPr>
        <a:xfrm>
          <a:off x="0" y="235940"/>
          <a:ext cx="6639670" cy="200720"/>
        </a:xfrm>
        <a:prstGeom prst="rect">
          <a:avLst/>
        </a:prstGeom>
        <a:solidFill>
          <a:srgbClr val="C1AD79">
            <a:alpha val="90000"/>
            <a:tint val="40000"/>
            <a:hueOff val="0"/>
            <a:satOff val="0"/>
            <a:lumOff val="0"/>
            <a:alphaOff val="-40000"/>
          </a:srgbClr>
        </a:solidFill>
        <a:ln w="31750" cap="flat" cmpd="sng" algn="ctr">
          <a:solidFill>
            <a:srgbClr val="C1AD79">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kern="1200">
              <a:solidFill>
                <a:srgbClr val="000000">
                  <a:hueOff val="0"/>
                  <a:satOff val="0"/>
                  <a:lumOff val="0"/>
                  <a:alphaOff val="0"/>
                </a:srgbClr>
              </a:solidFill>
              <a:latin typeface="Calisto MT"/>
              <a:ea typeface="+mn-ea"/>
              <a:cs typeface="+mn-cs"/>
            </a:rPr>
            <a:t>Address common challenges in environment, public health, safety and security</a:t>
          </a:r>
          <a:endParaRPr lang="fr-FR" sz="1200" kern="1200">
            <a:solidFill>
              <a:srgbClr val="000000">
                <a:hueOff val="0"/>
                <a:satOff val="0"/>
                <a:lumOff val="0"/>
                <a:alphaOff val="0"/>
              </a:srgbClr>
            </a:solidFill>
            <a:latin typeface="Calisto MT"/>
            <a:ea typeface="+mn-ea"/>
            <a:cs typeface="+mn-cs"/>
          </a:endParaRPr>
        </a:p>
      </dsp:txBody>
      <dsp:txXfrm>
        <a:off x="0" y="235940"/>
        <a:ext cx="6639670" cy="2007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Ville</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Ville</b:City>
    <b:Publisher>Publisher</b:Publisher>
    <b:StateProvince>État</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CB5E701A-0EB9-4F7E-B635-DC57B984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36670</Words>
  <Characters>212686</Characters>
  <Application>Microsoft Office Word</Application>
  <DocSecurity>0</DocSecurity>
  <Lines>1772</Lines>
  <Paragraphs>497</Paragraphs>
  <ScaleCrop>false</ScaleCrop>
  <HeadingPairs>
    <vt:vector size="2" baseType="variant">
      <vt:variant>
        <vt:lpstr>Title</vt:lpstr>
      </vt:variant>
      <vt:variant>
        <vt:i4>1</vt:i4>
      </vt:variant>
    </vt:vector>
  </HeadingPairs>
  <TitlesOfParts>
    <vt:vector size="1" baseType="lpstr">
      <vt:lpstr>Black Sea Basin 2014-2020</vt:lpstr>
    </vt:vector>
  </TitlesOfParts>
  <Company>Hewlett-Packard Company</Company>
  <LinksUpToDate>false</LinksUpToDate>
  <CharactersWithSpaces>248859</CharactersWithSpaces>
  <SharedDoc>false</SharedDoc>
  <HyperlinkBase/>
  <HLinks>
    <vt:vector size="24" baseType="variant">
      <vt:variant>
        <vt:i4>2228336</vt:i4>
      </vt:variant>
      <vt:variant>
        <vt:i4>219</vt:i4>
      </vt:variant>
      <vt:variant>
        <vt:i4>0</vt:i4>
      </vt:variant>
      <vt:variant>
        <vt:i4>5</vt:i4>
      </vt:variant>
      <vt:variant>
        <vt:lpwstr>http://www.territorialcooperation.eu/keep/</vt:lpwstr>
      </vt:variant>
      <vt:variant>
        <vt:lpwstr/>
      </vt:variant>
      <vt:variant>
        <vt:i4>8192041</vt:i4>
      </vt:variant>
      <vt:variant>
        <vt:i4>216</vt:i4>
      </vt:variant>
      <vt:variant>
        <vt:i4>0</vt:i4>
      </vt:variant>
      <vt:variant>
        <vt:i4>5</vt:i4>
      </vt:variant>
      <vt:variant>
        <vt:lpwstr>http://www.interreg.gr/</vt:lpwstr>
      </vt:variant>
      <vt:variant>
        <vt:lpwstr/>
      </vt:variant>
      <vt:variant>
        <vt:i4>4915307</vt:i4>
      </vt:variant>
      <vt:variant>
        <vt:i4>3</vt:i4>
      </vt:variant>
      <vt:variant>
        <vt:i4>0</vt:i4>
      </vt:variant>
      <vt:variant>
        <vt:i4>5</vt:i4>
      </vt:variant>
      <vt:variant>
        <vt:lpwstr>http://www.blacksea-commission.org/_convention.asp</vt:lpwstr>
      </vt:variant>
      <vt:variant>
        <vt:lpwstr/>
      </vt:variant>
      <vt:variant>
        <vt:i4>4653172</vt:i4>
      </vt:variant>
      <vt:variant>
        <vt:i4>0</vt:i4>
      </vt:variant>
      <vt:variant>
        <vt:i4>0</vt:i4>
      </vt:variant>
      <vt:variant>
        <vt:i4>5</vt:i4>
      </vt:variant>
      <vt:variant>
        <vt:lpwstr>http://eeas.europa.eu/eastern/index_en.htm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 Sea Basin 2014-2020</dc:title>
  <dc:subject>Socio-Economic Analysis</dc:subject>
  <dc:creator>KARINE BLANCHE LEROY</dc:creator>
  <cp:lastModifiedBy>mihai</cp:lastModifiedBy>
  <cp:revision>2</cp:revision>
  <cp:lastPrinted>2015-03-09T13:21:00Z</cp:lastPrinted>
  <dcterms:created xsi:type="dcterms:W3CDTF">2015-03-24T08:32:00Z</dcterms:created>
  <dcterms:modified xsi:type="dcterms:W3CDTF">2015-03-24T08:32:00Z</dcterms:modified>
</cp:coreProperties>
</file>